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R4-2119208</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emission related requirements for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3"/>
      <w:bookmarkStart w:id="3" w:name="OLE_LINK14"/>
      <w:bookmarkStart w:id="4" w:name="OLE_LINK10"/>
      <w:bookmarkStart w:id="5" w:name="OLE_LINK20"/>
      <w:r>
        <w:rPr>
          <w:rFonts w:hint="eastAsia" w:eastAsia="Times New Roman"/>
          <w:highlight w:val="none"/>
          <w:lang w:val="en-US" w:eastAsia="zh-CN"/>
        </w:rPr>
        <w:t xml:space="preserve">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2.1. DL ACLR</w:t>
      </w:r>
    </w:p>
    <w:p>
      <w:pPr>
        <w:jc w:val="both"/>
        <w:rPr>
          <w:rFonts w:hint="eastAsia"/>
          <w:lang w:val="en-US" w:eastAsia="zh-CN"/>
        </w:rPr>
      </w:pPr>
      <w:r>
        <w:rPr>
          <w:rFonts w:hint="eastAsia"/>
          <w:lang w:val="en-US" w:eastAsia="zh-CN"/>
        </w:rPr>
        <w:t xml:space="preserve">Firstly of all, for ACLR requirement outside of pass band, since the antenna gain outside of pass band is expected to be less than 60dBc, therefore ACLR leakage resulting from 45dBc would be still above noise floor which mean it is still measurable in this case. </w:t>
      </w:r>
    </w:p>
    <w:p>
      <w:pPr>
        <w:jc w:val="both"/>
        <w:rPr>
          <w:rFonts w:hint="eastAsia"/>
          <w:lang w:val="en-US" w:eastAsia="zh-CN"/>
        </w:rPr>
      </w:pPr>
      <w:r>
        <w:rPr>
          <w:rFonts w:hint="eastAsia"/>
          <w:b/>
          <w:bCs/>
          <w:lang w:val="en-US" w:eastAsia="zh-CN"/>
        </w:rPr>
        <w:t xml:space="preserve">Proposal 1: </w:t>
      </w:r>
      <w:r>
        <w:rPr>
          <w:rFonts w:hint="eastAsia"/>
          <w:lang w:val="en-US" w:eastAsia="zh-CN"/>
        </w:rPr>
        <w:t>to define DL ACLR requirement outside of pass-band;</w:t>
      </w:r>
    </w:p>
    <w:p>
      <w:pPr>
        <w:jc w:val="both"/>
        <w:rPr>
          <w:rFonts w:hint="eastAsia"/>
          <w:lang w:val="en-US" w:eastAsia="zh-CN"/>
        </w:rPr>
      </w:pPr>
      <w:r>
        <w:rPr>
          <w:rFonts w:hint="eastAsia"/>
          <w:lang w:val="en-US" w:eastAsia="zh-CN"/>
        </w:rPr>
        <w:t>Secondly, whether it</w:t>
      </w:r>
      <w:r>
        <w:rPr>
          <w:rFonts w:hint="default"/>
          <w:lang w:val="en-US" w:eastAsia="zh-CN"/>
        </w:rPr>
        <w:t>’</w:t>
      </w:r>
      <w:r>
        <w:rPr>
          <w:rFonts w:hint="eastAsia"/>
          <w:lang w:val="en-US" w:eastAsia="zh-CN"/>
        </w:rPr>
        <w:t>s necessary to define ACLR requirement within pass-band. In the legacy BS requirement in TS 36.104 and TS 38.104 spec, ACLR requirement is only applicable for outermost carriers (</w:t>
      </w:r>
      <w:r>
        <w:rPr>
          <w:rFonts w:hint="eastAsia"/>
          <w:i/>
          <w:lang w:val="en-US" w:eastAsia="zh-CN"/>
        </w:rPr>
        <w:t xml:space="preserve"> </w:t>
      </w:r>
      <w:r>
        <w:rPr>
          <w:rFonts w:hint="eastAsia"/>
          <w:lang w:val="en-US" w:eastAsia="zh-CN"/>
        </w:rPr>
        <w:t xml:space="preserve">e.g. CC#1 and CC#5 ) outside of </w:t>
      </w:r>
      <w:r>
        <w:rPr>
          <w:lang w:eastAsia="zh-CN"/>
        </w:rPr>
        <w:t xml:space="preserve">the </w:t>
      </w:r>
      <w:r>
        <w:rPr>
          <w:i/>
          <w:lang w:eastAsia="zh-CN"/>
        </w:rPr>
        <w:t>Base Station RF Bandwidth</w:t>
      </w:r>
      <w:r>
        <w:rPr>
          <w:lang w:eastAsia="zh-CN"/>
        </w:rPr>
        <w:t xml:space="preserve"> or </w:t>
      </w:r>
      <w:r>
        <w:rPr>
          <w:i/>
          <w:lang w:eastAsia="zh-CN"/>
        </w:rPr>
        <w:t>Radio Bandwidth</w:t>
      </w:r>
      <w:r>
        <w:rPr>
          <w:rFonts w:hint="eastAsia"/>
          <w:i/>
          <w:lang w:val="en-US" w:eastAsia="zh-CN"/>
        </w:rPr>
        <w:t xml:space="preserve"> </w:t>
      </w:r>
      <w:r>
        <w:rPr>
          <w:rFonts w:hint="eastAsia"/>
          <w:lang w:val="en-US" w:eastAsia="zh-CN"/>
        </w:rPr>
        <w:t xml:space="preserve">.When coming to repeater pass band, since antenna gain within pass band is very high e.g. up to 100dB for WA class repeater, then ACLR leakage will be buried into repeated noise floor, therefore it might be not necessary to define ACLR requirement within pass-band;  </w:t>
      </w:r>
    </w:p>
    <w:p>
      <w:pPr>
        <w:jc w:val="both"/>
        <w:rPr>
          <w:rFonts w:hint="eastAsia"/>
          <w:lang w:val="en-US" w:eastAsia="zh-CN"/>
        </w:rPr>
      </w:pPr>
      <w:r>
        <w:rPr>
          <w:rFonts w:hint="eastAsia"/>
          <w:b/>
          <w:bCs/>
          <w:lang w:val="en-US" w:eastAsia="zh-CN"/>
        </w:rPr>
        <w:t>Proposal 2:</w:t>
      </w:r>
      <w:r>
        <w:rPr>
          <w:rFonts w:hint="eastAsia"/>
          <w:lang w:val="en-US" w:eastAsia="zh-CN"/>
        </w:rPr>
        <w:t xml:space="preserve"> not to define DL ACLR requirement within pass-band; </w:t>
      </w:r>
    </w:p>
    <w:p>
      <w:pPr>
        <w:jc w:val="both"/>
        <w:rPr>
          <w:rFonts w:hint="eastAsia"/>
          <w:lang w:val="en-US" w:eastAsia="zh-CN"/>
        </w:rPr>
      </w:pPr>
      <w:r>
        <w:rPr>
          <w:rFonts w:hint="eastAsia"/>
          <w:lang w:val="en-US" w:eastAsia="zh-CN"/>
        </w:rPr>
        <w:t>For OBUE requirement definition within the pass band and outside of pass band would be discussed in section 2.6.</w:t>
      </w:r>
    </w:p>
    <w:p>
      <w:pPr>
        <w:jc w:val="both"/>
        <w:rPr>
          <w:rFonts w:hint="eastAsia"/>
          <w:lang w:val="en-US" w:eastAsia="zh-CN"/>
        </w:rPr>
      </w:pPr>
      <w:r>
        <w:rPr>
          <w:rFonts w:hint="eastAsia"/>
          <w:lang w:val="en-US" w:eastAsia="zh-CN"/>
        </w:rPr>
        <w:t>Regarding the DL ACLR performance for repeater, we think that BS ACLR 45dBc could be still reused, we don</w:t>
      </w:r>
      <w:r>
        <w:rPr>
          <w:rFonts w:hint="default"/>
          <w:lang w:val="en-US" w:eastAsia="zh-CN"/>
        </w:rPr>
        <w:t>’</w:t>
      </w:r>
      <w:r>
        <w:rPr>
          <w:rFonts w:hint="eastAsia"/>
          <w:lang w:val="en-US" w:eastAsia="zh-CN"/>
        </w:rPr>
        <w:t>t see much reasons to update this requirement compared with the existing one. In addition, for IAB-DU, we also reused BS ACLR requirements for IAB-DU, here it should be same story for repeater DL.</w:t>
      </w:r>
    </w:p>
    <w:p>
      <w:pPr>
        <w:jc w:val="both"/>
        <w:rPr>
          <w:rFonts w:hint="default"/>
          <w:lang w:val="en-US" w:eastAsia="zh-CN"/>
        </w:rPr>
      </w:pPr>
      <w:r>
        <w:rPr>
          <w:rFonts w:hint="eastAsia"/>
          <w:b/>
          <w:bCs/>
          <w:lang w:val="en-US" w:eastAsia="zh-CN"/>
        </w:rPr>
        <w:t xml:space="preserve">Proposal 3: </w:t>
      </w:r>
      <w:r>
        <w:rPr>
          <w:rFonts w:hint="eastAsia"/>
          <w:b w:val="0"/>
          <w:bCs w:val="0"/>
          <w:lang w:val="en-US" w:eastAsia="zh-CN"/>
        </w:rPr>
        <w:t xml:space="preserve">reuse BS </w:t>
      </w:r>
      <w:r>
        <w:rPr>
          <w:rFonts w:hint="eastAsia"/>
          <w:lang w:val="en-US" w:eastAsia="zh-CN"/>
        </w:rPr>
        <w:t xml:space="preserve">ACLR 45dBc for repeater DL outside of pass band; </w:t>
      </w:r>
    </w:p>
    <w:p>
      <w:pPr>
        <w:jc w:val="center"/>
      </w:pPr>
      <w:r>
        <w:drawing>
          <wp:inline distT="0" distB="0" distL="114300" distR="114300">
            <wp:extent cx="3457575" cy="108585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3457575" cy="1085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2. pass band with fully occupied contiguous spectrum configuration</w:t>
      </w:r>
    </w:p>
    <w:p>
      <w:pPr>
        <w:rPr>
          <w:rFonts w:hint="default"/>
          <w:lang w:val="en-US" w:eastAsia="zh-CN"/>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w:t>
      </w:r>
    </w:p>
    <w:p>
      <w:pPr>
        <w:pBdr>
          <w:bottom w:val="single" w:color="auto" w:sz="4" w:space="0"/>
        </w:pBdr>
        <w:rPr>
          <w:rFonts w:eastAsia="Malgun Gothic"/>
          <w:highlight w:val="green"/>
          <w:lang w:eastAsia="ko-KR"/>
        </w:rPr>
      </w:pPr>
    </w:p>
    <w:p>
      <w:pPr>
        <w:rPr>
          <w:rFonts w:eastAsia="Malgun Gothic"/>
          <w:lang w:eastAsia="ko-KR"/>
        </w:rPr>
      </w:pPr>
      <w:r>
        <w:rPr>
          <w:rFonts w:eastAsia="Malgun Gothic"/>
          <w:highlight w:val="green"/>
          <w:lang w:eastAsia="ko-KR"/>
        </w:rPr>
        <w:t>Agreements:</w:t>
      </w:r>
    </w:p>
    <w:p>
      <w:pPr>
        <w:rPr>
          <w:rFonts w:eastAsia="Malgun Gothic"/>
          <w:lang w:eastAsia="ko-KR"/>
        </w:rPr>
      </w:pPr>
      <w:r>
        <w:rPr>
          <w:rFonts w:eastAsia="Malgun Gothic"/>
          <w:highlight w:val="green"/>
          <w:lang w:eastAsia="ko-KR"/>
        </w:rPr>
        <w:t>The baseline assumption for specifying RAN4 requirements that: the passband should only contain carriers from the same operator or collaborating operators. This assumption also will be included into pass band definition.</w:t>
      </w:r>
    </w:p>
    <w:p>
      <w:pPr>
        <w:rPr>
          <w:rFonts w:eastAsia="Malgun Gothic"/>
          <w:highlight w:val="green"/>
          <w:lang w:eastAsia="ko-KR"/>
        </w:rPr>
      </w:pPr>
      <w:r>
        <w:rPr>
          <w:rFonts w:eastAsia="Malgun Gothic"/>
          <w:highlight w:val="green"/>
          <w:lang w:eastAsia="ko-KR"/>
        </w:rPr>
        <w:t>Agreement: Further discuss the inside and outside cases for potential ACLR requirements with following aspect:</w:t>
      </w:r>
    </w:p>
    <w:p>
      <w:pPr>
        <w:numPr>
          <w:ilvl w:val="0"/>
          <w:numId w:val="2"/>
        </w:numPr>
        <w:overflowPunct/>
        <w:autoSpaceDE/>
        <w:autoSpaceDN/>
        <w:adjustRightInd/>
        <w:rPr>
          <w:rFonts w:eastAsia="Malgun Gothic"/>
          <w:szCs w:val="24"/>
          <w:highlight w:val="green"/>
          <w:lang w:val="en-US" w:eastAsia="ko-KR"/>
        </w:rPr>
      </w:pPr>
      <w:r>
        <w:rPr>
          <w:rFonts w:eastAsia="Malgun Gothic"/>
          <w:szCs w:val="24"/>
          <w:highlight w:val="green"/>
          <w:lang w:val="en-US" w:eastAsia="ko-KR"/>
        </w:rPr>
        <w:t>Co-existence on adjacent channel within and outside of pass-band</w:t>
      </w:r>
    </w:p>
    <w:p>
      <w:pPr>
        <w:numPr>
          <w:ilvl w:val="0"/>
          <w:numId w:val="2"/>
        </w:numPr>
        <w:overflowPunct/>
        <w:autoSpaceDE/>
        <w:autoSpaceDN/>
        <w:adjustRightInd/>
        <w:rPr>
          <w:rFonts w:eastAsia="Malgun Gothic"/>
          <w:szCs w:val="24"/>
          <w:highlight w:val="green"/>
          <w:lang w:val="en-US" w:eastAsia="ko-KR"/>
        </w:rPr>
      </w:pPr>
      <w:r>
        <w:rPr>
          <w:rFonts w:eastAsia="Malgun Gothic"/>
          <w:szCs w:val="24"/>
          <w:highlight w:val="green"/>
          <w:lang w:val="en-US" w:eastAsia="ko-KR"/>
        </w:rPr>
        <w:t>Achievable performance considering repeater implementation</w:t>
      </w:r>
    </w:p>
    <w:p>
      <w:pPr>
        <w:numPr>
          <w:ilvl w:val="0"/>
          <w:numId w:val="2"/>
        </w:numPr>
        <w:overflowPunct/>
        <w:autoSpaceDE/>
        <w:autoSpaceDN/>
        <w:adjustRightInd/>
        <w:rPr>
          <w:rFonts w:eastAsia="Malgun Gothic"/>
          <w:szCs w:val="24"/>
          <w:highlight w:val="green"/>
          <w:lang w:val="en-US" w:eastAsia="ko-KR"/>
        </w:rPr>
      </w:pPr>
      <w:r>
        <w:rPr>
          <w:rFonts w:eastAsia="Malgun Gothic"/>
          <w:szCs w:val="24"/>
          <w:highlight w:val="green"/>
          <w:lang w:val="en-US" w:eastAsia="ko-KR"/>
        </w:rPr>
        <w:t>If requirements specified for inside of pass band, the requirements maybe be relaxed compared to BS ACLR</w:t>
      </w:r>
    </w:p>
    <w:p>
      <w:pPr>
        <w:spacing w:after="120"/>
        <w:rPr>
          <w:szCs w:val="24"/>
        </w:rPr>
      </w:pPr>
      <w:r>
        <w:rPr>
          <w:rFonts w:hint="eastAsia"/>
          <w:szCs w:val="24"/>
        </w:rPr>
        <w:t>DL ACLR will be decided in next meeting to consider the following aspects,</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lang w:val="en-US"/>
        </w:rPr>
        <w:t xml:space="preserve">Whether ACLR will be defined </w:t>
      </w:r>
      <w:r>
        <w:rPr>
          <w:rFonts w:eastAsiaTheme="minorEastAsia"/>
          <w:bCs/>
          <w:lang w:val="en-US"/>
        </w:rPr>
        <w:t>separately</w:t>
      </w:r>
      <w:r>
        <w:rPr>
          <w:rFonts w:hint="eastAsia" w:eastAsiaTheme="minorEastAsia"/>
          <w:bCs/>
          <w:lang w:val="en-US"/>
        </w:rPr>
        <w:t xml:space="preserve"> inside and outside pass band.</w:t>
      </w:r>
    </w:p>
    <w:p>
      <w:pPr>
        <w:numPr>
          <w:ilvl w:val="1"/>
          <w:numId w:val="3"/>
        </w:numPr>
        <w:overflowPunct/>
        <w:autoSpaceDE/>
        <w:autoSpaceDN/>
        <w:adjustRightInd/>
        <w:spacing w:after="120"/>
        <w:ind w:left="1656" w:hanging="360"/>
        <w:rPr>
          <w:rFonts w:eastAsiaTheme="minorEastAsia"/>
          <w:bCs/>
          <w:lang w:val="en-US"/>
        </w:rPr>
      </w:pPr>
      <w:r>
        <w:rPr>
          <w:rFonts w:hint="eastAsia" w:eastAsiaTheme="minorEastAsia"/>
          <w:bCs/>
          <w:lang w:val="en-US" w:eastAsia="zh-CN"/>
        </w:rPr>
        <w:t>Define OBUE instead of ACLR inside pass band is an option to be considered.</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rPr>
        <w:t>What</w:t>
      </w:r>
      <w:r>
        <w:rPr>
          <w:rFonts w:eastAsiaTheme="minorEastAsia"/>
          <w:bCs/>
        </w:rPr>
        <w:t>’</w:t>
      </w:r>
      <w:r>
        <w:rPr>
          <w:rFonts w:hint="eastAsia" w:eastAsiaTheme="minorEastAsia"/>
          <w:bCs/>
        </w:rPr>
        <w:t xml:space="preserve">s the expected DL ACLR performance at maximum </w:t>
      </w:r>
      <w:r>
        <w:rPr>
          <w:rFonts w:eastAsiaTheme="minorEastAsia"/>
          <w:bCs/>
        </w:rPr>
        <w:t>output</w:t>
      </w:r>
      <w:r>
        <w:rPr>
          <w:rFonts w:hint="eastAsia" w:eastAsiaTheme="minorEastAsia"/>
          <w:bCs/>
        </w:rPr>
        <w:t xml:space="preserve"> power.</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lang w:val="en-US"/>
        </w:rPr>
        <w:t>How to define the exact requirements.</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2.2.UL ACLR</w:t>
      </w:r>
    </w:p>
    <w:p>
      <w:pPr>
        <w:jc w:val="both"/>
        <w:rPr>
          <w:rFonts w:hint="eastAsia"/>
          <w:lang w:val="en-US" w:eastAsia="zh-CN"/>
        </w:rPr>
      </w:pPr>
      <w:r>
        <w:rPr>
          <w:rFonts w:hint="eastAsia"/>
          <w:lang w:val="en-US" w:eastAsia="zh-CN"/>
        </w:rPr>
        <w:t>For UL ACLR, we think that similar logic could be also applied here. In addition, as proposed in section 2.1 UL output power levels, power limitation is proposed to the be same as LA IAB-MT 24dBm, therefore we also think that UL ACLR requirement should also be aligned with BS spec similar as FR1 IAB-MT defined in TS 38.174 spec.</w:t>
      </w:r>
    </w:p>
    <w:p>
      <w:pPr>
        <w:jc w:val="both"/>
        <w:rPr>
          <w:rFonts w:hint="eastAsia"/>
          <w:lang w:val="en-US" w:eastAsia="zh-CN"/>
        </w:rPr>
      </w:pPr>
      <w:r>
        <w:rPr>
          <w:rFonts w:hint="eastAsia"/>
          <w:b/>
          <w:bCs/>
          <w:lang w:val="en-US" w:eastAsia="zh-CN"/>
        </w:rPr>
        <w:t xml:space="preserve">Proposal 4: </w:t>
      </w:r>
      <w:r>
        <w:rPr>
          <w:rFonts w:hint="eastAsia"/>
          <w:lang w:val="en-US" w:eastAsia="zh-CN"/>
        </w:rPr>
        <w:t>to define UL ACLR requirement outside of pass-band;</w:t>
      </w:r>
    </w:p>
    <w:p>
      <w:pPr>
        <w:jc w:val="both"/>
        <w:rPr>
          <w:rFonts w:hint="eastAsia"/>
          <w:lang w:val="en-US" w:eastAsia="zh-CN"/>
        </w:rPr>
      </w:pPr>
      <w:r>
        <w:rPr>
          <w:rFonts w:hint="eastAsia"/>
          <w:b/>
          <w:bCs/>
          <w:lang w:val="en-US" w:eastAsia="zh-CN"/>
        </w:rPr>
        <w:t>Proposal 5:</w:t>
      </w:r>
      <w:r>
        <w:rPr>
          <w:rFonts w:hint="eastAsia"/>
          <w:lang w:val="en-US" w:eastAsia="zh-CN"/>
        </w:rPr>
        <w:t xml:space="preserve"> not to define UL ACLR requirement within pass-band; </w:t>
      </w:r>
    </w:p>
    <w:p>
      <w:pPr>
        <w:jc w:val="both"/>
        <w:rPr>
          <w:szCs w:val="24"/>
          <w:highlight w:val="green"/>
          <w:lang w:val="en-US"/>
        </w:rPr>
      </w:pPr>
      <w:r>
        <w:rPr>
          <w:rFonts w:hint="eastAsia"/>
          <w:b/>
          <w:bCs/>
          <w:lang w:val="en-US" w:eastAsia="zh-CN"/>
        </w:rPr>
        <w:t xml:space="preserve">Proposal 6: </w:t>
      </w:r>
      <w:r>
        <w:rPr>
          <w:rFonts w:hint="eastAsia"/>
          <w:b w:val="0"/>
          <w:bCs w:val="0"/>
          <w:lang w:val="en-US" w:eastAsia="zh-CN"/>
        </w:rPr>
        <w:t xml:space="preserve">reuse BS </w:t>
      </w:r>
      <w:r>
        <w:rPr>
          <w:rFonts w:hint="eastAsia"/>
          <w:lang w:val="en-US" w:eastAsia="zh-CN"/>
        </w:rPr>
        <w:t xml:space="preserve">ACLR 45dBc for repeater UL outside of pass band; </w:t>
      </w:r>
    </w:p>
    <w:p>
      <w:pPr>
        <w:pBdr>
          <w:top w:val="single" w:color="auto" w:sz="4" w:space="0"/>
        </w:pBdr>
        <w:spacing w:after="120"/>
        <w:rPr>
          <w:szCs w:val="24"/>
          <w:lang w:val="en-US"/>
        </w:rPr>
      </w:pPr>
      <w:r>
        <w:rPr>
          <w:szCs w:val="24"/>
          <w:highlight w:val="green"/>
          <w:lang w:val="en-US"/>
        </w:rPr>
        <w:t>Agreements:</w:t>
      </w:r>
    </w:p>
    <w:p>
      <w:pPr>
        <w:numPr>
          <w:ilvl w:val="0"/>
          <w:numId w:val="4"/>
        </w:numPr>
        <w:overflowPunct/>
        <w:autoSpaceDE/>
        <w:autoSpaceDN/>
        <w:adjustRightInd/>
        <w:spacing w:after="120"/>
        <w:rPr>
          <w:szCs w:val="24"/>
          <w:highlight w:val="green"/>
          <w:lang w:val="en-US"/>
        </w:rPr>
      </w:pPr>
      <w:r>
        <w:rPr>
          <w:szCs w:val="24"/>
          <w:highlight w:val="green"/>
          <w:lang w:val="en-US"/>
        </w:rPr>
        <w:t xml:space="preserve">For repeater with output power higher than [UE maximum output power under existing PCs], UL ACLR should be aligned with BS spec. </w:t>
      </w:r>
    </w:p>
    <w:p>
      <w:pPr>
        <w:numPr>
          <w:ilvl w:val="0"/>
          <w:numId w:val="4"/>
        </w:numPr>
        <w:overflowPunct/>
        <w:autoSpaceDE/>
        <w:autoSpaceDN/>
        <w:adjustRightInd/>
        <w:spacing w:after="120"/>
        <w:rPr>
          <w:szCs w:val="24"/>
          <w:highlight w:val="green"/>
          <w:lang w:val="en-US"/>
        </w:rPr>
      </w:pPr>
      <w:r>
        <w:rPr>
          <w:szCs w:val="24"/>
          <w:highlight w:val="green"/>
          <w:lang w:val="en-US"/>
        </w:rPr>
        <w:t>For repeater with output power equal to or less than UE power class, UL ACLR should be aligned with corresponding UE ACLR requirements.</w:t>
      </w:r>
    </w:p>
    <w:p>
      <w:pPr>
        <w:numPr>
          <w:ilvl w:val="0"/>
          <w:numId w:val="4"/>
        </w:numPr>
        <w:overflowPunct/>
        <w:autoSpaceDE/>
        <w:autoSpaceDN/>
        <w:adjustRightInd/>
        <w:spacing w:after="120"/>
        <w:rPr>
          <w:szCs w:val="24"/>
          <w:highlight w:val="green"/>
          <w:lang w:val="en-US"/>
        </w:rPr>
      </w:pPr>
      <w:r>
        <w:rPr>
          <w:szCs w:val="24"/>
          <w:highlight w:val="green"/>
          <w:lang w:val="en-US"/>
        </w:rPr>
        <w:t>Test issue can be further discussed and addressed under conformance phase.</w:t>
      </w:r>
    </w:p>
    <w:p>
      <w:pPr>
        <w:rPr>
          <w:i/>
          <w:color w:val="4F81BD" w:themeColor="accent1"/>
          <w:lang w:val="en-US"/>
          <w14:textFill>
            <w14:solidFill>
              <w14:schemeClr w14:val="accent1"/>
            </w14:solidFill>
          </w14:textFill>
        </w:rPr>
      </w:pPr>
    </w:p>
    <w:p>
      <w:pPr>
        <w:rPr>
          <w:lang w:val="en-US"/>
        </w:rPr>
      </w:pPr>
      <w:r>
        <w:rPr>
          <w:rFonts w:hint="eastAsia"/>
          <w:lang w:val="en-US"/>
        </w:rPr>
        <w:t>The following aspects will be discussed and decided in next meeting,</w:t>
      </w:r>
    </w:p>
    <w:p>
      <w:pPr>
        <w:numPr>
          <w:ilvl w:val="0"/>
          <w:numId w:val="3"/>
        </w:numPr>
        <w:overflowPunct/>
        <w:autoSpaceDE/>
        <w:autoSpaceDN/>
        <w:adjustRightInd/>
        <w:spacing w:after="120"/>
        <w:ind w:left="357" w:hanging="357"/>
        <w:rPr>
          <w:i/>
          <w:lang w:val="en-US"/>
        </w:rPr>
      </w:pPr>
      <w:r>
        <w:rPr>
          <w:rFonts w:hint="eastAsia" w:eastAsiaTheme="minorEastAsia"/>
          <w:bCs/>
          <w:lang w:val="en-US"/>
        </w:rPr>
        <w:t xml:space="preserve">Whether UL ACLR will be defined </w:t>
      </w:r>
      <w:r>
        <w:rPr>
          <w:rFonts w:eastAsiaTheme="minorEastAsia"/>
          <w:bCs/>
          <w:lang w:val="en-US"/>
        </w:rPr>
        <w:t>separately</w:t>
      </w:r>
      <w:r>
        <w:rPr>
          <w:rFonts w:hint="eastAsia" w:eastAsiaTheme="minorEastAsia"/>
          <w:bCs/>
          <w:lang w:val="en-US"/>
        </w:rPr>
        <w:t xml:space="preserve"> inside and outside pass band.</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OBUE</w:t>
      </w:r>
    </w:p>
    <w:p>
      <w:pPr>
        <w:rPr>
          <w:rFonts w:hint="eastAsia"/>
          <w:lang w:val="en-US" w:eastAsia="zh-CN"/>
        </w:rPr>
      </w:pPr>
      <w:r>
        <w:rPr>
          <w:rFonts w:hint="eastAsia"/>
          <w:lang w:val="en-US" w:eastAsia="zh-CN"/>
        </w:rPr>
        <w:t>For repeater UL OBUE requirement outside pass-band, it</w:t>
      </w:r>
      <w:r>
        <w:rPr>
          <w:rFonts w:hint="default"/>
          <w:lang w:val="en-US" w:eastAsia="zh-CN"/>
        </w:rPr>
        <w:t>’</w:t>
      </w:r>
      <w:r>
        <w:rPr>
          <w:rFonts w:hint="eastAsia"/>
          <w:lang w:val="en-US" w:eastAsia="zh-CN"/>
        </w:rPr>
        <w:t xml:space="preserve">s also reasonable to reuse BS OBUE requirements since the same ACLR requirement 45dBc applied and the same maximum power limitation applied. </w:t>
      </w:r>
    </w:p>
    <w:p>
      <w:pPr>
        <w:rPr>
          <w:rFonts w:hint="eastAsia"/>
          <w:lang w:val="en-US" w:eastAsia="zh-CN"/>
        </w:rPr>
      </w:pPr>
      <w:r>
        <w:rPr>
          <w:rFonts w:hint="eastAsia"/>
          <w:b/>
          <w:bCs/>
          <w:lang w:val="en-US" w:eastAsia="zh-CN"/>
        </w:rPr>
        <w:t xml:space="preserve">Proposal 7: </w:t>
      </w:r>
      <w:r>
        <w:rPr>
          <w:rFonts w:hint="eastAsia"/>
          <w:lang w:val="en-US" w:eastAsia="zh-CN"/>
        </w:rPr>
        <w:t>for repeater UL OBUE requirement outside pass band, to reuse BS OBUE requirements (e.g. WA and LA OBUE).</w:t>
      </w:r>
    </w:p>
    <w:p>
      <w:pPr>
        <w:rPr>
          <w:rFonts w:hint="eastAsia"/>
          <w:highlight w:val="none"/>
          <w:lang w:val="en-US" w:eastAsia="zh-CN"/>
        </w:rPr>
      </w:pPr>
      <w:r>
        <w:rPr>
          <w:rFonts w:hint="eastAsia"/>
          <w:highlight w:val="none"/>
          <w:lang w:val="en-US" w:eastAsia="zh-CN"/>
        </w:rPr>
        <w:t>For ACLR within pass band as mentioned before, it</w:t>
      </w:r>
      <w:r>
        <w:rPr>
          <w:rFonts w:hint="default"/>
          <w:highlight w:val="none"/>
          <w:lang w:val="en-US" w:eastAsia="zh-CN"/>
        </w:rPr>
        <w:t>’</w:t>
      </w:r>
      <w:r>
        <w:rPr>
          <w:rFonts w:hint="eastAsia"/>
          <w:highlight w:val="none"/>
          <w:lang w:val="en-US" w:eastAsia="zh-CN"/>
        </w:rPr>
        <w:t xml:space="preserve">s not necessary to define it since it would be not measurable due to high antenna gain within pass band . However for OBUE requirements, it should be measurable and it could also verify the Tx linearity of repeater within pass band. As shown in Figure 3, OBUE requirement within the pass band should be still defined and measured in the conformance testing similar as LTE/NR contiguous spectrum operation case. </w:t>
      </w:r>
    </w:p>
    <w:p>
      <w:pPr>
        <w:rPr>
          <w:rFonts w:hint="default"/>
          <w:highlight w:val="none"/>
          <w:lang w:val="en-US" w:eastAsia="zh-CN"/>
        </w:rPr>
      </w:pPr>
      <w:r>
        <w:rPr>
          <w:rFonts w:hint="eastAsia"/>
          <w:highlight w:val="none"/>
          <w:lang w:val="en-US" w:eastAsia="zh-CN"/>
        </w:rPr>
        <w:t xml:space="preserve">For spectrum configuration in Figure 3a, more clarity is needed whether there should be two individual pass band or single pass band with non-contiguous spectrum configuration. </w:t>
      </w:r>
    </w:p>
    <w:p>
      <w:pPr>
        <w:rPr>
          <w:rFonts w:hint="eastAsia"/>
          <w:lang w:val="en-US" w:eastAsia="zh-CN"/>
        </w:rPr>
      </w:pPr>
      <w:r>
        <w:rPr>
          <w:rFonts w:hint="eastAsia"/>
          <w:b/>
          <w:bCs/>
          <w:lang w:val="en-US" w:eastAsia="zh-CN"/>
        </w:rPr>
        <w:t xml:space="preserve">Proposal 8: </w:t>
      </w:r>
      <w:r>
        <w:rPr>
          <w:rFonts w:hint="eastAsia"/>
          <w:lang w:val="en-US" w:eastAsia="zh-CN"/>
        </w:rPr>
        <w:t>for repeater DL and UL within pass band, to reuse BS OBUE requirements.</w:t>
      </w:r>
    </w:p>
    <w:p>
      <w:pPr>
        <w:rPr>
          <w:rFonts w:hint="default"/>
          <w:lang w:val="en-US" w:eastAsia="zh-CN"/>
        </w:rPr>
      </w:pPr>
      <w:r>
        <w:rPr>
          <w:rFonts w:hint="eastAsia"/>
          <w:b/>
          <w:bCs/>
          <w:lang w:val="en-US" w:eastAsia="zh-CN"/>
        </w:rPr>
        <w:t>Proposal 9:</w:t>
      </w:r>
      <w:r>
        <w:rPr>
          <w:rFonts w:hint="eastAsia"/>
          <w:lang w:val="en-US" w:eastAsia="zh-CN"/>
        </w:rPr>
        <w:t xml:space="preserve"> for spectrum configuration in Figure 3a</w:t>
      </w:r>
      <w:r>
        <w:rPr>
          <w:rFonts w:hint="eastAsia"/>
          <w:highlight w:val="none"/>
          <w:lang w:val="en-US" w:eastAsia="zh-CN"/>
        </w:rPr>
        <w:t>, more clarity is needed whether there should be two individual pass band or single pass band with non-contiguous spectrum configuration.</w:t>
      </w:r>
    </w:p>
    <w:p>
      <w:pPr>
        <w:rPr>
          <w:rFonts w:hint="default"/>
          <w:highlight w:val="yellow"/>
          <w:lang w:val="en-US" w:eastAsia="zh-CN"/>
        </w:rPr>
      </w:pPr>
    </w:p>
    <w:p>
      <w:pPr>
        <w:rPr>
          <w:rFonts w:hint="eastAsia"/>
          <w:lang w:val="en-US" w:eastAsia="zh-CN"/>
        </w:rPr>
      </w:pPr>
    </w:p>
    <w:p>
      <w:pPr>
        <w:jc w:val="center"/>
      </w:pPr>
      <w:r>
        <w:drawing>
          <wp:inline distT="0" distB="0" distL="114300" distR="114300">
            <wp:extent cx="3457575" cy="1085850"/>
            <wp:effectExtent l="0" t="0" r="9525"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3457575" cy="1085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Figure 3. pass band with partial spectrum configuration</w:t>
      </w:r>
    </w:p>
    <w:p>
      <w:pPr>
        <w:jc w:val="center"/>
        <w:rPr>
          <w:rFonts w:hint="eastAsia"/>
          <w:lang w:val="en-US" w:eastAsia="zh-CN"/>
        </w:rPr>
      </w:pPr>
    </w:p>
    <w:p>
      <w:pPr>
        <w:rPr>
          <w:rFonts w:hint="eastAsia"/>
          <w:lang w:val="en-US" w:eastAsia="zh-CN"/>
        </w:rPr>
      </w:pPr>
      <w:r>
        <w:rPr>
          <w:rFonts w:hint="eastAsia"/>
          <w:lang w:val="en-US" w:eastAsia="zh-CN"/>
        </w:rPr>
        <w:br w:type="page"/>
      </w:r>
    </w:p>
    <w:p>
      <w:pPr>
        <w:jc w:val="center"/>
        <w:rPr>
          <w:rFonts w:hint="eastAsia"/>
          <w:lang w:val="en-US" w:eastAsia="zh-CN"/>
        </w:rPr>
      </w:pPr>
      <w:r>
        <w:drawing>
          <wp:inline distT="0" distB="0" distL="114300" distR="114300">
            <wp:extent cx="3457575" cy="1085850"/>
            <wp:effectExtent l="0" t="0" r="952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3457575" cy="1085850"/>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 Figure 3a. pass band with partial spectrum configuration</w:t>
      </w:r>
    </w:p>
    <w:p>
      <w:pPr>
        <w:rPr>
          <w:rFonts w:hint="default"/>
          <w:lang w:val="en-US" w:eastAsia="zh-CN"/>
        </w:rPr>
      </w:pPr>
    </w:p>
    <w:p>
      <w:pPr>
        <w:rPr>
          <w:lang w:val="en-US"/>
        </w:rPr>
      </w:pPr>
      <w:r>
        <w:rPr>
          <w:rFonts w:hint="eastAsia"/>
          <w:lang w:val="en-US"/>
        </w:rPr>
        <w:t>WF:</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lang w:val="en-US"/>
        </w:rPr>
        <w:t>OBUE will be defined for both DL and UL whether ACLR is defined or not.</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lang w:val="en-US"/>
        </w:rPr>
        <w:t>Reuse BS OBUE requirement for DL</w:t>
      </w:r>
      <w:r>
        <w:rPr>
          <w:rFonts w:eastAsiaTheme="minorEastAsia"/>
          <w:bCs/>
          <w:lang w:val="en-US"/>
        </w:rPr>
        <w:t xml:space="preserve"> at least outside pass band(s)</w:t>
      </w:r>
      <w:r>
        <w:rPr>
          <w:rFonts w:hint="eastAsia" w:eastAsiaTheme="minorEastAsia"/>
          <w:bCs/>
          <w:lang w:val="en-US"/>
        </w:rPr>
        <w:t>.</w:t>
      </w:r>
      <w:r>
        <w:rPr>
          <w:rFonts w:hint="eastAsia" w:eastAsiaTheme="minorEastAsia"/>
          <w:bCs/>
          <w:lang w:val="en-US" w:eastAsia="zh-CN"/>
        </w:rPr>
        <w:t xml:space="preserve"> FFS the requirements for inside pass band.</w:t>
      </w:r>
    </w:p>
    <w:p>
      <w:pPr>
        <w:numPr>
          <w:ilvl w:val="0"/>
          <w:numId w:val="3"/>
        </w:numPr>
        <w:overflowPunct/>
        <w:autoSpaceDE/>
        <w:autoSpaceDN/>
        <w:adjustRightInd/>
        <w:spacing w:after="120"/>
        <w:ind w:left="357" w:hanging="357"/>
        <w:rPr>
          <w:rFonts w:eastAsiaTheme="minorEastAsia"/>
          <w:bCs/>
          <w:lang w:val="en-US"/>
        </w:rPr>
      </w:pPr>
      <w:r>
        <w:rPr>
          <w:rFonts w:hint="eastAsia" w:eastAsiaTheme="minorEastAsia"/>
          <w:bCs/>
          <w:lang w:val="en-US"/>
        </w:rPr>
        <w:t>FFS UL OBUE.</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2.4. CACLR</w:t>
      </w:r>
    </w:p>
    <w:p>
      <w:pPr>
        <w:rPr>
          <w:rFonts w:hint="default" w:eastAsiaTheme="minorEastAsia"/>
          <w:lang w:val="en-US" w:eastAsia="zh-CN"/>
        </w:rPr>
      </w:pPr>
      <w:r>
        <w:rPr>
          <w:rFonts w:hint="eastAsia" w:eastAsiaTheme="minorEastAsia"/>
          <w:lang w:val="en-US" w:eastAsia="zh-CN"/>
        </w:rPr>
        <w:t xml:space="preserve">The Wgap defined for </w:t>
      </w:r>
      <w:r>
        <w:rPr>
          <w:rFonts w:eastAsiaTheme="minorEastAsia"/>
          <w:lang w:val="en-US" w:eastAsia="zh-CN"/>
        </w:rPr>
        <w:t>ACLR limit in non-contiguous spectrum or multiple bands</w:t>
      </w:r>
      <w:r>
        <w:rPr>
          <w:rFonts w:hint="eastAsia" w:eastAsiaTheme="minorEastAsia"/>
          <w:lang w:val="en-US" w:eastAsia="zh-CN"/>
        </w:rPr>
        <w:t xml:space="preserve"> and </w:t>
      </w:r>
      <w:r>
        <w:rPr>
          <w:rFonts w:eastAsiaTheme="minorEastAsia"/>
          <w:lang w:val="en-US" w:eastAsia="zh-CN"/>
        </w:rPr>
        <w:t>CACLR limit</w:t>
      </w:r>
      <w:r>
        <w:rPr>
          <w:rFonts w:hint="eastAsia" w:eastAsiaTheme="minorEastAsia"/>
          <w:lang w:val="en-US" w:eastAsia="zh-CN"/>
        </w:rPr>
        <w:t>, this is mainly depending on ACLR definition for adjacent carrier for measurement and the component carriers on each side of sub-block gap. Since repeater will forward the the same carrier configurations from parent BS, therefore Wgap could also been applicable for repeater. Based on the pass band definition in LTE based repeater defined in TS 36.106, Wgap should be more applicable between gaps since within the spectrum is expected to be contiguous with single pass band.</w:t>
      </w:r>
    </w:p>
    <w:p>
      <w:pPr>
        <w:rPr>
          <w:rFonts w:hint="default" w:eastAsiaTheme="minorEastAsia"/>
          <w:lang w:val="en-US" w:eastAsia="zh-CN"/>
        </w:rPr>
      </w:pPr>
      <w:r>
        <w:rPr>
          <w:rFonts w:hint="eastAsia" w:eastAsiaTheme="minorEastAsia"/>
          <w:b/>
          <w:bCs/>
          <w:lang w:val="en-US" w:eastAsia="zh-CN"/>
        </w:rPr>
        <w:t>Proposal 10:</w:t>
      </w:r>
      <w:r>
        <w:rPr>
          <w:rFonts w:hint="eastAsia" w:eastAsiaTheme="minorEastAsia"/>
          <w:lang w:val="en-US" w:eastAsia="zh-CN"/>
        </w:rPr>
        <w:t xml:space="preserve"> Wgap for </w:t>
      </w:r>
      <w:r>
        <w:rPr>
          <w:rFonts w:eastAsiaTheme="minorEastAsia"/>
          <w:lang w:val="en-US" w:eastAsia="zh-CN"/>
        </w:rPr>
        <w:t>ACLR limit in non-contiguous spectrum or multiple bands</w:t>
      </w:r>
      <w:r>
        <w:rPr>
          <w:rFonts w:hint="eastAsia" w:eastAsiaTheme="minorEastAsia"/>
          <w:lang w:val="en-US" w:eastAsia="zh-CN"/>
        </w:rPr>
        <w:t xml:space="preserve"> and </w:t>
      </w:r>
      <w:r>
        <w:rPr>
          <w:rFonts w:eastAsiaTheme="minorEastAsia"/>
          <w:lang w:val="en-US" w:eastAsia="zh-CN"/>
        </w:rPr>
        <w:t>CACLR limit</w:t>
      </w:r>
      <w:r>
        <w:rPr>
          <w:rFonts w:hint="eastAsia" w:eastAsiaTheme="minorEastAsia"/>
          <w:lang w:val="en-US" w:eastAsia="zh-CN"/>
        </w:rPr>
        <w:t xml:space="preserve"> should be applicable for between pass bands at least. </w:t>
      </w:r>
    </w:p>
    <w:p>
      <w:pPr>
        <w:pBdr>
          <w:bottom w:val="single" w:color="auto" w:sz="4" w:space="0"/>
        </w:pBdr>
        <w:rPr>
          <w:rFonts w:hint="eastAsia"/>
          <w:lang w:val="en-US"/>
        </w:rPr>
      </w:pPr>
    </w:p>
    <w:p>
      <w:pPr>
        <w:rPr>
          <w:lang w:val="en-US"/>
        </w:rPr>
      </w:pPr>
      <w:r>
        <w:rPr>
          <w:rFonts w:hint="eastAsia"/>
          <w:lang w:val="en-US"/>
        </w:rPr>
        <w:t xml:space="preserve">CACLR will be discussed </w:t>
      </w:r>
      <w:r>
        <w:rPr>
          <w:lang w:val="en-US"/>
        </w:rPr>
        <w:t>when</w:t>
      </w:r>
      <w:r>
        <w:rPr>
          <w:rFonts w:hint="eastAsia"/>
          <w:lang w:val="en-US"/>
        </w:rPr>
        <w:t xml:space="preserve"> ACLR requirement is decided.</w:t>
      </w:r>
    </w:p>
    <w:p>
      <w:pPr>
        <w:rPr>
          <w:rFonts w:hint="default" w:eastAsia="Times New Roman"/>
          <w:highlight w:val="none"/>
          <w:lang w:val="en-US" w:eastAsia="zh-CN"/>
        </w:rPr>
      </w:pPr>
      <w:r>
        <w:rPr>
          <w:rFonts w:eastAsiaTheme="minorEastAsia"/>
          <w:lang w:val="en-US" w:eastAsia="zh-CN"/>
        </w:rPr>
        <w:t>Companies are encouraged to discuss whether gaps between carriers correspond to gaps between passbands or could be within a passband in next meeting.</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1: </w:t>
      </w:r>
      <w:r>
        <w:rPr>
          <w:rFonts w:hint="eastAsia"/>
          <w:lang w:val="en-US" w:eastAsia="zh-CN"/>
        </w:rPr>
        <w:t>to define DL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2:</w:t>
      </w:r>
      <w:r>
        <w:rPr>
          <w:rFonts w:hint="eastAsia"/>
          <w:lang w:val="en-US" w:eastAsia="zh-CN"/>
        </w:rPr>
        <w:t xml:space="preserve"> not to define DL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default"/>
          <w:lang w:val="en-US" w:eastAsia="zh-CN"/>
        </w:rPr>
      </w:pPr>
      <w:r>
        <w:rPr>
          <w:rFonts w:hint="eastAsia"/>
          <w:b/>
          <w:bCs/>
          <w:lang w:val="en-US" w:eastAsia="zh-CN"/>
        </w:rPr>
        <w:t xml:space="preserve">Proposal 3: </w:t>
      </w:r>
      <w:r>
        <w:rPr>
          <w:rFonts w:hint="eastAsia"/>
          <w:b w:val="0"/>
          <w:bCs w:val="0"/>
          <w:lang w:val="en-US" w:eastAsia="zh-CN"/>
        </w:rPr>
        <w:t xml:space="preserve">reuse BS </w:t>
      </w:r>
      <w:r>
        <w:rPr>
          <w:rFonts w:hint="eastAsia"/>
          <w:lang w:val="en-US" w:eastAsia="zh-CN"/>
        </w:rPr>
        <w:t xml:space="preserve">ACLR 45dBc for repeater DL outside of pass 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 xml:space="preserve">Proposal 4: </w:t>
      </w:r>
      <w:r>
        <w:rPr>
          <w:rFonts w:hint="eastAsia"/>
          <w:lang w:val="en-US" w:eastAsia="zh-CN"/>
        </w:rPr>
        <w:t>to define UL ACLR requirement outside of pass-band;</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lang w:val="en-US" w:eastAsia="zh-CN"/>
        </w:rPr>
      </w:pPr>
      <w:r>
        <w:rPr>
          <w:rFonts w:hint="eastAsia"/>
          <w:b/>
          <w:bCs/>
          <w:lang w:val="en-US" w:eastAsia="zh-CN"/>
        </w:rPr>
        <w:t>Proposal 5:</w:t>
      </w:r>
      <w:r>
        <w:rPr>
          <w:rFonts w:hint="eastAsia"/>
          <w:lang w:val="en-US" w:eastAsia="zh-CN"/>
        </w:rPr>
        <w:t xml:space="preserve"> not to define UL ACLR requirement within pass-band;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szCs w:val="24"/>
          <w:highlight w:val="green"/>
          <w:lang w:val="en-US"/>
        </w:rPr>
      </w:pPr>
      <w:r>
        <w:rPr>
          <w:rFonts w:hint="eastAsia"/>
          <w:b/>
          <w:bCs/>
          <w:lang w:val="en-US" w:eastAsia="zh-CN"/>
        </w:rPr>
        <w:t xml:space="preserve">Proposal 6: </w:t>
      </w:r>
      <w:r>
        <w:rPr>
          <w:rFonts w:hint="eastAsia"/>
          <w:b w:val="0"/>
          <w:bCs w:val="0"/>
          <w:lang w:val="en-US" w:eastAsia="zh-CN"/>
        </w:rPr>
        <w:t xml:space="preserve">reuse BS </w:t>
      </w:r>
      <w:r>
        <w:rPr>
          <w:rFonts w:hint="eastAsia"/>
          <w:lang w:val="en-US" w:eastAsia="zh-CN"/>
        </w:rPr>
        <w:t xml:space="preserve">ACLR 45dBc for repeater UL outside of pass band;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eastAsia"/>
          <w:lang w:val="en-US" w:eastAsia="zh-CN"/>
        </w:rPr>
      </w:pPr>
      <w:r>
        <w:rPr>
          <w:rFonts w:hint="eastAsia"/>
          <w:b/>
          <w:bCs/>
          <w:lang w:val="en-US" w:eastAsia="zh-CN"/>
        </w:rPr>
        <w:t xml:space="preserve">Proposal 7: </w:t>
      </w:r>
      <w:r>
        <w:rPr>
          <w:rFonts w:hint="eastAsia"/>
          <w:lang w:val="en-US" w:eastAsia="zh-CN"/>
        </w:rPr>
        <w:t>for repeater UL OBUE requirement outside pass band, to reuse BS OBUE requirements (e.g. WA and LA OBUE).</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eastAsia"/>
          <w:lang w:val="en-US" w:eastAsia="zh-CN"/>
        </w:rPr>
      </w:pPr>
      <w:r>
        <w:rPr>
          <w:rFonts w:hint="eastAsia"/>
          <w:b/>
          <w:bCs/>
          <w:lang w:val="en-US" w:eastAsia="zh-CN"/>
        </w:rPr>
        <w:t xml:space="preserve">Proposal 8: </w:t>
      </w:r>
      <w:r>
        <w:rPr>
          <w:rFonts w:hint="eastAsia"/>
          <w:lang w:val="en-US" w:eastAsia="zh-CN"/>
        </w:rPr>
        <w:t>for repeater DL and UL within pass band, to reuse BS OBUE requirements.</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default"/>
          <w:lang w:val="en-US" w:eastAsia="zh-CN"/>
        </w:rPr>
      </w:pPr>
      <w:r>
        <w:rPr>
          <w:rFonts w:hint="eastAsia"/>
          <w:b/>
          <w:bCs/>
          <w:lang w:val="en-US" w:eastAsia="zh-CN"/>
        </w:rPr>
        <w:t>Proposal 9:</w:t>
      </w:r>
      <w:r>
        <w:rPr>
          <w:rFonts w:hint="eastAsia"/>
          <w:lang w:val="en-US" w:eastAsia="zh-CN"/>
        </w:rPr>
        <w:t xml:space="preserve"> for spectrum configuration in Figure 3a</w:t>
      </w:r>
      <w:r>
        <w:rPr>
          <w:rFonts w:hint="eastAsia"/>
          <w:highlight w:val="none"/>
          <w:lang w:val="en-US" w:eastAsia="zh-CN"/>
        </w:rPr>
        <w:t>, more clarity is needed whether there should be two individual pass band or single pass band with non-contiguous spectrum configuration.</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rPr>
          <w:rFonts w:hint="eastAsia" w:cs="Times New Roman" w:eastAsiaTheme="minorEastAsia"/>
          <w:kern w:val="2"/>
          <w:sz w:val="21"/>
          <w:szCs w:val="22"/>
          <w:highlight w:val="none"/>
          <w:lang w:val="en-US" w:eastAsia="zh-CN" w:bidi="ar-SA"/>
        </w:rPr>
      </w:pPr>
      <w:r>
        <w:rPr>
          <w:rFonts w:hint="eastAsia" w:eastAsiaTheme="minorEastAsia"/>
          <w:b/>
          <w:bCs/>
          <w:lang w:val="en-US" w:eastAsia="zh-CN"/>
        </w:rPr>
        <w:t>Proposal 10:</w:t>
      </w:r>
      <w:r>
        <w:rPr>
          <w:rFonts w:hint="eastAsia" w:eastAsiaTheme="minorEastAsia"/>
          <w:lang w:val="en-US" w:eastAsia="zh-CN"/>
        </w:rPr>
        <w:t xml:space="preserve"> Wgap for </w:t>
      </w:r>
      <w:r>
        <w:rPr>
          <w:rFonts w:eastAsiaTheme="minorEastAsia"/>
          <w:lang w:val="en-US" w:eastAsia="zh-CN"/>
        </w:rPr>
        <w:t>ACLR limit in non-contiguous spectrum or multiple bands</w:t>
      </w:r>
      <w:r>
        <w:rPr>
          <w:rFonts w:hint="eastAsia" w:eastAsiaTheme="minorEastAsia"/>
          <w:lang w:val="en-US" w:eastAsia="zh-CN"/>
        </w:rPr>
        <w:t xml:space="preserve"> and </w:t>
      </w:r>
      <w:r>
        <w:rPr>
          <w:rFonts w:eastAsiaTheme="minorEastAsia"/>
          <w:lang w:val="en-US" w:eastAsia="zh-CN"/>
        </w:rPr>
        <w:t>CACLR limit</w:t>
      </w:r>
      <w:r>
        <w:rPr>
          <w:rFonts w:hint="eastAsia" w:eastAsiaTheme="minorEastAsia"/>
          <w:lang w:val="en-US" w:eastAsia="zh-CN"/>
        </w:rPr>
        <w:t xml:space="preserve"> should be applicable for between pass bands at least.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5"/>
        </w:numPr>
        <w:rPr>
          <w:sz w:val="20"/>
          <w:szCs w:val="20"/>
          <w:highlight w:val="none"/>
        </w:rPr>
      </w:pPr>
      <w:r>
        <w:rPr>
          <w:sz w:val="20"/>
          <w:szCs w:val="20"/>
          <w:highlight w:val="none"/>
        </w:rPr>
        <w:t>R4-2115720</w:t>
      </w:r>
      <w:r>
        <w:rPr>
          <w:rFonts w:hint="eastAsia"/>
          <w:sz w:val="20"/>
          <w:szCs w:val="20"/>
          <w:highlight w:val="none"/>
          <w:lang w:val="en-US" w:eastAsia="zh-CN"/>
        </w:rPr>
        <w:t>,</w:t>
      </w:r>
      <w:r>
        <w:rPr>
          <w:sz w:val="20"/>
          <w:szCs w:val="20"/>
          <w:highlight w:val="none"/>
        </w:rPr>
        <w:t>WF on conducted output power and emission requirements</w:t>
      </w:r>
      <w:r>
        <w:rPr>
          <w:rFonts w:hint="eastAsia"/>
          <w:sz w:val="20"/>
          <w:szCs w:val="20"/>
          <w:highlight w:val="none"/>
          <w:lang w:val="en-US" w:eastAsia="zh-CN"/>
        </w:rPr>
        <w:t>,CATT, approved.</w:t>
      </w:r>
    </w:p>
    <w:p>
      <w:pPr>
        <w:pStyle w:val="50"/>
        <w:numPr>
          <w:ilvl w:val="0"/>
          <w:numId w:val="5"/>
        </w:numPr>
        <w:rPr>
          <w:sz w:val="20"/>
          <w:szCs w:val="20"/>
          <w:highlight w:val="none"/>
        </w:rPr>
      </w:pPr>
      <w:r>
        <w:rPr>
          <w:sz w:val="20"/>
          <w:szCs w:val="20"/>
          <w:highlight w:val="none"/>
        </w:rPr>
        <w:t>R4-2115721</w:t>
      </w:r>
      <w:r>
        <w:rPr>
          <w:rFonts w:hint="eastAsia"/>
          <w:sz w:val="20"/>
          <w:szCs w:val="20"/>
          <w:highlight w:val="none"/>
          <w:lang w:val="en-US" w:eastAsia="zh-CN"/>
        </w:rPr>
        <w:t>,</w:t>
      </w:r>
      <w:r>
        <w:rPr>
          <w:sz w:val="20"/>
          <w:szCs w:val="20"/>
          <w:highlight w:val="none"/>
        </w:rPr>
        <w:t>WF on other conducted requirements</w:t>
      </w:r>
      <w:r>
        <w:rPr>
          <w:rFonts w:hint="eastAsia"/>
          <w:sz w:val="20"/>
          <w:szCs w:val="20"/>
          <w:highlight w:val="none"/>
          <w:lang w:val="en-US" w:eastAsia="zh-CN"/>
        </w:rPr>
        <w:t>,approved.</w:t>
      </w:r>
    </w:p>
    <w:p>
      <w:pPr>
        <w:pStyle w:val="50"/>
        <w:numPr>
          <w:ilvl w:val="0"/>
          <w:numId w:val="5"/>
        </w:numPr>
        <w:rPr>
          <w:rFonts w:hint="default"/>
          <w:sz w:val="20"/>
          <w:szCs w:val="20"/>
          <w:highlight w:val="none"/>
          <w:lang w:val="en-US" w:eastAsia="zh-CN"/>
        </w:rPr>
      </w:pPr>
      <w:r>
        <w:rPr>
          <w:rFonts w:hint="eastAsia"/>
          <w:sz w:val="20"/>
          <w:szCs w:val="20"/>
          <w:highlight w:val="none"/>
          <w:lang w:val="en-US" w:eastAsia="zh-CN"/>
        </w:rPr>
        <w:t>R4-21xxxx, Discussions on repeater conducted emission requirements, ZTE corporation</w:t>
      </w:r>
    </w:p>
    <w:p>
      <w:pPr>
        <w:pStyle w:val="50"/>
        <w:numPr>
          <w:ilvl w:val="0"/>
          <w:numId w:val="0"/>
        </w:numPr>
        <w:rPr>
          <w:sz w:val="20"/>
          <w:szCs w:val="20"/>
          <w:highlight w:val="none"/>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4.1.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06459E1"/>
    <w:multiLevelType w:val="multilevel"/>
    <w:tmpl w:val="206459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8E350F8"/>
    <w:multiLevelType w:val="multilevel"/>
    <w:tmpl w:val="28E350F8"/>
    <w:lvl w:ilvl="0" w:tentative="0">
      <w:start w:val="0"/>
      <w:numFmt w:val="bullet"/>
      <w:lvlText w:val="-"/>
      <w:lvlJc w:val="left"/>
      <w:pPr>
        <w:ind w:left="360" w:hanging="36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5F5FA3"/>
    <w:rsid w:val="016800B9"/>
    <w:rsid w:val="01791D2E"/>
    <w:rsid w:val="01821D8F"/>
    <w:rsid w:val="018C2266"/>
    <w:rsid w:val="018C3642"/>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B69FD"/>
    <w:rsid w:val="03A32E58"/>
    <w:rsid w:val="03C0647A"/>
    <w:rsid w:val="03CD6E1F"/>
    <w:rsid w:val="03D4427A"/>
    <w:rsid w:val="03E54642"/>
    <w:rsid w:val="03F54B29"/>
    <w:rsid w:val="03FF3D36"/>
    <w:rsid w:val="041875C1"/>
    <w:rsid w:val="04193A43"/>
    <w:rsid w:val="04252816"/>
    <w:rsid w:val="04376B0F"/>
    <w:rsid w:val="0444783F"/>
    <w:rsid w:val="044753DC"/>
    <w:rsid w:val="045E1DEE"/>
    <w:rsid w:val="04786ED3"/>
    <w:rsid w:val="048829D4"/>
    <w:rsid w:val="051034CD"/>
    <w:rsid w:val="051F43BC"/>
    <w:rsid w:val="053E1AC2"/>
    <w:rsid w:val="0545651B"/>
    <w:rsid w:val="05583DC1"/>
    <w:rsid w:val="05816D10"/>
    <w:rsid w:val="058E6ED4"/>
    <w:rsid w:val="05930F73"/>
    <w:rsid w:val="05940F3F"/>
    <w:rsid w:val="05991C8F"/>
    <w:rsid w:val="05A706E9"/>
    <w:rsid w:val="05B173DC"/>
    <w:rsid w:val="05B27D07"/>
    <w:rsid w:val="05B658ED"/>
    <w:rsid w:val="05BE42A5"/>
    <w:rsid w:val="05D16BC6"/>
    <w:rsid w:val="05E660EA"/>
    <w:rsid w:val="05EE3B4E"/>
    <w:rsid w:val="05FA1213"/>
    <w:rsid w:val="05FF3135"/>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CD3A64"/>
    <w:rsid w:val="06F30672"/>
    <w:rsid w:val="06F35A7A"/>
    <w:rsid w:val="06F35AB6"/>
    <w:rsid w:val="06F66B05"/>
    <w:rsid w:val="0708086F"/>
    <w:rsid w:val="072B7E46"/>
    <w:rsid w:val="072E6372"/>
    <w:rsid w:val="072F2139"/>
    <w:rsid w:val="07436058"/>
    <w:rsid w:val="074E566F"/>
    <w:rsid w:val="074F3DF9"/>
    <w:rsid w:val="07537C92"/>
    <w:rsid w:val="075670A4"/>
    <w:rsid w:val="075E667A"/>
    <w:rsid w:val="07660D5A"/>
    <w:rsid w:val="076F4BA4"/>
    <w:rsid w:val="07731BE6"/>
    <w:rsid w:val="077F542D"/>
    <w:rsid w:val="077F5D16"/>
    <w:rsid w:val="07817B19"/>
    <w:rsid w:val="07916BE4"/>
    <w:rsid w:val="07A2728D"/>
    <w:rsid w:val="07AA3E51"/>
    <w:rsid w:val="07BE51B2"/>
    <w:rsid w:val="07D835FB"/>
    <w:rsid w:val="07DD018B"/>
    <w:rsid w:val="07E014BE"/>
    <w:rsid w:val="07E85751"/>
    <w:rsid w:val="0800676F"/>
    <w:rsid w:val="08171593"/>
    <w:rsid w:val="0835476E"/>
    <w:rsid w:val="08367FC2"/>
    <w:rsid w:val="084E0029"/>
    <w:rsid w:val="085D6C7E"/>
    <w:rsid w:val="08611CAF"/>
    <w:rsid w:val="0865781A"/>
    <w:rsid w:val="0866133E"/>
    <w:rsid w:val="08692F64"/>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4109B5"/>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CD6A58"/>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A414D7"/>
    <w:rsid w:val="0AB329A9"/>
    <w:rsid w:val="0ABA55D8"/>
    <w:rsid w:val="0ACD4245"/>
    <w:rsid w:val="0AD57FD6"/>
    <w:rsid w:val="0ADD7B55"/>
    <w:rsid w:val="0B0569D0"/>
    <w:rsid w:val="0B110AC0"/>
    <w:rsid w:val="0B1157EF"/>
    <w:rsid w:val="0B1765E0"/>
    <w:rsid w:val="0B1C1D7C"/>
    <w:rsid w:val="0B22066E"/>
    <w:rsid w:val="0B2643BE"/>
    <w:rsid w:val="0B3F2432"/>
    <w:rsid w:val="0B4D5218"/>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37145B"/>
    <w:rsid w:val="0C3C0AB0"/>
    <w:rsid w:val="0C576E02"/>
    <w:rsid w:val="0C6038EF"/>
    <w:rsid w:val="0C654C73"/>
    <w:rsid w:val="0C663BE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1C1D16"/>
    <w:rsid w:val="0D2767B5"/>
    <w:rsid w:val="0D3E327E"/>
    <w:rsid w:val="0D5800C7"/>
    <w:rsid w:val="0D6A353C"/>
    <w:rsid w:val="0D904522"/>
    <w:rsid w:val="0D976014"/>
    <w:rsid w:val="0DA060E8"/>
    <w:rsid w:val="0DCE36F3"/>
    <w:rsid w:val="0DD621E4"/>
    <w:rsid w:val="0DDE1317"/>
    <w:rsid w:val="0DEE77C3"/>
    <w:rsid w:val="0DFF2594"/>
    <w:rsid w:val="0E0313B1"/>
    <w:rsid w:val="0E062A96"/>
    <w:rsid w:val="0E0D1A47"/>
    <w:rsid w:val="0E176FCD"/>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154FE6"/>
    <w:rsid w:val="1023666E"/>
    <w:rsid w:val="1035409F"/>
    <w:rsid w:val="1037078D"/>
    <w:rsid w:val="103A7991"/>
    <w:rsid w:val="10413A4E"/>
    <w:rsid w:val="10462479"/>
    <w:rsid w:val="104B2D15"/>
    <w:rsid w:val="10613177"/>
    <w:rsid w:val="10674DB0"/>
    <w:rsid w:val="106D678B"/>
    <w:rsid w:val="107374A2"/>
    <w:rsid w:val="10746083"/>
    <w:rsid w:val="10774625"/>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F0C5E"/>
    <w:rsid w:val="12F538D3"/>
    <w:rsid w:val="12F85F0D"/>
    <w:rsid w:val="131046DE"/>
    <w:rsid w:val="131B2229"/>
    <w:rsid w:val="131B463A"/>
    <w:rsid w:val="131D12BF"/>
    <w:rsid w:val="132625C2"/>
    <w:rsid w:val="132A7435"/>
    <w:rsid w:val="133B5756"/>
    <w:rsid w:val="135F5E4E"/>
    <w:rsid w:val="137F1B10"/>
    <w:rsid w:val="1382164E"/>
    <w:rsid w:val="13A62921"/>
    <w:rsid w:val="13AB3B97"/>
    <w:rsid w:val="13B35E26"/>
    <w:rsid w:val="13B66BD2"/>
    <w:rsid w:val="13BF66BA"/>
    <w:rsid w:val="13CA31CB"/>
    <w:rsid w:val="13CD1105"/>
    <w:rsid w:val="13DC36E2"/>
    <w:rsid w:val="13FE285E"/>
    <w:rsid w:val="1410395F"/>
    <w:rsid w:val="14220CA7"/>
    <w:rsid w:val="143802F8"/>
    <w:rsid w:val="144442DA"/>
    <w:rsid w:val="144C6544"/>
    <w:rsid w:val="14812D74"/>
    <w:rsid w:val="14836C15"/>
    <w:rsid w:val="14862300"/>
    <w:rsid w:val="148C00A0"/>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87FE5"/>
    <w:rsid w:val="157E21FE"/>
    <w:rsid w:val="1587411C"/>
    <w:rsid w:val="15A80FDC"/>
    <w:rsid w:val="15AA7A19"/>
    <w:rsid w:val="15AC5259"/>
    <w:rsid w:val="15AE02B1"/>
    <w:rsid w:val="15AE5475"/>
    <w:rsid w:val="15B06B12"/>
    <w:rsid w:val="15B75136"/>
    <w:rsid w:val="15BE3D9D"/>
    <w:rsid w:val="15D4474D"/>
    <w:rsid w:val="15D7597F"/>
    <w:rsid w:val="160C437B"/>
    <w:rsid w:val="16160429"/>
    <w:rsid w:val="161C3234"/>
    <w:rsid w:val="163562A4"/>
    <w:rsid w:val="1641433F"/>
    <w:rsid w:val="164D6264"/>
    <w:rsid w:val="165C4863"/>
    <w:rsid w:val="1663476A"/>
    <w:rsid w:val="166C0D1B"/>
    <w:rsid w:val="166E1C29"/>
    <w:rsid w:val="167344C7"/>
    <w:rsid w:val="16794785"/>
    <w:rsid w:val="16853FE3"/>
    <w:rsid w:val="1695742C"/>
    <w:rsid w:val="169D1595"/>
    <w:rsid w:val="16A65B92"/>
    <w:rsid w:val="16AD0A57"/>
    <w:rsid w:val="16BA18A0"/>
    <w:rsid w:val="16BD160C"/>
    <w:rsid w:val="16C41FCF"/>
    <w:rsid w:val="16DC6856"/>
    <w:rsid w:val="16E7220A"/>
    <w:rsid w:val="16F7773E"/>
    <w:rsid w:val="16FD7F89"/>
    <w:rsid w:val="170133DA"/>
    <w:rsid w:val="170259E1"/>
    <w:rsid w:val="17026088"/>
    <w:rsid w:val="170353FD"/>
    <w:rsid w:val="171053FC"/>
    <w:rsid w:val="17343071"/>
    <w:rsid w:val="17350245"/>
    <w:rsid w:val="17382580"/>
    <w:rsid w:val="175E4288"/>
    <w:rsid w:val="175F6489"/>
    <w:rsid w:val="176C704A"/>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3E4121"/>
    <w:rsid w:val="18420253"/>
    <w:rsid w:val="186B15D6"/>
    <w:rsid w:val="186C1DBE"/>
    <w:rsid w:val="186C5153"/>
    <w:rsid w:val="186E738D"/>
    <w:rsid w:val="187640ED"/>
    <w:rsid w:val="18804AA7"/>
    <w:rsid w:val="18A16B9A"/>
    <w:rsid w:val="18AB1905"/>
    <w:rsid w:val="18AF5199"/>
    <w:rsid w:val="18AF7C5B"/>
    <w:rsid w:val="18B417E1"/>
    <w:rsid w:val="18D979C0"/>
    <w:rsid w:val="18E67034"/>
    <w:rsid w:val="18E872D7"/>
    <w:rsid w:val="18F3471F"/>
    <w:rsid w:val="18F931E6"/>
    <w:rsid w:val="18FA042B"/>
    <w:rsid w:val="18FE4771"/>
    <w:rsid w:val="19046384"/>
    <w:rsid w:val="19191340"/>
    <w:rsid w:val="19200B97"/>
    <w:rsid w:val="19267DCF"/>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895A0E"/>
    <w:rsid w:val="19A7296F"/>
    <w:rsid w:val="19B94DE5"/>
    <w:rsid w:val="19BB7983"/>
    <w:rsid w:val="19D76F77"/>
    <w:rsid w:val="19DE7440"/>
    <w:rsid w:val="19FF1298"/>
    <w:rsid w:val="1A045B87"/>
    <w:rsid w:val="1A484A02"/>
    <w:rsid w:val="1A5F7253"/>
    <w:rsid w:val="1A6A0EEA"/>
    <w:rsid w:val="1A6D22C8"/>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CC4"/>
    <w:rsid w:val="1B0B3B20"/>
    <w:rsid w:val="1B1613A0"/>
    <w:rsid w:val="1B2A7E36"/>
    <w:rsid w:val="1B324397"/>
    <w:rsid w:val="1B372EB9"/>
    <w:rsid w:val="1B40005E"/>
    <w:rsid w:val="1B4268B4"/>
    <w:rsid w:val="1B427936"/>
    <w:rsid w:val="1B5D3106"/>
    <w:rsid w:val="1B7906CE"/>
    <w:rsid w:val="1B7D07F3"/>
    <w:rsid w:val="1B831B2B"/>
    <w:rsid w:val="1B944685"/>
    <w:rsid w:val="1BA57F07"/>
    <w:rsid w:val="1BAA3905"/>
    <w:rsid w:val="1BB01F6E"/>
    <w:rsid w:val="1BB848C7"/>
    <w:rsid w:val="1BCA7505"/>
    <w:rsid w:val="1BD91032"/>
    <w:rsid w:val="1BF768CD"/>
    <w:rsid w:val="1C08111C"/>
    <w:rsid w:val="1C0D0258"/>
    <w:rsid w:val="1C0D60C9"/>
    <w:rsid w:val="1C206F70"/>
    <w:rsid w:val="1C33796F"/>
    <w:rsid w:val="1C341EE3"/>
    <w:rsid w:val="1C441419"/>
    <w:rsid w:val="1C4774DD"/>
    <w:rsid w:val="1C561E66"/>
    <w:rsid w:val="1C5E3742"/>
    <w:rsid w:val="1C6D4144"/>
    <w:rsid w:val="1C726EC3"/>
    <w:rsid w:val="1C793EB9"/>
    <w:rsid w:val="1C807142"/>
    <w:rsid w:val="1C90266F"/>
    <w:rsid w:val="1C9A166E"/>
    <w:rsid w:val="1CAA7318"/>
    <w:rsid w:val="1CAD2752"/>
    <w:rsid w:val="1CB702E9"/>
    <w:rsid w:val="1CBE5026"/>
    <w:rsid w:val="1CD97139"/>
    <w:rsid w:val="1CF333A5"/>
    <w:rsid w:val="1D031DDA"/>
    <w:rsid w:val="1D0B731D"/>
    <w:rsid w:val="1D1F1D0C"/>
    <w:rsid w:val="1D2054C4"/>
    <w:rsid w:val="1D4969F4"/>
    <w:rsid w:val="1D4C117F"/>
    <w:rsid w:val="1D563E2F"/>
    <w:rsid w:val="1D5A17CD"/>
    <w:rsid w:val="1D684015"/>
    <w:rsid w:val="1D6F79AF"/>
    <w:rsid w:val="1D8F5B72"/>
    <w:rsid w:val="1D8F6826"/>
    <w:rsid w:val="1D9C5DA0"/>
    <w:rsid w:val="1D9C7126"/>
    <w:rsid w:val="1D9F462B"/>
    <w:rsid w:val="1DA265B5"/>
    <w:rsid w:val="1DB835A9"/>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EEC1621"/>
    <w:rsid w:val="1F141EF2"/>
    <w:rsid w:val="1F303EA7"/>
    <w:rsid w:val="1F3C6AF7"/>
    <w:rsid w:val="1F405E44"/>
    <w:rsid w:val="1F4A3D83"/>
    <w:rsid w:val="1F4E681F"/>
    <w:rsid w:val="1F5324C1"/>
    <w:rsid w:val="1F661994"/>
    <w:rsid w:val="1F6833F6"/>
    <w:rsid w:val="1F7959F4"/>
    <w:rsid w:val="1F7C19E4"/>
    <w:rsid w:val="1F83562C"/>
    <w:rsid w:val="1FB63655"/>
    <w:rsid w:val="1FBD7AAE"/>
    <w:rsid w:val="1FBE77B2"/>
    <w:rsid w:val="1FC26AB9"/>
    <w:rsid w:val="1FC511F0"/>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D06D34"/>
    <w:rsid w:val="21D52CEC"/>
    <w:rsid w:val="21F54612"/>
    <w:rsid w:val="21FF71D8"/>
    <w:rsid w:val="2209399D"/>
    <w:rsid w:val="22101F8E"/>
    <w:rsid w:val="2225227E"/>
    <w:rsid w:val="224E39DE"/>
    <w:rsid w:val="224E74D0"/>
    <w:rsid w:val="225C1E49"/>
    <w:rsid w:val="227F5037"/>
    <w:rsid w:val="228A008B"/>
    <w:rsid w:val="229A7E25"/>
    <w:rsid w:val="22AA0362"/>
    <w:rsid w:val="22B059F5"/>
    <w:rsid w:val="22B06BDB"/>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72E7E"/>
    <w:rsid w:val="235924CA"/>
    <w:rsid w:val="23592D87"/>
    <w:rsid w:val="235F162F"/>
    <w:rsid w:val="236D4F13"/>
    <w:rsid w:val="237B7D6C"/>
    <w:rsid w:val="23837B67"/>
    <w:rsid w:val="23857493"/>
    <w:rsid w:val="238755B6"/>
    <w:rsid w:val="23885214"/>
    <w:rsid w:val="238B65DE"/>
    <w:rsid w:val="239130F2"/>
    <w:rsid w:val="239B728F"/>
    <w:rsid w:val="23A1791D"/>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0C5C6A"/>
    <w:rsid w:val="251E0656"/>
    <w:rsid w:val="252053F9"/>
    <w:rsid w:val="25395126"/>
    <w:rsid w:val="25467DBB"/>
    <w:rsid w:val="25473E3C"/>
    <w:rsid w:val="254E34FC"/>
    <w:rsid w:val="256343AC"/>
    <w:rsid w:val="25771B32"/>
    <w:rsid w:val="257F18B5"/>
    <w:rsid w:val="25805FF5"/>
    <w:rsid w:val="258E66DC"/>
    <w:rsid w:val="258F15BB"/>
    <w:rsid w:val="259231BD"/>
    <w:rsid w:val="25A77DD4"/>
    <w:rsid w:val="25BB6C64"/>
    <w:rsid w:val="25C97301"/>
    <w:rsid w:val="25CD7961"/>
    <w:rsid w:val="25D64403"/>
    <w:rsid w:val="25F51596"/>
    <w:rsid w:val="260A55DA"/>
    <w:rsid w:val="260B255C"/>
    <w:rsid w:val="26217848"/>
    <w:rsid w:val="262E20E8"/>
    <w:rsid w:val="262E34C1"/>
    <w:rsid w:val="2640682F"/>
    <w:rsid w:val="26510DB8"/>
    <w:rsid w:val="26667EB2"/>
    <w:rsid w:val="266B1FB8"/>
    <w:rsid w:val="267B7FD0"/>
    <w:rsid w:val="267E518B"/>
    <w:rsid w:val="26872779"/>
    <w:rsid w:val="269B3F13"/>
    <w:rsid w:val="26A4288C"/>
    <w:rsid w:val="26A968B5"/>
    <w:rsid w:val="26BA59F2"/>
    <w:rsid w:val="26C36DE5"/>
    <w:rsid w:val="26C9404D"/>
    <w:rsid w:val="26D45590"/>
    <w:rsid w:val="26F40E3F"/>
    <w:rsid w:val="26F40EBD"/>
    <w:rsid w:val="26FA2DE3"/>
    <w:rsid w:val="27222699"/>
    <w:rsid w:val="272A3F42"/>
    <w:rsid w:val="273216D6"/>
    <w:rsid w:val="273D1CBA"/>
    <w:rsid w:val="274A7B1A"/>
    <w:rsid w:val="275439E1"/>
    <w:rsid w:val="276320D7"/>
    <w:rsid w:val="279408D2"/>
    <w:rsid w:val="279A2ED3"/>
    <w:rsid w:val="27B02558"/>
    <w:rsid w:val="27B03EC1"/>
    <w:rsid w:val="27B91021"/>
    <w:rsid w:val="27C06D17"/>
    <w:rsid w:val="27FE4240"/>
    <w:rsid w:val="280008FF"/>
    <w:rsid w:val="28050D91"/>
    <w:rsid w:val="281035C6"/>
    <w:rsid w:val="28255041"/>
    <w:rsid w:val="283A1E3E"/>
    <w:rsid w:val="284543A1"/>
    <w:rsid w:val="28553E1D"/>
    <w:rsid w:val="28762152"/>
    <w:rsid w:val="28821314"/>
    <w:rsid w:val="28AD2029"/>
    <w:rsid w:val="28B220F4"/>
    <w:rsid w:val="28C075A4"/>
    <w:rsid w:val="28DA6C60"/>
    <w:rsid w:val="28DB0A30"/>
    <w:rsid w:val="28F33F0D"/>
    <w:rsid w:val="28F95F71"/>
    <w:rsid w:val="290753B9"/>
    <w:rsid w:val="291712DF"/>
    <w:rsid w:val="29192BE8"/>
    <w:rsid w:val="291C432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F26903"/>
    <w:rsid w:val="2A06427E"/>
    <w:rsid w:val="2A0F7591"/>
    <w:rsid w:val="2A3B063B"/>
    <w:rsid w:val="2A49761F"/>
    <w:rsid w:val="2A4C74B8"/>
    <w:rsid w:val="2A500712"/>
    <w:rsid w:val="2A627A42"/>
    <w:rsid w:val="2A630308"/>
    <w:rsid w:val="2A676AD0"/>
    <w:rsid w:val="2A687AA6"/>
    <w:rsid w:val="2A770CC7"/>
    <w:rsid w:val="2A8B1FCC"/>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395B9E"/>
    <w:rsid w:val="2C416890"/>
    <w:rsid w:val="2C4D767D"/>
    <w:rsid w:val="2C5514C6"/>
    <w:rsid w:val="2C5C2032"/>
    <w:rsid w:val="2C5F0C97"/>
    <w:rsid w:val="2C72088D"/>
    <w:rsid w:val="2C7A3BB0"/>
    <w:rsid w:val="2C7D6665"/>
    <w:rsid w:val="2C865A05"/>
    <w:rsid w:val="2C8B0557"/>
    <w:rsid w:val="2C9A28D3"/>
    <w:rsid w:val="2CBC4209"/>
    <w:rsid w:val="2CC12D54"/>
    <w:rsid w:val="2CC9742A"/>
    <w:rsid w:val="2CDA4FDA"/>
    <w:rsid w:val="2CDC7091"/>
    <w:rsid w:val="2CE16D71"/>
    <w:rsid w:val="2CFD5C64"/>
    <w:rsid w:val="2D0128E8"/>
    <w:rsid w:val="2D0E231B"/>
    <w:rsid w:val="2D1A1A6B"/>
    <w:rsid w:val="2D1A4915"/>
    <w:rsid w:val="2D306B85"/>
    <w:rsid w:val="2D400A9F"/>
    <w:rsid w:val="2D7A06F1"/>
    <w:rsid w:val="2D8151A4"/>
    <w:rsid w:val="2DA02E9C"/>
    <w:rsid w:val="2DBF0C3E"/>
    <w:rsid w:val="2DBF1601"/>
    <w:rsid w:val="2DBF4C3A"/>
    <w:rsid w:val="2DC464AC"/>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4254B"/>
    <w:rsid w:val="2F4530B9"/>
    <w:rsid w:val="2F4B7821"/>
    <w:rsid w:val="2F526911"/>
    <w:rsid w:val="2F712CF7"/>
    <w:rsid w:val="2F805714"/>
    <w:rsid w:val="2F8E5F5C"/>
    <w:rsid w:val="2FA21231"/>
    <w:rsid w:val="2FAD4759"/>
    <w:rsid w:val="2FAD5866"/>
    <w:rsid w:val="2FCA0967"/>
    <w:rsid w:val="2FE20568"/>
    <w:rsid w:val="2FF117AD"/>
    <w:rsid w:val="2FF95633"/>
    <w:rsid w:val="30010F70"/>
    <w:rsid w:val="300F7F13"/>
    <w:rsid w:val="301E3C00"/>
    <w:rsid w:val="302E1CAD"/>
    <w:rsid w:val="3045713F"/>
    <w:rsid w:val="30500A5C"/>
    <w:rsid w:val="30752E77"/>
    <w:rsid w:val="308018A6"/>
    <w:rsid w:val="30804E19"/>
    <w:rsid w:val="3090288F"/>
    <w:rsid w:val="309B0CFB"/>
    <w:rsid w:val="309E4272"/>
    <w:rsid w:val="30B7307E"/>
    <w:rsid w:val="30DC45E8"/>
    <w:rsid w:val="30DD6027"/>
    <w:rsid w:val="30DE16AB"/>
    <w:rsid w:val="30F24AB3"/>
    <w:rsid w:val="30F44A95"/>
    <w:rsid w:val="30F77A98"/>
    <w:rsid w:val="30FA21D8"/>
    <w:rsid w:val="30FC2A23"/>
    <w:rsid w:val="31197ABC"/>
    <w:rsid w:val="311D5B14"/>
    <w:rsid w:val="312D1F98"/>
    <w:rsid w:val="313A7B85"/>
    <w:rsid w:val="31454E97"/>
    <w:rsid w:val="314A019C"/>
    <w:rsid w:val="31584385"/>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60D3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A851E8"/>
    <w:rsid w:val="34B51A96"/>
    <w:rsid w:val="34C800BD"/>
    <w:rsid w:val="34D47C8A"/>
    <w:rsid w:val="34DB0CAC"/>
    <w:rsid w:val="34E972FC"/>
    <w:rsid w:val="34FF2166"/>
    <w:rsid w:val="351C075B"/>
    <w:rsid w:val="35233F18"/>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5955CF"/>
    <w:rsid w:val="365F765A"/>
    <w:rsid w:val="36627C0A"/>
    <w:rsid w:val="36693B36"/>
    <w:rsid w:val="366B0AAA"/>
    <w:rsid w:val="366D49A8"/>
    <w:rsid w:val="36752210"/>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8A731A"/>
    <w:rsid w:val="378E3617"/>
    <w:rsid w:val="37931A90"/>
    <w:rsid w:val="37A4082B"/>
    <w:rsid w:val="37A4627C"/>
    <w:rsid w:val="37A530D5"/>
    <w:rsid w:val="37B1214B"/>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6501D"/>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9070B"/>
    <w:rsid w:val="39EC7454"/>
    <w:rsid w:val="39FD2FB3"/>
    <w:rsid w:val="3A1A155D"/>
    <w:rsid w:val="3A237175"/>
    <w:rsid w:val="3A711C68"/>
    <w:rsid w:val="3A7927E8"/>
    <w:rsid w:val="3A796E46"/>
    <w:rsid w:val="3A8B3C77"/>
    <w:rsid w:val="3A9A224E"/>
    <w:rsid w:val="3A9C1F8C"/>
    <w:rsid w:val="3A9D2551"/>
    <w:rsid w:val="3AA15A8E"/>
    <w:rsid w:val="3AA97F70"/>
    <w:rsid w:val="3AB26A14"/>
    <w:rsid w:val="3ABF42F5"/>
    <w:rsid w:val="3AFD37D0"/>
    <w:rsid w:val="3B016EE9"/>
    <w:rsid w:val="3B075C4E"/>
    <w:rsid w:val="3B0D67FF"/>
    <w:rsid w:val="3B0E6B93"/>
    <w:rsid w:val="3B130528"/>
    <w:rsid w:val="3B3A132E"/>
    <w:rsid w:val="3B456D7F"/>
    <w:rsid w:val="3B5E261D"/>
    <w:rsid w:val="3B5F14B4"/>
    <w:rsid w:val="3B616FBE"/>
    <w:rsid w:val="3B683A4D"/>
    <w:rsid w:val="3B6F5B73"/>
    <w:rsid w:val="3B7B1D0B"/>
    <w:rsid w:val="3B873119"/>
    <w:rsid w:val="3BA35FC1"/>
    <w:rsid w:val="3BA566FD"/>
    <w:rsid w:val="3BA7008A"/>
    <w:rsid w:val="3BB47D9F"/>
    <w:rsid w:val="3BDE5F43"/>
    <w:rsid w:val="3BF10AAD"/>
    <w:rsid w:val="3BFA10FC"/>
    <w:rsid w:val="3C042946"/>
    <w:rsid w:val="3C070D59"/>
    <w:rsid w:val="3C074961"/>
    <w:rsid w:val="3C0E09BE"/>
    <w:rsid w:val="3C0F1954"/>
    <w:rsid w:val="3C1071B6"/>
    <w:rsid w:val="3C1E391D"/>
    <w:rsid w:val="3C294498"/>
    <w:rsid w:val="3C2D5003"/>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035272"/>
    <w:rsid w:val="3D184661"/>
    <w:rsid w:val="3D200D7C"/>
    <w:rsid w:val="3D272F24"/>
    <w:rsid w:val="3D47670E"/>
    <w:rsid w:val="3D4D7CF8"/>
    <w:rsid w:val="3D58163A"/>
    <w:rsid w:val="3D5A05E2"/>
    <w:rsid w:val="3D5C63D4"/>
    <w:rsid w:val="3D5E50E6"/>
    <w:rsid w:val="3D7618FA"/>
    <w:rsid w:val="3D766E42"/>
    <w:rsid w:val="3D791797"/>
    <w:rsid w:val="3D832B00"/>
    <w:rsid w:val="3D8522AA"/>
    <w:rsid w:val="3D990197"/>
    <w:rsid w:val="3D9A0655"/>
    <w:rsid w:val="3DB17297"/>
    <w:rsid w:val="3DCD6921"/>
    <w:rsid w:val="3DD745F2"/>
    <w:rsid w:val="3DE37514"/>
    <w:rsid w:val="3DE548AC"/>
    <w:rsid w:val="3DE653F8"/>
    <w:rsid w:val="3DE72673"/>
    <w:rsid w:val="3DEB1255"/>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51CAD"/>
    <w:rsid w:val="3EC80A9D"/>
    <w:rsid w:val="3ECF0F50"/>
    <w:rsid w:val="3ECF234A"/>
    <w:rsid w:val="3ED671CD"/>
    <w:rsid w:val="3EE14A57"/>
    <w:rsid w:val="3EE21263"/>
    <w:rsid w:val="3EF36AD8"/>
    <w:rsid w:val="3EF62480"/>
    <w:rsid w:val="3F144192"/>
    <w:rsid w:val="3F217DDA"/>
    <w:rsid w:val="3F441B08"/>
    <w:rsid w:val="3F4A4087"/>
    <w:rsid w:val="3F5361F5"/>
    <w:rsid w:val="3F952814"/>
    <w:rsid w:val="3FA41C63"/>
    <w:rsid w:val="3FAB3D87"/>
    <w:rsid w:val="3FAB41A2"/>
    <w:rsid w:val="3FAE47F6"/>
    <w:rsid w:val="3FE210C1"/>
    <w:rsid w:val="3FEB1C22"/>
    <w:rsid w:val="40073561"/>
    <w:rsid w:val="400A1CFC"/>
    <w:rsid w:val="401D6DEE"/>
    <w:rsid w:val="403D7C5C"/>
    <w:rsid w:val="40400533"/>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294221"/>
    <w:rsid w:val="422E207E"/>
    <w:rsid w:val="423038F8"/>
    <w:rsid w:val="424A277B"/>
    <w:rsid w:val="42571AE1"/>
    <w:rsid w:val="42697E79"/>
    <w:rsid w:val="42730E0D"/>
    <w:rsid w:val="427409B9"/>
    <w:rsid w:val="42831021"/>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3090C"/>
    <w:rsid w:val="436A2192"/>
    <w:rsid w:val="438B6310"/>
    <w:rsid w:val="4397231A"/>
    <w:rsid w:val="439C3431"/>
    <w:rsid w:val="439D0E7C"/>
    <w:rsid w:val="43A26A83"/>
    <w:rsid w:val="43D67A91"/>
    <w:rsid w:val="43E21F58"/>
    <w:rsid w:val="43E35EF0"/>
    <w:rsid w:val="43F76F69"/>
    <w:rsid w:val="43FC0DB2"/>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385EDA"/>
    <w:rsid w:val="45446179"/>
    <w:rsid w:val="454E4F75"/>
    <w:rsid w:val="454E6B7A"/>
    <w:rsid w:val="4551463D"/>
    <w:rsid w:val="456C4CA4"/>
    <w:rsid w:val="457736FF"/>
    <w:rsid w:val="45790DCE"/>
    <w:rsid w:val="457E31A2"/>
    <w:rsid w:val="458B757C"/>
    <w:rsid w:val="45917B8A"/>
    <w:rsid w:val="459B634C"/>
    <w:rsid w:val="459F2381"/>
    <w:rsid w:val="45B64B84"/>
    <w:rsid w:val="45E526A6"/>
    <w:rsid w:val="45E826B2"/>
    <w:rsid w:val="45F4334C"/>
    <w:rsid w:val="460D3781"/>
    <w:rsid w:val="46466453"/>
    <w:rsid w:val="4662020E"/>
    <w:rsid w:val="4671651F"/>
    <w:rsid w:val="46787358"/>
    <w:rsid w:val="4679494F"/>
    <w:rsid w:val="467A6815"/>
    <w:rsid w:val="468A27AC"/>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1563E1"/>
    <w:rsid w:val="47333B1B"/>
    <w:rsid w:val="47351654"/>
    <w:rsid w:val="473D0BD8"/>
    <w:rsid w:val="47457188"/>
    <w:rsid w:val="47644CFB"/>
    <w:rsid w:val="47666951"/>
    <w:rsid w:val="47683159"/>
    <w:rsid w:val="476A7D07"/>
    <w:rsid w:val="479D7800"/>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8E25F1"/>
    <w:rsid w:val="48942964"/>
    <w:rsid w:val="489B4431"/>
    <w:rsid w:val="489F0E5C"/>
    <w:rsid w:val="48A36B1C"/>
    <w:rsid w:val="48A76BEF"/>
    <w:rsid w:val="48AF255D"/>
    <w:rsid w:val="48B16C29"/>
    <w:rsid w:val="48B305F1"/>
    <w:rsid w:val="48B470F8"/>
    <w:rsid w:val="48C43EFA"/>
    <w:rsid w:val="48C72E35"/>
    <w:rsid w:val="48C82BD7"/>
    <w:rsid w:val="48DC218B"/>
    <w:rsid w:val="48F447F8"/>
    <w:rsid w:val="49075A63"/>
    <w:rsid w:val="490933FA"/>
    <w:rsid w:val="490A4D2F"/>
    <w:rsid w:val="490A64AF"/>
    <w:rsid w:val="49224F55"/>
    <w:rsid w:val="49241D45"/>
    <w:rsid w:val="492F1F4E"/>
    <w:rsid w:val="4935171C"/>
    <w:rsid w:val="49366254"/>
    <w:rsid w:val="493A0176"/>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25AD9"/>
    <w:rsid w:val="4A840EFE"/>
    <w:rsid w:val="4AA456B8"/>
    <w:rsid w:val="4AA75186"/>
    <w:rsid w:val="4AB113DF"/>
    <w:rsid w:val="4AC4256B"/>
    <w:rsid w:val="4AC860DD"/>
    <w:rsid w:val="4AD162A8"/>
    <w:rsid w:val="4AD25C89"/>
    <w:rsid w:val="4AD768C6"/>
    <w:rsid w:val="4AF902F5"/>
    <w:rsid w:val="4AF94D42"/>
    <w:rsid w:val="4B376E2E"/>
    <w:rsid w:val="4B385AE2"/>
    <w:rsid w:val="4B53122B"/>
    <w:rsid w:val="4B571002"/>
    <w:rsid w:val="4B705844"/>
    <w:rsid w:val="4B7224D0"/>
    <w:rsid w:val="4B731C20"/>
    <w:rsid w:val="4B774607"/>
    <w:rsid w:val="4B7A3C96"/>
    <w:rsid w:val="4B7D4F5D"/>
    <w:rsid w:val="4B82716C"/>
    <w:rsid w:val="4B857EC6"/>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74009"/>
    <w:rsid w:val="4CC17C3E"/>
    <w:rsid w:val="4CC42462"/>
    <w:rsid w:val="4CC82CB8"/>
    <w:rsid w:val="4CCD5921"/>
    <w:rsid w:val="4CD550D5"/>
    <w:rsid w:val="4CDA21DD"/>
    <w:rsid w:val="4CF04CFC"/>
    <w:rsid w:val="4CF26BC3"/>
    <w:rsid w:val="4CFB51DB"/>
    <w:rsid w:val="4D0F1680"/>
    <w:rsid w:val="4D1D6CA0"/>
    <w:rsid w:val="4D2609C6"/>
    <w:rsid w:val="4D2F5C2A"/>
    <w:rsid w:val="4D33448A"/>
    <w:rsid w:val="4D3A4B62"/>
    <w:rsid w:val="4D3F4840"/>
    <w:rsid w:val="4D410392"/>
    <w:rsid w:val="4D422D07"/>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5BA9"/>
    <w:rsid w:val="4E9F5613"/>
    <w:rsid w:val="4EA9172F"/>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4FFF49BB"/>
    <w:rsid w:val="50046739"/>
    <w:rsid w:val="50095827"/>
    <w:rsid w:val="50100572"/>
    <w:rsid w:val="50186BF6"/>
    <w:rsid w:val="502C4247"/>
    <w:rsid w:val="502D25A0"/>
    <w:rsid w:val="50347D28"/>
    <w:rsid w:val="503D5373"/>
    <w:rsid w:val="504261AC"/>
    <w:rsid w:val="505F1426"/>
    <w:rsid w:val="506309DB"/>
    <w:rsid w:val="50752AF6"/>
    <w:rsid w:val="50B139BD"/>
    <w:rsid w:val="50B92297"/>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C0CA0"/>
    <w:rsid w:val="517F00BC"/>
    <w:rsid w:val="5195533B"/>
    <w:rsid w:val="519D2F03"/>
    <w:rsid w:val="51BE2EAE"/>
    <w:rsid w:val="51DA51E8"/>
    <w:rsid w:val="51DA5890"/>
    <w:rsid w:val="51E90CD5"/>
    <w:rsid w:val="51EE7B3E"/>
    <w:rsid w:val="51F96848"/>
    <w:rsid w:val="52073487"/>
    <w:rsid w:val="521C5D43"/>
    <w:rsid w:val="521D7ED7"/>
    <w:rsid w:val="5239194F"/>
    <w:rsid w:val="52612620"/>
    <w:rsid w:val="526478E1"/>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207ABD"/>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CC47C4"/>
    <w:rsid w:val="54DF688B"/>
    <w:rsid w:val="54E95643"/>
    <w:rsid w:val="550E6C32"/>
    <w:rsid w:val="551C2E90"/>
    <w:rsid w:val="554E0863"/>
    <w:rsid w:val="555737A6"/>
    <w:rsid w:val="55611FED"/>
    <w:rsid w:val="556C1CC4"/>
    <w:rsid w:val="55712540"/>
    <w:rsid w:val="55743D64"/>
    <w:rsid w:val="5577741D"/>
    <w:rsid w:val="558126EC"/>
    <w:rsid w:val="55883669"/>
    <w:rsid w:val="558A44CE"/>
    <w:rsid w:val="559537DA"/>
    <w:rsid w:val="55B403DD"/>
    <w:rsid w:val="55C0140E"/>
    <w:rsid w:val="55CF48E7"/>
    <w:rsid w:val="55D0342A"/>
    <w:rsid w:val="55D849A1"/>
    <w:rsid w:val="55E31A15"/>
    <w:rsid w:val="55E5367A"/>
    <w:rsid w:val="5609174E"/>
    <w:rsid w:val="56214A7B"/>
    <w:rsid w:val="562E1F90"/>
    <w:rsid w:val="56373380"/>
    <w:rsid w:val="563B616D"/>
    <w:rsid w:val="56436207"/>
    <w:rsid w:val="566510CB"/>
    <w:rsid w:val="567215D4"/>
    <w:rsid w:val="567A6CC0"/>
    <w:rsid w:val="568D0940"/>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7168"/>
    <w:rsid w:val="57B02763"/>
    <w:rsid w:val="57B6547E"/>
    <w:rsid w:val="57BF6387"/>
    <w:rsid w:val="57D01AAC"/>
    <w:rsid w:val="57DD4E33"/>
    <w:rsid w:val="57DF6500"/>
    <w:rsid w:val="57E73B61"/>
    <w:rsid w:val="57F01737"/>
    <w:rsid w:val="57F73696"/>
    <w:rsid w:val="5803475B"/>
    <w:rsid w:val="580A6FBE"/>
    <w:rsid w:val="580F5BC1"/>
    <w:rsid w:val="5822786C"/>
    <w:rsid w:val="58243371"/>
    <w:rsid w:val="58302962"/>
    <w:rsid w:val="5835010B"/>
    <w:rsid w:val="58590DD2"/>
    <w:rsid w:val="5863473D"/>
    <w:rsid w:val="586E1447"/>
    <w:rsid w:val="5878285F"/>
    <w:rsid w:val="587E2D46"/>
    <w:rsid w:val="588509DD"/>
    <w:rsid w:val="588D555E"/>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B000850"/>
    <w:rsid w:val="5B187495"/>
    <w:rsid w:val="5B1B10FA"/>
    <w:rsid w:val="5B1B5003"/>
    <w:rsid w:val="5B225A79"/>
    <w:rsid w:val="5B2445B5"/>
    <w:rsid w:val="5B2559CC"/>
    <w:rsid w:val="5B492D29"/>
    <w:rsid w:val="5B532679"/>
    <w:rsid w:val="5B5B64C5"/>
    <w:rsid w:val="5B627DC7"/>
    <w:rsid w:val="5B6C5737"/>
    <w:rsid w:val="5B896F76"/>
    <w:rsid w:val="5B975E5B"/>
    <w:rsid w:val="5B9C0984"/>
    <w:rsid w:val="5BB214B7"/>
    <w:rsid w:val="5BBE6EBD"/>
    <w:rsid w:val="5BC02787"/>
    <w:rsid w:val="5BD41880"/>
    <w:rsid w:val="5BE23D1E"/>
    <w:rsid w:val="5BE24CD9"/>
    <w:rsid w:val="5BE50680"/>
    <w:rsid w:val="5BE52EE1"/>
    <w:rsid w:val="5BEA2231"/>
    <w:rsid w:val="5BF23EBC"/>
    <w:rsid w:val="5BF524ED"/>
    <w:rsid w:val="5BF65E64"/>
    <w:rsid w:val="5BFD4032"/>
    <w:rsid w:val="5C087355"/>
    <w:rsid w:val="5C1832F4"/>
    <w:rsid w:val="5C1A304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822EE"/>
    <w:rsid w:val="5D5864DB"/>
    <w:rsid w:val="5D73393B"/>
    <w:rsid w:val="5D784379"/>
    <w:rsid w:val="5D7B3457"/>
    <w:rsid w:val="5D8B2715"/>
    <w:rsid w:val="5D915AFD"/>
    <w:rsid w:val="5D9F7C74"/>
    <w:rsid w:val="5DAE2E8C"/>
    <w:rsid w:val="5DAE7F34"/>
    <w:rsid w:val="5DB65502"/>
    <w:rsid w:val="5E00720B"/>
    <w:rsid w:val="5E012896"/>
    <w:rsid w:val="5E0825B2"/>
    <w:rsid w:val="5E0A6049"/>
    <w:rsid w:val="5E156B70"/>
    <w:rsid w:val="5E21165A"/>
    <w:rsid w:val="5E226508"/>
    <w:rsid w:val="5E5F0687"/>
    <w:rsid w:val="5E783202"/>
    <w:rsid w:val="5E7842EE"/>
    <w:rsid w:val="5EA648E2"/>
    <w:rsid w:val="5EB52E6F"/>
    <w:rsid w:val="5EC94A60"/>
    <w:rsid w:val="5ED95EEE"/>
    <w:rsid w:val="5EF04AC4"/>
    <w:rsid w:val="5EF47473"/>
    <w:rsid w:val="5EFE064F"/>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744A9"/>
    <w:rsid w:val="5FFE6C22"/>
    <w:rsid w:val="60000309"/>
    <w:rsid w:val="600B6B90"/>
    <w:rsid w:val="600C3224"/>
    <w:rsid w:val="600F6605"/>
    <w:rsid w:val="60143AD3"/>
    <w:rsid w:val="60281FCD"/>
    <w:rsid w:val="603771DA"/>
    <w:rsid w:val="60734371"/>
    <w:rsid w:val="6085543E"/>
    <w:rsid w:val="60907882"/>
    <w:rsid w:val="609258F0"/>
    <w:rsid w:val="609517E9"/>
    <w:rsid w:val="609A2B73"/>
    <w:rsid w:val="60BA0952"/>
    <w:rsid w:val="60C5483E"/>
    <w:rsid w:val="60C867C5"/>
    <w:rsid w:val="60D3354A"/>
    <w:rsid w:val="60DB0800"/>
    <w:rsid w:val="60DE0DB6"/>
    <w:rsid w:val="60E54273"/>
    <w:rsid w:val="60F46839"/>
    <w:rsid w:val="61067A64"/>
    <w:rsid w:val="610C7D1D"/>
    <w:rsid w:val="6112529A"/>
    <w:rsid w:val="611A7B15"/>
    <w:rsid w:val="611C59F7"/>
    <w:rsid w:val="611F0B09"/>
    <w:rsid w:val="61200AAF"/>
    <w:rsid w:val="612D2321"/>
    <w:rsid w:val="61455CF4"/>
    <w:rsid w:val="61466898"/>
    <w:rsid w:val="616B25D0"/>
    <w:rsid w:val="616E223F"/>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40C2BB6"/>
    <w:rsid w:val="643F3FFC"/>
    <w:rsid w:val="646A06E2"/>
    <w:rsid w:val="646C4EF1"/>
    <w:rsid w:val="64706C6F"/>
    <w:rsid w:val="64814078"/>
    <w:rsid w:val="648B777B"/>
    <w:rsid w:val="64937D17"/>
    <w:rsid w:val="6494650D"/>
    <w:rsid w:val="649A6134"/>
    <w:rsid w:val="649D2569"/>
    <w:rsid w:val="64A51362"/>
    <w:rsid w:val="64A55A03"/>
    <w:rsid w:val="64AD4200"/>
    <w:rsid w:val="64B453B1"/>
    <w:rsid w:val="64BE5702"/>
    <w:rsid w:val="64C16289"/>
    <w:rsid w:val="64CF05E4"/>
    <w:rsid w:val="64D93F02"/>
    <w:rsid w:val="64EA4517"/>
    <w:rsid w:val="64FC561C"/>
    <w:rsid w:val="64FE0E31"/>
    <w:rsid w:val="651A5C6A"/>
    <w:rsid w:val="651C38DB"/>
    <w:rsid w:val="65204394"/>
    <w:rsid w:val="6522790C"/>
    <w:rsid w:val="653E78B1"/>
    <w:rsid w:val="65403733"/>
    <w:rsid w:val="65430291"/>
    <w:rsid w:val="655754CB"/>
    <w:rsid w:val="655E2D72"/>
    <w:rsid w:val="656171FC"/>
    <w:rsid w:val="6570700F"/>
    <w:rsid w:val="657F0CE6"/>
    <w:rsid w:val="65833C4F"/>
    <w:rsid w:val="658B37B6"/>
    <w:rsid w:val="659C17EE"/>
    <w:rsid w:val="65BD3777"/>
    <w:rsid w:val="65D70270"/>
    <w:rsid w:val="65F5725F"/>
    <w:rsid w:val="66032E7B"/>
    <w:rsid w:val="66053581"/>
    <w:rsid w:val="660A19B0"/>
    <w:rsid w:val="661026AA"/>
    <w:rsid w:val="661D3F49"/>
    <w:rsid w:val="6624683A"/>
    <w:rsid w:val="663D054E"/>
    <w:rsid w:val="66460692"/>
    <w:rsid w:val="66631FDD"/>
    <w:rsid w:val="66727620"/>
    <w:rsid w:val="6679372B"/>
    <w:rsid w:val="667B3C56"/>
    <w:rsid w:val="66980BF6"/>
    <w:rsid w:val="66B81454"/>
    <w:rsid w:val="66BE1292"/>
    <w:rsid w:val="66BF76F1"/>
    <w:rsid w:val="66D61A8D"/>
    <w:rsid w:val="66DA3497"/>
    <w:rsid w:val="66DC5BF8"/>
    <w:rsid w:val="66E173F9"/>
    <w:rsid w:val="66E3226C"/>
    <w:rsid w:val="66E611A7"/>
    <w:rsid w:val="66EC5E36"/>
    <w:rsid w:val="66F76034"/>
    <w:rsid w:val="67181932"/>
    <w:rsid w:val="672A4901"/>
    <w:rsid w:val="67441B08"/>
    <w:rsid w:val="67513E69"/>
    <w:rsid w:val="675A17FE"/>
    <w:rsid w:val="676E1585"/>
    <w:rsid w:val="677E2FA1"/>
    <w:rsid w:val="67836FB1"/>
    <w:rsid w:val="678A44B2"/>
    <w:rsid w:val="678C1D52"/>
    <w:rsid w:val="67973403"/>
    <w:rsid w:val="67A67078"/>
    <w:rsid w:val="67AC341B"/>
    <w:rsid w:val="67B42C3D"/>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B307E"/>
    <w:rsid w:val="692B3BF3"/>
    <w:rsid w:val="69301A1D"/>
    <w:rsid w:val="6934218F"/>
    <w:rsid w:val="693C5AA5"/>
    <w:rsid w:val="693D00F1"/>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C3EFF"/>
    <w:rsid w:val="6A916EED"/>
    <w:rsid w:val="6A9371B0"/>
    <w:rsid w:val="6A937D23"/>
    <w:rsid w:val="6A9B5915"/>
    <w:rsid w:val="6A9B7735"/>
    <w:rsid w:val="6AA258AD"/>
    <w:rsid w:val="6AB45A03"/>
    <w:rsid w:val="6ABE4FFD"/>
    <w:rsid w:val="6AD909E0"/>
    <w:rsid w:val="6ADD71F3"/>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35BFD"/>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274676"/>
    <w:rsid w:val="6D2F4B50"/>
    <w:rsid w:val="6D385ED1"/>
    <w:rsid w:val="6D3967DF"/>
    <w:rsid w:val="6D3C14B2"/>
    <w:rsid w:val="6D436625"/>
    <w:rsid w:val="6D5E64E8"/>
    <w:rsid w:val="6D652ED0"/>
    <w:rsid w:val="6D662717"/>
    <w:rsid w:val="6D663299"/>
    <w:rsid w:val="6D770FC8"/>
    <w:rsid w:val="6D90338E"/>
    <w:rsid w:val="6D925740"/>
    <w:rsid w:val="6D9E7C69"/>
    <w:rsid w:val="6DA71839"/>
    <w:rsid w:val="6DB20233"/>
    <w:rsid w:val="6DB81D13"/>
    <w:rsid w:val="6DC54D30"/>
    <w:rsid w:val="6DDF0294"/>
    <w:rsid w:val="6DF6740D"/>
    <w:rsid w:val="6DFB06CC"/>
    <w:rsid w:val="6E035B81"/>
    <w:rsid w:val="6E0F0D37"/>
    <w:rsid w:val="6E0F320E"/>
    <w:rsid w:val="6E131686"/>
    <w:rsid w:val="6E1B4CD0"/>
    <w:rsid w:val="6E2A0DD8"/>
    <w:rsid w:val="6E376A3A"/>
    <w:rsid w:val="6E3F1C0F"/>
    <w:rsid w:val="6E561494"/>
    <w:rsid w:val="6E567CD0"/>
    <w:rsid w:val="6E633CB5"/>
    <w:rsid w:val="6E7106EF"/>
    <w:rsid w:val="6E72570E"/>
    <w:rsid w:val="6EAB29FB"/>
    <w:rsid w:val="6EB32B7F"/>
    <w:rsid w:val="6EB46F18"/>
    <w:rsid w:val="6EB63507"/>
    <w:rsid w:val="6EBD4DFF"/>
    <w:rsid w:val="6EC43237"/>
    <w:rsid w:val="6EC73357"/>
    <w:rsid w:val="6ED266F7"/>
    <w:rsid w:val="6EE939F2"/>
    <w:rsid w:val="6F021829"/>
    <w:rsid w:val="6F14289F"/>
    <w:rsid w:val="6F162C84"/>
    <w:rsid w:val="6F28474F"/>
    <w:rsid w:val="6F350882"/>
    <w:rsid w:val="6F384951"/>
    <w:rsid w:val="6F607895"/>
    <w:rsid w:val="6F61040C"/>
    <w:rsid w:val="6F6776E1"/>
    <w:rsid w:val="6F702CF5"/>
    <w:rsid w:val="6F7E1B78"/>
    <w:rsid w:val="6F9C5D71"/>
    <w:rsid w:val="6FA3781E"/>
    <w:rsid w:val="6FAC61CF"/>
    <w:rsid w:val="6FAF5C06"/>
    <w:rsid w:val="6FB80EE8"/>
    <w:rsid w:val="6FD36624"/>
    <w:rsid w:val="6FE53444"/>
    <w:rsid w:val="6FF1528E"/>
    <w:rsid w:val="700C0460"/>
    <w:rsid w:val="701458A7"/>
    <w:rsid w:val="70170F2B"/>
    <w:rsid w:val="701E2FAB"/>
    <w:rsid w:val="702267D2"/>
    <w:rsid w:val="70370653"/>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9A297B"/>
    <w:rsid w:val="72A310CE"/>
    <w:rsid w:val="72B751B8"/>
    <w:rsid w:val="72CE3184"/>
    <w:rsid w:val="72CE7D06"/>
    <w:rsid w:val="72D456A5"/>
    <w:rsid w:val="72E70D52"/>
    <w:rsid w:val="72EA6B66"/>
    <w:rsid w:val="72FB32E0"/>
    <w:rsid w:val="7302733B"/>
    <w:rsid w:val="731649D2"/>
    <w:rsid w:val="731C28E7"/>
    <w:rsid w:val="7326097A"/>
    <w:rsid w:val="732A4A9B"/>
    <w:rsid w:val="73343997"/>
    <w:rsid w:val="73370B0A"/>
    <w:rsid w:val="733C723A"/>
    <w:rsid w:val="733C7C6A"/>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407051F"/>
    <w:rsid w:val="741076D1"/>
    <w:rsid w:val="74141C1A"/>
    <w:rsid w:val="74215D04"/>
    <w:rsid w:val="74257C35"/>
    <w:rsid w:val="742A0965"/>
    <w:rsid w:val="742D6DB6"/>
    <w:rsid w:val="742E74D7"/>
    <w:rsid w:val="744642D9"/>
    <w:rsid w:val="74522D94"/>
    <w:rsid w:val="746B086B"/>
    <w:rsid w:val="746C430C"/>
    <w:rsid w:val="74775754"/>
    <w:rsid w:val="74B06962"/>
    <w:rsid w:val="74B32215"/>
    <w:rsid w:val="74BC7516"/>
    <w:rsid w:val="74C46840"/>
    <w:rsid w:val="74D575AA"/>
    <w:rsid w:val="74D71DDE"/>
    <w:rsid w:val="74DA7956"/>
    <w:rsid w:val="74E11F86"/>
    <w:rsid w:val="74F21472"/>
    <w:rsid w:val="74FB509B"/>
    <w:rsid w:val="74FB6035"/>
    <w:rsid w:val="750934A8"/>
    <w:rsid w:val="750A15E4"/>
    <w:rsid w:val="752B3381"/>
    <w:rsid w:val="75325694"/>
    <w:rsid w:val="75376E15"/>
    <w:rsid w:val="75457EFF"/>
    <w:rsid w:val="7554481F"/>
    <w:rsid w:val="75594581"/>
    <w:rsid w:val="755A5494"/>
    <w:rsid w:val="75625A16"/>
    <w:rsid w:val="7564200E"/>
    <w:rsid w:val="75663FD1"/>
    <w:rsid w:val="757540E3"/>
    <w:rsid w:val="759739B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BE7B18"/>
    <w:rsid w:val="76C72CA0"/>
    <w:rsid w:val="76ED0EF4"/>
    <w:rsid w:val="76F2295F"/>
    <w:rsid w:val="76F50A9F"/>
    <w:rsid w:val="76FD2D1D"/>
    <w:rsid w:val="77187F65"/>
    <w:rsid w:val="77284F7D"/>
    <w:rsid w:val="7729766A"/>
    <w:rsid w:val="772D35A6"/>
    <w:rsid w:val="773A62B8"/>
    <w:rsid w:val="77422DC5"/>
    <w:rsid w:val="7743723B"/>
    <w:rsid w:val="774B3934"/>
    <w:rsid w:val="77551F00"/>
    <w:rsid w:val="77650E66"/>
    <w:rsid w:val="777B5F51"/>
    <w:rsid w:val="777D53E6"/>
    <w:rsid w:val="77847A56"/>
    <w:rsid w:val="778F0D7D"/>
    <w:rsid w:val="778F49BD"/>
    <w:rsid w:val="77966F4C"/>
    <w:rsid w:val="77A31525"/>
    <w:rsid w:val="77A75021"/>
    <w:rsid w:val="77B4796D"/>
    <w:rsid w:val="77B8689C"/>
    <w:rsid w:val="77BD5A24"/>
    <w:rsid w:val="77C2510C"/>
    <w:rsid w:val="77C833A2"/>
    <w:rsid w:val="77D21E05"/>
    <w:rsid w:val="77F62779"/>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DD4939"/>
    <w:rsid w:val="78F40C87"/>
    <w:rsid w:val="78FC7FC2"/>
    <w:rsid w:val="79042DE3"/>
    <w:rsid w:val="790D4F70"/>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157806"/>
    <w:rsid w:val="7A262C2D"/>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3832F5"/>
    <w:rsid w:val="7C42281E"/>
    <w:rsid w:val="7C610C91"/>
    <w:rsid w:val="7C613AEC"/>
    <w:rsid w:val="7C734075"/>
    <w:rsid w:val="7C815D2A"/>
    <w:rsid w:val="7C831756"/>
    <w:rsid w:val="7C982736"/>
    <w:rsid w:val="7CA67728"/>
    <w:rsid w:val="7CB62523"/>
    <w:rsid w:val="7CE146B6"/>
    <w:rsid w:val="7CE70935"/>
    <w:rsid w:val="7CF84A31"/>
    <w:rsid w:val="7CFC44C2"/>
    <w:rsid w:val="7D013B39"/>
    <w:rsid w:val="7D0826CA"/>
    <w:rsid w:val="7D130509"/>
    <w:rsid w:val="7D1946C0"/>
    <w:rsid w:val="7D2A5CCB"/>
    <w:rsid w:val="7D401CAA"/>
    <w:rsid w:val="7D4E195B"/>
    <w:rsid w:val="7D64087E"/>
    <w:rsid w:val="7D7A555A"/>
    <w:rsid w:val="7D7F5298"/>
    <w:rsid w:val="7D8362BA"/>
    <w:rsid w:val="7DAB10BD"/>
    <w:rsid w:val="7DD7657D"/>
    <w:rsid w:val="7DF464FC"/>
    <w:rsid w:val="7DFE63E1"/>
    <w:rsid w:val="7E006A11"/>
    <w:rsid w:val="7E1C55F3"/>
    <w:rsid w:val="7E2E7D3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A44DE"/>
    <w:rsid w:val="7F3B01C9"/>
    <w:rsid w:val="7F6339F7"/>
    <w:rsid w:val="7F8660CD"/>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2021-10-22T16:54:30Z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