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9A1B4" w14:textId="77777777" w:rsidR="000D040B" w:rsidRDefault="005E22E3"/>
    <w:p w14:paraId="2A0D4F7B" w14:textId="55018D5E" w:rsidR="004D6D9D" w:rsidRPr="00824B80" w:rsidRDefault="004D6D9D" w:rsidP="004D6D9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824B80">
        <w:rPr>
          <w:rFonts w:cs="Arial"/>
          <w:sz w:val="24"/>
          <w:szCs w:val="24"/>
        </w:rPr>
        <w:t>3GPP TSG-RAN WG4 Meeting # 10</w:t>
      </w:r>
      <w:r>
        <w:rPr>
          <w:rFonts w:cs="Arial"/>
          <w:sz w:val="24"/>
          <w:szCs w:val="24"/>
        </w:rPr>
        <w:t>1</w:t>
      </w:r>
      <w:r w:rsidRPr="00824B80">
        <w:rPr>
          <w:rFonts w:cs="Arial"/>
          <w:sz w:val="24"/>
          <w:szCs w:val="24"/>
        </w:rPr>
        <w:t xml:space="preserve">-e </w:t>
      </w:r>
      <w:r w:rsidRPr="00824B80">
        <w:rPr>
          <w:rFonts w:cs="Arial"/>
          <w:sz w:val="24"/>
          <w:szCs w:val="24"/>
        </w:rPr>
        <w:tab/>
      </w:r>
      <w:r w:rsidRPr="00824B80">
        <w:rPr>
          <w:rFonts w:cs="Arial"/>
          <w:bCs/>
          <w:sz w:val="24"/>
          <w:szCs w:val="24"/>
        </w:rPr>
        <w:t>R4-2</w:t>
      </w:r>
      <w:r w:rsidRPr="005E22E3">
        <w:rPr>
          <w:rFonts w:cs="Arial"/>
          <w:bCs/>
          <w:sz w:val="24"/>
          <w:szCs w:val="24"/>
        </w:rPr>
        <w:t>11</w:t>
      </w:r>
      <w:r w:rsidR="005E22E3" w:rsidRPr="005E22E3">
        <w:rPr>
          <w:rFonts w:cs="Arial"/>
          <w:bCs/>
          <w:sz w:val="24"/>
          <w:szCs w:val="24"/>
        </w:rPr>
        <w:t>9183</w:t>
      </w:r>
    </w:p>
    <w:p w14:paraId="5BAEFA66" w14:textId="77777777" w:rsidR="004D6D9D" w:rsidRPr="0058244D" w:rsidRDefault="004D6D9D" w:rsidP="004D6D9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14:paraId="62C8F74A" w14:textId="77777777" w:rsidR="004D6D9D" w:rsidRPr="0058244D" w:rsidRDefault="004D6D9D" w:rsidP="004D6D9D">
      <w:pPr>
        <w:rPr>
          <w:rFonts w:ascii="Arial" w:hAnsi="Arial" w:cs="Arial"/>
        </w:rPr>
      </w:pPr>
    </w:p>
    <w:p w14:paraId="52C3C2B9" w14:textId="7F5130C3" w:rsidR="004D6D9D" w:rsidRPr="004251FB" w:rsidRDefault="00E73517" w:rsidP="004D6D9D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119E7" w:rsidRPr="009119E7">
        <w:rPr>
          <w:rFonts w:ascii="Arial" w:hAnsi="Arial" w:cs="Arial"/>
        </w:rPr>
        <w:t>Ericsson</w:t>
      </w:r>
    </w:p>
    <w:p w14:paraId="3B12222D" w14:textId="67139460" w:rsidR="004D6D9D" w:rsidRPr="00603929" w:rsidRDefault="007D61A9" w:rsidP="007D61A9">
      <w:pPr>
        <w:pStyle w:val="NoSpacing"/>
        <w:ind w:left="2160" w:hanging="2160"/>
        <w:rPr>
          <w:rFonts w:ascii="Arial" w:hAnsi="Arial" w:cs="Arial"/>
          <w:sz w:val="24"/>
          <w:szCs w:val="24"/>
        </w:rPr>
      </w:pPr>
      <w:r w:rsidRPr="00603929">
        <w:rPr>
          <w:rFonts w:ascii="Arial" w:hAnsi="Arial" w:cs="Arial"/>
          <w:sz w:val="24"/>
          <w:szCs w:val="24"/>
        </w:rPr>
        <w:t>Title:</w:t>
      </w:r>
      <w:r w:rsidRPr="00603929">
        <w:rPr>
          <w:rFonts w:ascii="Arial" w:hAnsi="Arial" w:cs="Arial"/>
          <w:sz w:val="24"/>
          <w:szCs w:val="24"/>
        </w:rPr>
        <w:tab/>
      </w:r>
      <w:bookmarkStart w:id="0" w:name="OLE_LINK20"/>
      <w:bookmarkStart w:id="1" w:name="OLE_LINK21"/>
      <w:r w:rsidR="009119E7" w:rsidRPr="00603929">
        <w:rPr>
          <w:rFonts w:ascii="Arial" w:hAnsi="Arial" w:cs="Arial"/>
        </w:rPr>
        <w:t xml:space="preserve">ETC </w:t>
      </w:r>
      <w:r w:rsidR="009119E7">
        <w:rPr>
          <w:rFonts w:ascii="Arial" w:hAnsi="Arial" w:cs="Arial"/>
        </w:rPr>
        <w:t xml:space="preserve">testing for </w:t>
      </w:r>
      <w:r w:rsidR="00E73517" w:rsidRPr="00603929">
        <w:rPr>
          <w:rFonts w:ascii="Arial" w:hAnsi="Arial" w:cs="Arial"/>
        </w:rPr>
        <w:t>FR2</w:t>
      </w:r>
      <w:bookmarkEnd w:id="0"/>
      <w:bookmarkEnd w:id="1"/>
      <w:r w:rsidR="009119E7">
        <w:rPr>
          <w:rFonts w:ascii="Arial" w:hAnsi="Arial" w:cs="Arial"/>
        </w:rPr>
        <w:t xml:space="preserve"> from rel-15</w:t>
      </w:r>
    </w:p>
    <w:p w14:paraId="41B5F290" w14:textId="77777777" w:rsidR="00103FEF" w:rsidRPr="004251FB" w:rsidRDefault="00103FEF" w:rsidP="004D6D9D">
      <w:pPr>
        <w:pStyle w:val="NoSpacing"/>
        <w:rPr>
          <w:rFonts w:ascii="Arial" w:hAnsi="Arial" w:cs="Arial"/>
          <w:sz w:val="24"/>
          <w:szCs w:val="24"/>
        </w:rPr>
      </w:pPr>
    </w:p>
    <w:p w14:paraId="7C274C76" w14:textId="77777777" w:rsidR="004D6D9D" w:rsidRPr="004251FB" w:rsidRDefault="004D6D9D" w:rsidP="004D6D9D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pt-BR" w:eastAsia="ja-JP"/>
        </w:rPr>
      </w:pPr>
      <w:r w:rsidRPr="004251FB">
        <w:rPr>
          <w:rFonts w:ascii="Arial" w:hAnsi="Arial" w:cs="Arial"/>
          <w:sz w:val="24"/>
          <w:szCs w:val="24"/>
          <w:lang w:val="pt-BR"/>
        </w:rPr>
        <w:t>Agenda item:</w:t>
      </w:r>
      <w:r w:rsidRPr="004251FB">
        <w:rPr>
          <w:rFonts w:ascii="Arial" w:hAnsi="Arial" w:cs="Arial"/>
          <w:sz w:val="24"/>
          <w:szCs w:val="24"/>
          <w:lang w:val="pt-BR"/>
        </w:rPr>
        <w:tab/>
      </w:r>
      <w:r w:rsidRPr="004251FB">
        <w:rPr>
          <w:rFonts w:ascii="Arial" w:hAnsi="Arial" w:cs="Arial"/>
          <w:sz w:val="24"/>
          <w:szCs w:val="24"/>
          <w:lang w:val="pt-BR"/>
        </w:rPr>
        <w:tab/>
      </w:r>
      <w:r w:rsidR="005B6975" w:rsidRPr="009119E7">
        <w:rPr>
          <w:rFonts w:ascii="Arial" w:hAnsi="Arial" w:cs="Arial"/>
          <w:lang w:val="pt-BR"/>
        </w:rPr>
        <w:t>11.2.2</w:t>
      </w:r>
    </w:p>
    <w:p w14:paraId="0AAD3605" w14:textId="379E5EB7" w:rsidR="004D6D9D" w:rsidRPr="004251FB" w:rsidRDefault="004D6D9D" w:rsidP="004D6D9D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 w:rsidRPr="004251FB">
        <w:rPr>
          <w:rFonts w:ascii="Arial" w:hAnsi="Arial" w:cs="Arial"/>
          <w:sz w:val="24"/>
          <w:szCs w:val="24"/>
        </w:rPr>
        <w:t>Document for:</w:t>
      </w:r>
      <w:r w:rsidRPr="004251FB">
        <w:rPr>
          <w:rFonts w:ascii="Arial" w:hAnsi="Arial" w:cs="Arial"/>
          <w:sz w:val="24"/>
          <w:szCs w:val="24"/>
        </w:rPr>
        <w:tab/>
      </w:r>
      <w:r w:rsidRPr="004251FB">
        <w:rPr>
          <w:rFonts w:ascii="Arial" w:hAnsi="Arial" w:cs="Arial"/>
          <w:sz w:val="24"/>
          <w:szCs w:val="24"/>
        </w:rPr>
        <w:tab/>
      </w:r>
      <w:r w:rsidR="00343C29">
        <w:rPr>
          <w:rFonts w:ascii="Arial" w:hAnsi="Arial" w:cs="Arial"/>
          <w:bCs/>
          <w:lang w:eastAsia="ja-JP"/>
        </w:rPr>
        <w:t>Decision</w:t>
      </w:r>
    </w:p>
    <w:p w14:paraId="31FE07B4" w14:textId="77777777" w:rsidR="004D6D9D" w:rsidRPr="0058244D" w:rsidRDefault="004D6D9D" w:rsidP="004D6D9D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797A4C78" w14:textId="77777777" w:rsidR="004D6D9D" w:rsidRPr="0058244D" w:rsidRDefault="004D6D9D" w:rsidP="004D6D9D">
      <w:pPr>
        <w:pStyle w:val="Heading1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14:paraId="41A5791D" w14:textId="77777777" w:rsidR="00A353E4" w:rsidRDefault="00A353E4" w:rsidP="00F31BCA">
      <w:pPr>
        <w:pStyle w:val="Header"/>
        <w:tabs>
          <w:tab w:val="left" w:pos="720"/>
        </w:tabs>
        <w:rPr>
          <w:rFonts w:ascii="Times New Roman" w:hAnsi="Times New Roman"/>
          <w:b w:val="0"/>
          <w:sz w:val="20"/>
          <w:highlight w:val="lightGray"/>
          <w:lang w:val="en-US"/>
        </w:rPr>
      </w:pPr>
      <w:bookmarkStart w:id="2" w:name="OLE_LINK9"/>
      <w:bookmarkStart w:id="3" w:name="OLE_LINK10"/>
    </w:p>
    <w:p w14:paraId="77EAF7DB" w14:textId="7473B489" w:rsidR="00A353E4" w:rsidRDefault="00A353E4" w:rsidP="00F31BCA">
      <w:pPr>
        <w:pStyle w:val="Header"/>
        <w:tabs>
          <w:tab w:val="left" w:pos="720"/>
        </w:tabs>
        <w:rPr>
          <w:rFonts w:ascii="Times New Roman" w:hAnsi="Times New Roman"/>
          <w:b w:val="0"/>
          <w:sz w:val="24"/>
          <w:szCs w:val="24"/>
          <w:lang w:val="en-US"/>
        </w:rPr>
      </w:pPr>
      <w:r w:rsidRPr="00A353E4">
        <w:rPr>
          <w:rFonts w:ascii="Times New Roman" w:hAnsi="Times New Roman"/>
          <w:b w:val="0"/>
          <w:sz w:val="24"/>
          <w:szCs w:val="24"/>
          <w:lang w:val="en-US"/>
        </w:rPr>
        <w:t xml:space="preserve">At </w:t>
      </w:r>
      <w:r>
        <w:rPr>
          <w:rFonts w:ascii="Times New Roman" w:hAnsi="Times New Roman"/>
          <w:b w:val="0"/>
          <w:sz w:val="24"/>
          <w:szCs w:val="24"/>
          <w:lang w:val="en-US"/>
        </w:rPr>
        <w:t>RAN4#100-e RAN4 received an LS on ETC testing from RAN5 [1]</w:t>
      </w:r>
      <w:r w:rsidR="00813EC7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15E1CF5A" w14:textId="12DC729C" w:rsidR="00813EC7" w:rsidRDefault="00813EC7" w:rsidP="00F31BCA">
      <w:pPr>
        <w:pStyle w:val="Header"/>
        <w:tabs>
          <w:tab w:val="left" w:pos="720"/>
        </w:tabs>
        <w:rPr>
          <w:rFonts w:ascii="Times New Roman" w:hAnsi="Times New Roman"/>
          <w:b w:val="0"/>
          <w:sz w:val="24"/>
          <w:szCs w:val="24"/>
          <w:lang w:val="en-US"/>
        </w:rPr>
      </w:pPr>
    </w:p>
    <w:p w14:paraId="2E258604" w14:textId="29EA8C4F" w:rsidR="00813EC7" w:rsidRPr="00A353E4" w:rsidRDefault="00813EC7" w:rsidP="00F31BCA">
      <w:pPr>
        <w:pStyle w:val="Header"/>
        <w:tabs>
          <w:tab w:val="left" w:pos="720"/>
        </w:tabs>
        <w:rPr>
          <w:rFonts w:ascii="Times New Roman" w:hAnsi="Times New Roman"/>
          <w:b w:val="0"/>
          <w:sz w:val="24"/>
          <w:szCs w:val="24"/>
          <w:lang w:val="en-US"/>
        </w:rPr>
      </w:pPr>
      <w:bookmarkStart w:id="4" w:name="_Hlk85717216"/>
      <w:r>
        <w:rPr>
          <w:rFonts w:ascii="Times New Roman" w:hAnsi="Times New Roman"/>
          <w:b w:val="0"/>
          <w:sz w:val="24"/>
          <w:szCs w:val="24"/>
          <w:lang w:val="en-US"/>
        </w:rPr>
        <w:t>Previously ETC testing</w:t>
      </w:r>
      <w:bookmarkEnd w:id="4"/>
      <w:r>
        <w:rPr>
          <w:rFonts w:ascii="Times New Roman" w:hAnsi="Times New Roman"/>
          <w:b w:val="0"/>
          <w:sz w:val="24"/>
          <w:szCs w:val="24"/>
          <w:lang w:val="en-US"/>
        </w:rPr>
        <w:t xml:space="preserve"> for FR2 had </w:t>
      </w:r>
      <w:r w:rsidR="00112A39">
        <w:rPr>
          <w:rFonts w:ascii="Times New Roman" w:hAnsi="Times New Roman"/>
          <w:b w:val="0"/>
          <w:sz w:val="24"/>
          <w:szCs w:val="24"/>
          <w:lang w:val="en-US"/>
        </w:rPr>
        <w:t>practical limitations in the TE but those have since been solved [1]. In this paper we provide some timing aspects on an updated of the “restrictions” of ETC testing currently present in RAN4 specifications.</w:t>
      </w:r>
    </w:p>
    <w:bookmarkEnd w:id="2"/>
    <w:bookmarkEnd w:id="3"/>
    <w:p w14:paraId="4164014E" w14:textId="77777777" w:rsidR="004D6D9D" w:rsidRPr="00653FD6" w:rsidRDefault="004D6D9D" w:rsidP="004D6D9D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14:paraId="3492E501" w14:textId="35F7A121" w:rsidR="007C25E7" w:rsidRDefault="004C2EC6" w:rsidP="00AA7521">
      <w:pPr>
        <w:pStyle w:val="Heading1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Discussion</w:t>
      </w:r>
    </w:p>
    <w:p w14:paraId="77ED3DE3" w14:textId="44A4F42B" w:rsidR="00112A39" w:rsidRPr="00112A39" w:rsidRDefault="00112A39" w:rsidP="00112A39">
      <w:pPr>
        <w:rPr>
          <w:bCs/>
        </w:rPr>
      </w:pPr>
    </w:p>
    <w:p w14:paraId="0737FED3" w14:textId="24414C34" w:rsidR="00112A39" w:rsidRDefault="00112A39" w:rsidP="00112A39">
      <w:pPr>
        <w:rPr>
          <w:bCs/>
          <w:sz w:val="24"/>
          <w:szCs w:val="24"/>
          <w:lang w:val="en-US"/>
        </w:rPr>
      </w:pPr>
      <w:r w:rsidRPr="00112A39">
        <w:rPr>
          <w:bCs/>
          <w:sz w:val="24"/>
          <w:szCs w:val="24"/>
          <w:lang w:val="en-US"/>
        </w:rPr>
        <w:t>ETC</w:t>
      </w:r>
      <w:r>
        <w:rPr>
          <w:bCs/>
          <w:sz w:val="24"/>
          <w:szCs w:val="24"/>
          <w:lang w:val="en-US"/>
        </w:rPr>
        <w:t xml:space="preserve"> verification by conformance testing for the requirements mentioned in [1] (listed below) is crucial for UE/NW performance as well as end user </w:t>
      </w:r>
      <w:r w:rsidR="002A5BA8">
        <w:rPr>
          <w:bCs/>
          <w:sz w:val="24"/>
          <w:szCs w:val="24"/>
          <w:lang w:val="en-US"/>
        </w:rPr>
        <w:t xml:space="preserve">experience. </w:t>
      </w:r>
    </w:p>
    <w:p w14:paraId="7815218E" w14:textId="1C5DF3E8" w:rsidR="002A5BA8" w:rsidRDefault="002A5BA8" w:rsidP="00112A39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ETC conformance testing of those requirements have been done for previous generations of 3GPP technologies and are done for 5G FR1. </w:t>
      </w:r>
      <w:proofErr w:type="gramStart"/>
      <w:r>
        <w:rPr>
          <w:bCs/>
          <w:sz w:val="24"/>
          <w:szCs w:val="24"/>
          <w:lang w:val="en-US"/>
        </w:rPr>
        <w:t>Hence</w:t>
      </w:r>
      <w:proofErr w:type="gramEnd"/>
      <w:r>
        <w:rPr>
          <w:bCs/>
          <w:sz w:val="24"/>
          <w:szCs w:val="24"/>
          <w:lang w:val="en-US"/>
        </w:rPr>
        <w:t xml:space="preserve"> they shall not be omitted for NR FR2 of there are no testing limitations.</w:t>
      </w:r>
    </w:p>
    <w:p w14:paraId="23109C3C" w14:textId="77777777" w:rsidR="002A5BA8" w:rsidRPr="002A5BA8" w:rsidRDefault="002A5BA8" w:rsidP="002A5BA8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2A5BA8">
        <w:rPr>
          <w:sz w:val="24"/>
          <w:szCs w:val="24"/>
        </w:rPr>
        <w:t>6.2.1 UE maximum output power (Spherical coverage only for all power classes)</w:t>
      </w:r>
    </w:p>
    <w:p w14:paraId="4F466092" w14:textId="77777777" w:rsidR="002A5BA8" w:rsidRPr="002A5BA8" w:rsidRDefault="002A5BA8" w:rsidP="002A5BA8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2A5BA8">
        <w:rPr>
          <w:sz w:val="24"/>
          <w:szCs w:val="24"/>
        </w:rPr>
        <w:t>6.3.4 Power control</w:t>
      </w:r>
    </w:p>
    <w:p w14:paraId="59F39269" w14:textId="77777777" w:rsidR="002A5BA8" w:rsidRPr="002A5BA8" w:rsidRDefault="002A5BA8" w:rsidP="002A5BA8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2A5BA8">
        <w:rPr>
          <w:sz w:val="24"/>
          <w:szCs w:val="24"/>
        </w:rPr>
        <w:t>6.3A.4 Power control for CA</w:t>
      </w:r>
    </w:p>
    <w:p w14:paraId="7044AA05" w14:textId="77777777" w:rsidR="002A5BA8" w:rsidRPr="002A5BA8" w:rsidRDefault="002A5BA8" w:rsidP="002A5BA8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2A5BA8">
        <w:rPr>
          <w:sz w:val="24"/>
          <w:szCs w:val="24"/>
        </w:rPr>
        <w:t>6.4.2.1 Error vector magnitude</w:t>
      </w:r>
    </w:p>
    <w:p w14:paraId="153B86E4" w14:textId="77777777" w:rsidR="002A5BA8" w:rsidRPr="002A5BA8" w:rsidRDefault="002A5BA8" w:rsidP="002A5BA8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2A5BA8">
        <w:rPr>
          <w:sz w:val="24"/>
          <w:szCs w:val="24"/>
        </w:rPr>
        <w:t>6.4.2.4 EVM equalizer spectrum flatness</w:t>
      </w:r>
    </w:p>
    <w:p w14:paraId="27B2A315" w14:textId="77777777" w:rsidR="002A5BA8" w:rsidRPr="002A5BA8" w:rsidRDefault="002A5BA8" w:rsidP="002A5BA8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2A5BA8">
        <w:rPr>
          <w:sz w:val="24"/>
          <w:szCs w:val="24"/>
        </w:rPr>
        <w:t>6.4.2.5 EVM spectral flatness for Pi/2 BPSK modulation</w:t>
      </w:r>
    </w:p>
    <w:p w14:paraId="0B2736B2" w14:textId="77777777" w:rsidR="002A5BA8" w:rsidRPr="002A5BA8" w:rsidRDefault="002A5BA8" w:rsidP="002A5BA8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2A5BA8">
        <w:rPr>
          <w:sz w:val="24"/>
          <w:szCs w:val="24"/>
        </w:rPr>
        <w:t>6.6.4 Beam correspondence for power class 3</w:t>
      </w:r>
    </w:p>
    <w:p w14:paraId="7A6A0AE0" w14:textId="77777777" w:rsidR="002A5BA8" w:rsidRPr="002A5BA8" w:rsidRDefault="002A5BA8" w:rsidP="002A5BA8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2A5BA8">
        <w:rPr>
          <w:sz w:val="24"/>
          <w:szCs w:val="24"/>
        </w:rPr>
        <w:t>7.3.4 EIS spherical coverage</w:t>
      </w:r>
    </w:p>
    <w:p w14:paraId="77341F06" w14:textId="77777777" w:rsidR="002A5BA8" w:rsidRDefault="002A5BA8" w:rsidP="00112A39">
      <w:pPr>
        <w:rPr>
          <w:bCs/>
          <w:sz w:val="24"/>
          <w:szCs w:val="24"/>
          <w:lang w:val="en-US"/>
        </w:rPr>
      </w:pPr>
    </w:p>
    <w:p w14:paraId="31AB76E7" w14:textId="0943D631" w:rsidR="002A5BA8" w:rsidRDefault="002A5BA8" w:rsidP="00112A39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Given the fact that Rel-15/16 UE’s will remain in live networks for a long time we suggest removing any restrictions for ETC testing from RAN4 requirements specifications that was </w:t>
      </w:r>
      <w:r w:rsidR="007C614D">
        <w:rPr>
          <w:bCs/>
          <w:sz w:val="24"/>
          <w:szCs w:val="24"/>
          <w:lang w:val="en-US"/>
        </w:rPr>
        <w:t xml:space="preserve">originally </w:t>
      </w:r>
      <w:r>
        <w:rPr>
          <w:bCs/>
          <w:sz w:val="24"/>
          <w:szCs w:val="24"/>
          <w:lang w:val="en-US"/>
        </w:rPr>
        <w:t>added solely due to testability reasons.</w:t>
      </w:r>
    </w:p>
    <w:p w14:paraId="0A7CCC0D" w14:textId="08BB6684" w:rsidR="007C614D" w:rsidRDefault="007C614D" w:rsidP="00112A39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If RAN4 agrees to remove ETC limitations from rel-15 it will still take quite some time before any rel-15 UE’s are conformance tested including ETC requirements. RAN5 needs to update their specifications (one meeting cycle after RAN4 update). RAN5 will probably introduce a transition period (1-2 meeting cycles) for the affected test cases </w:t>
      </w:r>
      <w:proofErr w:type="gramStart"/>
      <w:r>
        <w:rPr>
          <w:bCs/>
          <w:sz w:val="24"/>
          <w:szCs w:val="24"/>
          <w:lang w:val="en-US"/>
        </w:rPr>
        <w:t>in order for</w:t>
      </w:r>
      <w:proofErr w:type="gramEnd"/>
      <w:r>
        <w:rPr>
          <w:bCs/>
          <w:sz w:val="24"/>
          <w:szCs w:val="24"/>
          <w:lang w:val="en-US"/>
        </w:rPr>
        <w:t xml:space="preserve"> TE and UE to implement/adjust to the changed/added requirements (business as usual for RAN5 test cases where the requirements are updated). The test cases also need to be updated by the certification bodies (GCF/PTCRB) and then re-validated by the test industry before any conformance testing can take place at test houses performing the actual conformance test.</w:t>
      </w:r>
    </w:p>
    <w:p w14:paraId="18588B9B" w14:textId="11FF659D" w:rsidR="007C614D" w:rsidRDefault="00343C29" w:rsidP="00112A39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lastRenderedPageBreak/>
        <w:t>I</w:t>
      </w:r>
      <w:r w:rsidR="007C614D">
        <w:rPr>
          <w:bCs/>
          <w:sz w:val="24"/>
          <w:szCs w:val="24"/>
          <w:lang w:val="en-US"/>
        </w:rPr>
        <w:t>n summary it might take some 9-12 months from RAN4 requirements are changed until conformance tests are performed by UE’s according to the change.</w:t>
      </w:r>
    </w:p>
    <w:p w14:paraId="475D53A9" w14:textId="77777777" w:rsidR="00112A39" w:rsidRPr="00112A39" w:rsidRDefault="00112A39" w:rsidP="00112A39"/>
    <w:p w14:paraId="2D700171" w14:textId="77777777" w:rsidR="000A398F" w:rsidRDefault="000A398F" w:rsidP="000A398F">
      <w:pPr>
        <w:pStyle w:val="Heading1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Proposal</w:t>
      </w:r>
    </w:p>
    <w:p w14:paraId="07FBE557" w14:textId="333FCFE9" w:rsidR="007C614D" w:rsidRDefault="007C614D" w:rsidP="00B5095C">
      <w:pPr>
        <w:rPr>
          <w:b/>
          <w:bCs/>
          <w:highlight w:val="lightGray"/>
        </w:rPr>
      </w:pPr>
      <w:bookmarkStart w:id="5" w:name="OLE_LINK14"/>
      <w:bookmarkStart w:id="6" w:name="OLE_LINK15"/>
    </w:p>
    <w:p w14:paraId="3217F8FC" w14:textId="0D5F2143" w:rsidR="009D261A" w:rsidRPr="009D261A" w:rsidRDefault="009D261A" w:rsidP="00B5095C">
      <w:pPr>
        <w:rPr>
          <w:bCs/>
          <w:sz w:val="24"/>
          <w:szCs w:val="24"/>
          <w:lang w:val="en-US"/>
        </w:rPr>
      </w:pPr>
      <w:r w:rsidRPr="009D261A">
        <w:rPr>
          <w:bCs/>
          <w:sz w:val="24"/>
          <w:szCs w:val="24"/>
          <w:lang w:val="en-US"/>
        </w:rPr>
        <w:t>Given the discussion in clause 2 we propose the following:</w:t>
      </w:r>
    </w:p>
    <w:p w14:paraId="158BD0D9" w14:textId="12968C90" w:rsidR="009D261A" w:rsidRPr="009D261A" w:rsidRDefault="009D261A" w:rsidP="00B5095C">
      <w:pPr>
        <w:rPr>
          <w:b/>
          <w:sz w:val="24"/>
          <w:szCs w:val="24"/>
          <w:lang w:val="en-US"/>
        </w:rPr>
      </w:pPr>
      <w:r w:rsidRPr="009D261A">
        <w:rPr>
          <w:b/>
          <w:sz w:val="24"/>
          <w:szCs w:val="24"/>
          <w:lang w:val="en-US"/>
        </w:rPr>
        <w:t xml:space="preserve">Proposal 1: </w:t>
      </w:r>
      <w:r w:rsidR="006C1417">
        <w:rPr>
          <w:bCs/>
          <w:sz w:val="24"/>
          <w:szCs w:val="24"/>
          <w:lang w:val="en-US"/>
        </w:rPr>
        <w:t>Remove ETC exemptions form RAN4 specifications for FR2 from rel-15 and onwards.</w:t>
      </w:r>
    </w:p>
    <w:bookmarkEnd w:id="5"/>
    <w:bookmarkEnd w:id="6"/>
    <w:p w14:paraId="30A74AE3" w14:textId="77777777" w:rsidR="00676EBB" w:rsidRDefault="00676EBB" w:rsidP="00676EBB">
      <w:pPr>
        <w:pStyle w:val="Heading1"/>
        <w:spacing w:line="240" w:lineRule="auto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Reference</w:t>
      </w:r>
    </w:p>
    <w:p w14:paraId="1CF0A362" w14:textId="77777777" w:rsidR="00415DB2" w:rsidRDefault="00415DB2" w:rsidP="00D015A1">
      <w:pPr>
        <w:pStyle w:val="NoSpacing"/>
      </w:pPr>
    </w:p>
    <w:p w14:paraId="56B8B3ED" w14:textId="48E5FCD6" w:rsidR="00AD4A36" w:rsidRPr="006C1417" w:rsidRDefault="00AD4A36" w:rsidP="006C1417">
      <w:pPr>
        <w:rPr>
          <w:bCs/>
          <w:sz w:val="24"/>
          <w:szCs w:val="24"/>
          <w:lang w:val="en-US"/>
        </w:rPr>
      </w:pPr>
      <w:r w:rsidRPr="006C1417">
        <w:rPr>
          <w:bCs/>
          <w:sz w:val="24"/>
          <w:szCs w:val="24"/>
          <w:lang w:val="en-US"/>
        </w:rPr>
        <w:t>R5-213822, ‘LS on FR2 ETC testing’, from RAN5</w:t>
      </w:r>
    </w:p>
    <w:p w14:paraId="06DB7653" w14:textId="2236E94B" w:rsidR="005B4828" w:rsidRPr="006C1417" w:rsidRDefault="005B4828" w:rsidP="006C1417">
      <w:pPr>
        <w:rPr>
          <w:bCs/>
          <w:sz w:val="24"/>
          <w:szCs w:val="24"/>
          <w:lang w:val="en-US"/>
        </w:rPr>
      </w:pPr>
      <w:r w:rsidRPr="006C1417">
        <w:rPr>
          <w:bCs/>
          <w:sz w:val="24"/>
          <w:szCs w:val="24"/>
          <w:lang w:val="en-US"/>
        </w:rPr>
        <w:t xml:space="preserve">R4-2111716, ‘LS on FR2 Extreme temperature conditions clarifications’, </w:t>
      </w:r>
      <w:r w:rsidR="006C1417">
        <w:rPr>
          <w:bCs/>
          <w:sz w:val="24"/>
          <w:szCs w:val="24"/>
          <w:lang w:val="en-US"/>
        </w:rPr>
        <w:t xml:space="preserve">to </w:t>
      </w:r>
      <w:r w:rsidRPr="006C1417">
        <w:rPr>
          <w:bCs/>
          <w:sz w:val="24"/>
          <w:szCs w:val="24"/>
          <w:lang w:val="en-US"/>
        </w:rPr>
        <w:t>RAN5, RAN4#100-e</w:t>
      </w:r>
      <w:r w:rsidR="0027782E" w:rsidRPr="006C1417">
        <w:rPr>
          <w:bCs/>
          <w:sz w:val="24"/>
          <w:szCs w:val="24"/>
          <w:lang w:val="en-US"/>
        </w:rPr>
        <w:t xml:space="preserve"> </w:t>
      </w:r>
    </w:p>
    <w:p w14:paraId="2C56FEDB" w14:textId="77777777" w:rsidR="00AD4A36" w:rsidRDefault="00AD4A36" w:rsidP="00D015A1">
      <w:pPr>
        <w:pStyle w:val="NoSpacing"/>
      </w:pPr>
    </w:p>
    <w:sectPr w:rsidR="00AD4A36" w:rsidSect="006F2A32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10171"/>
    <w:multiLevelType w:val="hybridMultilevel"/>
    <w:tmpl w:val="A52E80B2"/>
    <w:lvl w:ilvl="0" w:tplc="B41E62A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759E1"/>
    <w:multiLevelType w:val="hybridMultilevel"/>
    <w:tmpl w:val="8F38E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F3134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4C1EB3"/>
    <w:multiLevelType w:val="hybridMultilevel"/>
    <w:tmpl w:val="A52E80B2"/>
    <w:lvl w:ilvl="0" w:tplc="B41E62A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D9D"/>
    <w:rsid w:val="00095FA9"/>
    <w:rsid w:val="000A398F"/>
    <w:rsid w:val="000B2B05"/>
    <w:rsid w:val="00103FEF"/>
    <w:rsid w:val="00112A39"/>
    <w:rsid w:val="00115CD8"/>
    <w:rsid w:val="001306AA"/>
    <w:rsid w:val="00144B6C"/>
    <w:rsid w:val="00185C58"/>
    <w:rsid w:val="001A7E81"/>
    <w:rsid w:val="001C14D1"/>
    <w:rsid w:val="001E306B"/>
    <w:rsid w:val="00214A30"/>
    <w:rsid w:val="002201A9"/>
    <w:rsid w:val="00274179"/>
    <w:rsid w:val="002742AB"/>
    <w:rsid w:val="0027782E"/>
    <w:rsid w:val="002A5BA8"/>
    <w:rsid w:val="002C252F"/>
    <w:rsid w:val="002C7633"/>
    <w:rsid w:val="002D4D7D"/>
    <w:rsid w:val="002E4F1B"/>
    <w:rsid w:val="002F0D61"/>
    <w:rsid w:val="002F1832"/>
    <w:rsid w:val="00343C29"/>
    <w:rsid w:val="00371D7E"/>
    <w:rsid w:val="00376283"/>
    <w:rsid w:val="00393906"/>
    <w:rsid w:val="00395CD7"/>
    <w:rsid w:val="00415DB2"/>
    <w:rsid w:val="00421F37"/>
    <w:rsid w:val="004251FB"/>
    <w:rsid w:val="004B4913"/>
    <w:rsid w:val="004C2EC6"/>
    <w:rsid w:val="004D6D9D"/>
    <w:rsid w:val="004E282C"/>
    <w:rsid w:val="004E4DC0"/>
    <w:rsid w:val="00507F2A"/>
    <w:rsid w:val="00511B1D"/>
    <w:rsid w:val="00533D56"/>
    <w:rsid w:val="005720AB"/>
    <w:rsid w:val="005B4828"/>
    <w:rsid w:val="005B6975"/>
    <w:rsid w:val="005E22E3"/>
    <w:rsid w:val="00603929"/>
    <w:rsid w:val="00676EBB"/>
    <w:rsid w:val="00680B9C"/>
    <w:rsid w:val="006C1417"/>
    <w:rsid w:val="006E0A1C"/>
    <w:rsid w:val="006F2A32"/>
    <w:rsid w:val="007055D1"/>
    <w:rsid w:val="007339C9"/>
    <w:rsid w:val="007C25E7"/>
    <w:rsid w:val="007C56B0"/>
    <w:rsid w:val="007C614D"/>
    <w:rsid w:val="007D61A9"/>
    <w:rsid w:val="00813EC7"/>
    <w:rsid w:val="00853B75"/>
    <w:rsid w:val="008A267B"/>
    <w:rsid w:val="008A42E6"/>
    <w:rsid w:val="009119E7"/>
    <w:rsid w:val="00950C34"/>
    <w:rsid w:val="00965A65"/>
    <w:rsid w:val="009B1F23"/>
    <w:rsid w:val="009D261A"/>
    <w:rsid w:val="009D2E3F"/>
    <w:rsid w:val="00A353E4"/>
    <w:rsid w:val="00A516EC"/>
    <w:rsid w:val="00A71842"/>
    <w:rsid w:val="00A81E4D"/>
    <w:rsid w:val="00AB3A0E"/>
    <w:rsid w:val="00AD11FF"/>
    <w:rsid w:val="00AD4A36"/>
    <w:rsid w:val="00AD6635"/>
    <w:rsid w:val="00B5095C"/>
    <w:rsid w:val="00B97F2B"/>
    <w:rsid w:val="00BF5AF4"/>
    <w:rsid w:val="00C079B9"/>
    <w:rsid w:val="00C30DAB"/>
    <w:rsid w:val="00C312AD"/>
    <w:rsid w:val="00CB5097"/>
    <w:rsid w:val="00CF4A17"/>
    <w:rsid w:val="00D015A1"/>
    <w:rsid w:val="00D45D51"/>
    <w:rsid w:val="00DC0C4E"/>
    <w:rsid w:val="00E0076D"/>
    <w:rsid w:val="00E35E03"/>
    <w:rsid w:val="00E73517"/>
    <w:rsid w:val="00EA2994"/>
    <w:rsid w:val="00F31BCA"/>
    <w:rsid w:val="00F8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A6354"/>
  <w15:chartTrackingRefBased/>
  <w15:docId w15:val="{964BF21E-5340-41FD-AF27-403A3B109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15B"/>
    <w:pPr>
      <w:spacing w:after="180" w:line="256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6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4D6D9D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unhideWhenUsed/>
    <w:qFormat/>
    <w:rsid w:val="004D6D9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4D6D9D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4D6D9D"/>
    <w:rPr>
      <w:rFonts w:ascii="Arial" w:eastAsia="MS Mincho" w:hAnsi="Arial" w:cs="Times New Roman"/>
      <w:sz w:val="28"/>
      <w:szCs w:val="20"/>
      <w:lang w:val="en-GB"/>
    </w:rPr>
  </w:style>
  <w:style w:type="character" w:customStyle="1" w:styleId="THChar">
    <w:name w:val="TH Char"/>
    <w:link w:val="TH"/>
    <w:qFormat/>
    <w:locked/>
    <w:rsid w:val="004D6D9D"/>
    <w:rPr>
      <w:rFonts w:ascii="Arial" w:eastAsia="MS Mincho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qFormat/>
    <w:rsid w:val="004D6D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TANChar">
    <w:name w:val="TAN Char"/>
    <w:link w:val="TAN"/>
    <w:qFormat/>
    <w:locked/>
    <w:rsid w:val="004D6D9D"/>
    <w:rPr>
      <w:rFonts w:ascii="Arial" w:eastAsia="MS Mincho" w:hAnsi="Arial" w:cs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4D6D9D"/>
    <w:pPr>
      <w:keepNext/>
      <w:keepLines/>
      <w:spacing w:after="0"/>
      <w:ind w:left="851" w:hanging="851"/>
    </w:pPr>
    <w:rPr>
      <w:rFonts w:ascii="Arial" w:hAnsi="Arial" w:cs="Arial"/>
      <w:sz w:val="18"/>
      <w:szCs w:val="22"/>
    </w:rPr>
  </w:style>
  <w:style w:type="character" w:customStyle="1" w:styleId="TACChar">
    <w:name w:val="TAC Char"/>
    <w:link w:val="TAC"/>
    <w:qFormat/>
    <w:locked/>
    <w:rsid w:val="004D6D9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4D6D9D"/>
    <w:pPr>
      <w:keepNext/>
      <w:keepLines/>
      <w:spacing w:after="0"/>
      <w:jc w:val="center"/>
    </w:pPr>
    <w:rPr>
      <w:rFonts w:ascii="Arial" w:eastAsiaTheme="minorHAnsi" w:hAnsi="Arial" w:cs="Arial"/>
      <w:sz w:val="18"/>
      <w:szCs w:val="22"/>
    </w:rPr>
  </w:style>
  <w:style w:type="paragraph" w:customStyle="1" w:styleId="TAH">
    <w:name w:val="TAH"/>
    <w:basedOn w:val="TAC"/>
    <w:link w:val="TAHCar"/>
    <w:qFormat/>
    <w:rsid w:val="004D6D9D"/>
    <w:rPr>
      <w:b/>
    </w:rPr>
  </w:style>
  <w:style w:type="character" w:customStyle="1" w:styleId="TAHCar">
    <w:name w:val="TAH Car"/>
    <w:link w:val="TAH"/>
    <w:qFormat/>
    <w:locked/>
    <w:rsid w:val="004D6D9D"/>
    <w:rPr>
      <w:rFonts w:ascii="Arial" w:hAnsi="Arial" w:cs="Arial"/>
      <w:b/>
      <w:sz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4D6D9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4D6D9D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4D6D9D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4D6D9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4D6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4D6D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7C25E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C2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9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Ericsson</cp:lastModifiedBy>
  <cp:revision>3</cp:revision>
  <dcterms:created xsi:type="dcterms:W3CDTF">2021-10-22T15:19:00Z</dcterms:created>
  <dcterms:modified xsi:type="dcterms:W3CDTF">2021-10-22T15:52:00Z</dcterms:modified>
</cp:coreProperties>
</file>