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2CE1" w:rsidRPr="00BB2CE1" w:rsidRDefault="00D62A9C" w:rsidP="00BB2CE1">
      <w:pPr>
        <w:spacing w:after="0"/>
        <w:rPr>
          <w:rFonts w:ascii="Arial" w:eastAsia="宋体" w:hAnsi="Arial" w:cs="Arial"/>
          <w:color w:val="000000"/>
          <w:sz w:val="16"/>
          <w:szCs w:val="16"/>
          <w:lang w:val="en-US" w:eastAsia="zh-CN"/>
        </w:rPr>
      </w:pPr>
      <w:r w:rsidRPr="006014ED">
        <w:rPr>
          <w:rFonts w:cs="Arial"/>
          <w:sz w:val="24"/>
          <w:szCs w:val="24"/>
        </w:rPr>
        <w:t>3GPP TSG-RAN WG4 Meeting # 101-e</w:t>
      </w:r>
      <w:r w:rsidRPr="006014ED">
        <w:rPr>
          <w:rFonts w:cs="Arial"/>
          <w:sz w:val="24"/>
          <w:szCs w:val="24"/>
        </w:rPr>
        <w:tab/>
      </w:r>
      <w:r w:rsidRPr="006014ED">
        <w:rPr>
          <w:rFonts w:cs="Arial"/>
          <w:sz w:val="24"/>
          <w:szCs w:val="24"/>
        </w:rPr>
        <w:tab/>
      </w:r>
      <w:r w:rsidRPr="006014ED">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sidR="00BB2CE1" w:rsidRPr="00BB2CE1">
        <w:rPr>
          <w:rFonts w:ascii="Arial" w:eastAsia="宋体" w:hAnsi="Arial" w:cs="Arial"/>
          <w:color w:val="000000"/>
          <w:sz w:val="16"/>
          <w:szCs w:val="16"/>
          <w:lang w:val="en-US" w:eastAsia="zh-CN"/>
        </w:rPr>
        <w:t>R4-2118852</w:t>
      </w:r>
    </w:p>
    <w:p w:rsidR="00D62A9C" w:rsidRPr="006014ED" w:rsidRDefault="00D62A9C" w:rsidP="00D62A9C">
      <w:pPr>
        <w:pStyle w:val="Header"/>
        <w:rPr>
          <w:rFonts w:cs="Arial"/>
          <w:sz w:val="24"/>
          <w:szCs w:val="24"/>
        </w:rPr>
      </w:pPr>
    </w:p>
    <w:p w:rsidR="00D62A9C" w:rsidRPr="002D2977" w:rsidRDefault="00D62A9C" w:rsidP="00D62A9C">
      <w:pPr>
        <w:pStyle w:val="Header"/>
        <w:rPr>
          <w:noProof w:val="0"/>
        </w:rPr>
      </w:pPr>
      <w:r w:rsidRPr="006014ED">
        <w:rPr>
          <w:rFonts w:cs="Arial"/>
          <w:sz w:val="24"/>
          <w:szCs w:val="24"/>
        </w:rPr>
        <w:t>Electronic Meeting, November 01-12, 2021</w:t>
      </w:r>
    </w:p>
    <w:p w:rsidR="00DF0231" w:rsidRPr="002D2977" w:rsidRDefault="00DF0231" w:rsidP="00DF0231">
      <w:pPr>
        <w:pStyle w:val="Header"/>
        <w:rPr>
          <w:noProof w:val="0"/>
        </w:rPr>
      </w:pPr>
    </w:p>
    <w:p w:rsidR="00DF0231" w:rsidRPr="002D2977" w:rsidRDefault="00DF0231" w:rsidP="00DF0231">
      <w:pPr>
        <w:pStyle w:val="Footer"/>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D07968">
        <w:rPr>
          <w:rFonts w:ascii="Arial" w:hAnsi="Arial"/>
          <w:sz w:val="24"/>
          <w:lang w:val="en-US"/>
        </w:rPr>
        <w:t>8.17.3</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D07968" w:rsidRPr="00D07968">
        <w:rPr>
          <w:rFonts w:ascii="Arial" w:hAnsi="Arial"/>
          <w:sz w:val="24"/>
          <w:lang w:val="en-US"/>
        </w:rPr>
        <w:t xml:space="preserve">Discussion on RRM requirements for Rel-17 </w:t>
      </w:r>
      <w:proofErr w:type="spellStart"/>
      <w:r w:rsidR="00D07968" w:rsidRPr="00D07968">
        <w:rPr>
          <w:rFonts w:ascii="Arial" w:hAnsi="Arial"/>
          <w:sz w:val="24"/>
          <w:lang w:val="en-US"/>
        </w:rPr>
        <w:t>eIAB</w:t>
      </w:r>
      <w:proofErr w:type="spellEnd"/>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102CE0" w:rsidRPr="00841386" w:rsidRDefault="002C0D3C" w:rsidP="00DF0231">
      <w:pPr>
        <w:rPr>
          <w:kern w:val="2"/>
          <w:lang w:eastAsia="zh-CN"/>
        </w:rPr>
      </w:pPr>
      <w:r>
        <w:rPr>
          <w:rFonts w:eastAsiaTheme="minorEastAsia"/>
          <w:lang w:val="en-US" w:eastAsia="zh-CN"/>
        </w:rPr>
        <w:t xml:space="preserve">The RRM impacts of Rel-17 </w:t>
      </w:r>
      <w:proofErr w:type="spellStart"/>
      <w:r>
        <w:rPr>
          <w:rFonts w:eastAsiaTheme="minorEastAsia"/>
          <w:lang w:val="en-US" w:eastAsia="zh-CN"/>
        </w:rPr>
        <w:t>eIAB</w:t>
      </w:r>
      <w:proofErr w:type="spellEnd"/>
      <w:r>
        <w:rPr>
          <w:rFonts w:eastAsiaTheme="minorEastAsia"/>
          <w:lang w:val="en-US" w:eastAsia="zh-CN"/>
        </w:rPr>
        <w:t xml:space="preserve"> is discussed in last RAN4#100e meeting with agreements captured in WF [1]. And RAN4 also discussed the LS reply to the LS from RAN3 about inter-donor migration [2]. In this paper, we further provide our views on the remaining issues and response to RAN1 LS [3].</w:t>
      </w:r>
    </w:p>
    <w:p w:rsidR="00DF0231" w:rsidRDefault="00DF0231" w:rsidP="00DF0231">
      <w:pPr>
        <w:pStyle w:val="Heading1"/>
        <w:numPr>
          <w:ilvl w:val="0"/>
          <w:numId w:val="1"/>
        </w:numPr>
        <w:rPr>
          <w:lang w:val="en-US"/>
        </w:rPr>
      </w:pPr>
      <w:r w:rsidRPr="002D2977">
        <w:rPr>
          <w:lang w:val="en-US"/>
        </w:rPr>
        <w:t>Discussion</w:t>
      </w:r>
    </w:p>
    <w:p w:rsidR="00DF6E96" w:rsidRDefault="002C0D3C" w:rsidP="00833B68">
      <w:pPr>
        <w:pStyle w:val="Heading3"/>
        <w:rPr>
          <w:lang w:val="en-US" w:eastAsia="zh-CN"/>
        </w:rPr>
      </w:pPr>
      <w:r>
        <w:rPr>
          <w:rFonts w:hint="eastAsia"/>
          <w:lang w:val="en-US" w:eastAsia="zh-CN"/>
        </w:rPr>
        <w:t xml:space="preserve">2.1 RRM </w:t>
      </w:r>
      <w:r>
        <w:rPr>
          <w:lang w:val="en-US" w:eastAsia="zh-CN"/>
        </w:rPr>
        <w:t>impact</w:t>
      </w:r>
      <w:r>
        <w:rPr>
          <w:rFonts w:hint="eastAsia"/>
          <w:lang w:val="en-US" w:eastAsia="zh-CN"/>
        </w:rPr>
        <w:t xml:space="preserve"> </w:t>
      </w:r>
      <w:r>
        <w:rPr>
          <w:lang w:val="en-US" w:eastAsia="zh-CN"/>
        </w:rPr>
        <w:t xml:space="preserve">of Rel-17 </w:t>
      </w:r>
      <w:proofErr w:type="spellStart"/>
      <w:r>
        <w:rPr>
          <w:lang w:val="en-US" w:eastAsia="zh-CN"/>
        </w:rPr>
        <w:t>eIAB</w:t>
      </w:r>
      <w:proofErr w:type="spellEnd"/>
    </w:p>
    <w:p w:rsidR="00833B68" w:rsidRDefault="00833B68" w:rsidP="00833B68">
      <w:pPr>
        <w:rPr>
          <w:rFonts w:eastAsiaTheme="minorEastAsia"/>
          <w:lang w:val="en-US" w:eastAsia="zh-CN"/>
        </w:rPr>
      </w:pPr>
      <w:r>
        <w:rPr>
          <w:rFonts w:eastAsiaTheme="minorEastAsia" w:hint="eastAsia"/>
          <w:lang w:val="en-US" w:eastAsia="zh-CN"/>
        </w:rPr>
        <w:t>The impact on RRM requirements were further discussed with status summarized as follows:</w:t>
      </w:r>
    </w:p>
    <w:tbl>
      <w:tblPr>
        <w:tblStyle w:val="TableGrid"/>
        <w:tblW w:w="0" w:type="auto"/>
        <w:tblLook w:val="04A0" w:firstRow="1" w:lastRow="0" w:firstColumn="1" w:lastColumn="0" w:noHBand="0" w:noVBand="1"/>
      </w:tblPr>
      <w:tblGrid>
        <w:gridCol w:w="9562"/>
      </w:tblGrid>
      <w:tr w:rsidR="00833B68" w:rsidTr="00833B68">
        <w:tc>
          <w:tcPr>
            <w:tcW w:w="9562" w:type="dxa"/>
          </w:tcPr>
          <w:p w:rsidR="00833B68" w:rsidRDefault="00833B68" w:rsidP="00833B68">
            <w:pPr>
              <w:rPr>
                <w:rFonts w:eastAsiaTheme="minorHAnsi"/>
                <w:bCs/>
                <w:sz w:val="22"/>
                <w:lang w:val="en-US" w:eastAsia="zh-CN"/>
              </w:rPr>
            </w:pPr>
            <w:r>
              <w:rPr>
                <w:b/>
                <w:sz w:val="22"/>
                <w:u w:val="single"/>
                <w:lang w:eastAsia="zh-CN"/>
              </w:rPr>
              <w:t>On Case 6 Timing</w:t>
            </w:r>
          </w:p>
          <w:p w:rsidR="00833B68" w:rsidRPr="00833B68" w:rsidRDefault="00833B68" w:rsidP="00833B68">
            <w:pPr>
              <w:rPr>
                <w:rFonts w:eastAsiaTheme="minorEastAsia"/>
                <w:bCs/>
                <w:sz w:val="22"/>
                <w:lang w:eastAsia="zh-CN"/>
              </w:rPr>
            </w:pPr>
            <w:r>
              <w:t xml:space="preserve">Impact of case 6 timing on RRM requirements can be assessed after RAN1 and RF </w:t>
            </w:r>
            <w:proofErr w:type="gramStart"/>
            <w:r>
              <w:t>groups</w:t>
            </w:r>
            <w:proofErr w:type="gramEnd"/>
            <w:r>
              <w:t xml:space="preserve"> agreements on case 6 timing</w:t>
            </w:r>
            <w:r>
              <w:rPr>
                <w:lang w:eastAsia="zh-CN"/>
              </w:rPr>
              <w:t>.</w:t>
            </w:r>
          </w:p>
          <w:p w:rsidR="00833B68" w:rsidRDefault="00833B68" w:rsidP="00833B68">
            <w:pPr>
              <w:rPr>
                <w:bCs/>
                <w:sz w:val="22"/>
                <w:lang w:eastAsia="zh-CN"/>
              </w:rPr>
            </w:pPr>
            <w:r>
              <w:rPr>
                <w:b/>
                <w:sz w:val="22"/>
                <w:u w:val="single"/>
                <w:lang w:eastAsia="zh-CN"/>
              </w:rPr>
              <w:t>On Topology redundancy</w:t>
            </w:r>
          </w:p>
          <w:p w:rsidR="00833B68" w:rsidRPr="00833B68" w:rsidRDefault="00833B68" w:rsidP="00833B68">
            <w:pPr>
              <w:rPr>
                <w:rFonts w:eastAsiaTheme="minorEastAsia"/>
                <w:lang w:eastAsia="zh-CN"/>
              </w:rPr>
            </w:pPr>
            <w:r>
              <w:rPr>
                <w:lang w:eastAsia="zh-CN"/>
              </w:rPr>
              <w:t>No RRM requirement is needed for topology redundancy.</w:t>
            </w:r>
          </w:p>
          <w:p w:rsidR="00833B68" w:rsidRDefault="00833B68" w:rsidP="00833B68">
            <w:pPr>
              <w:rPr>
                <w:lang w:eastAsia="zh-CN"/>
              </w:rPr>
            </w:pPr>
            <w:r>
              <w:rPr>
                <w:b/>
                <w:sz w:val="22"/>
                <w:u w:val="single"/>
                <w:lang w:eastAsia="zh-CN"/>
              </w:rPr>
              <w:t>CLI</w:t>
            </w:r>
          </w:p>
          <w:p w:rsidR="00833B68" w:rsidRPr="00833B68" w:rsidRDefault="00833B68" w:rsidP="00833B68">
            <w:pPr>
              <w:rPr>
                <w:rFonts w:eastAsiaTheme="minorEastAsia"/>
                <w:lang w:eastAsia="zh-CN"/>
              </w:rPr>
            </w:pPr>
            <w:r>
              <w:rPr>
                <w:lang w:eastAsia="zh-CN"/>
              </w:rPr>
              <w:t>The impact of CLI on RRM requirements can be assessed after CLI related agreements in RAN1/2.</w:t>
            </w:r>
          </w:p>
          <w:p w:rsidR="00833B68" w:rsidRDefault="00833B68" w:rsidP="00833B68">
            <w:pPr>
              <w:rPr>
                <w:lang w:eastAsia="zh-CN"/>
              </w:rPr>
            </w:pPr>
            <w:r>
              <w:rPr>
                <w:b/>
                <w:sz w:val="22"/>
                <w:u w:val="single"/>
                <w:lang w:eastAsia="zh-CN"/>
              </w:rPr>
              <w:t>Mobility</w:t>
            </w:r>
          </w:p>
          <w:p w:rsidR="00833B68" w:rsidRPr="00833B68" w:rsidRDefault="00833B68" w:rsidP="00833B68">
            <w:pPr>
              <w:rPr>
                <w:rFonts w:eastAsiaTheme="minorEastAsia"/>
                <w:lang w:eastAsia="zh-CN"/>
              </w:rPr>
            </w:pPr>
            <w:r>
              <w:rPr>
                <w:lang w:eastAsia="zh-CN"/>
              </w:rPr>
              <w:t>No enhancement for mobility is expected (e.g. HO, L3 neighbour cell measurement) for RRM requirements in Rel-17.</w:t>
            </w:r>
          </w:p>
          <w:p w:rsidR="00833B68" w:rsidRDefault="00833B68" w:rsidP="00833B68">
            <w:pPr>
              <w:rPr>
                <w:rFonts w:eastAsia="Yu Mincho"/>
              </w:rPr>
            </w:pPr>
            <w:r>
              <w:rPr>
                <w:b/>
                <w:sz w:val="22"/>
                <w:u w:val="single"/>
                <w:lang w:eastAsia="zh-CN"/>
              </w:rPr>
              <w:t>Simultaneous operation</w:t>
            </w:r>
          </w:p>
          <w:p w:rsidR="00833B68" w:rsidRPr="00833B68" w:rsidRDefault="00833B68" w:rsidP="00833B68">
            <w:pPr>
              <w:rPr>
                <w:rFonts w:eastAsiaTheme="minorEastAsia"/>
                <w:lang w:eastAsia="zh-CN"/>
              </w:rPr>
            </w:pPr>
            <w:r>
              <w:rPr>
                <w:rFonts w:eastAsia="Yu Mincho"/>
              </w:rPr>
              <w:t>In general simultaneous operation between IAB-MT TX and DU RX or between IAB-MT RX and DU TX is not expected to impact RRM requirements for IAB-MT or DU. RAN4 will continue assessing any possible impact on RRM requirements based on RAN1/2 agreements related to RRM.</w:t>
            </w:r>
          </w:p>
        </w:tc>
      </w:tr>
    </w:tbl>
    <w:p w:rsidR="00833B68" w:rsidRDefault="00833B68" w:rsidP="00833B68">
      <w:pPr>
        <w:rPr>
          <w:rFonts w:eastAsiaTheme="minorEastAsia"/>
          <w:lang w:val="en-US" w:eastAsia="zh-CN"/>
        </w:rPr>
      </w:pPr>
    </w:p>
    <w:p w:rsidR="00833B68" w:rsidRDefault="00D06C67" w:rsidP="00833B68">
      <w:pPr>
        <w:rPr>
          <w:rFonts w:eastAsiaTheme="minorEastAsia"/>
          <w:lang w:val="en-US" w:eastAsia="zh-CN"/>
        </w:rPr>
      </w:pPr>
      <w:r>
        <w:rPr>
          <w:rFonts w:eastAsiaTheme="minorEastAsia"/>
          <w:lang w:val="en-US" w:eastAsia="zh-CN"/>
        </w:rPr>
        <w:t>The remaining issues are whether there will be RRM impacts on case 6 timing, CLI and simultaneous operation. Regarding the CLI, based on previous RAN1 agreements, the discussion was mainly focused on cooperation among IAB nodes including resource multiplexing information and power control information via assistance information. According to the latest RAN1 conclusion in RAN1#106-bis-e, RAN1 will not further discuss proposals for interference management enhancements</w:t>
      </w:r>
      <w:r w:rsidR="005C50BC">
        <w:rPr>
          <w:rFonts w:eastAsiaTheme="minorEastAsia"/>
          <w:lang w:val="en-US" w:eastAsia="zh-CN"/>
        </w:rPr>
        <w:t>, and it may be discussed in beam reporting in resource multiplexing part</w:t>
      </w:r>
      <w:r>
        <w:rPr>
          <w:rFonts w:eastAsiaTheme="minorEastAsia"/>
          <w:lang w:val="en-US" w:eastAsia="zh-CN"/>
        </w:rPr>
        <w:t>.</w:t>
      </w:r>
      <w:r w:rsidR="005C50BC">
        <w:rPr>
          <w:rFonts w:eastAsiaTheme="minorEastAsia"/>
          <w:lang w:val="en-US" w:eastAsia="zh-CN"/>
        </w:rPr>
        <w:t xml:space="preserve"> Thus, generally the CLI mitigation in Rel-17 is not expected to impact RRM requirements, but it could be reviewed with further RAN1 agreements.</w:t>
      </w:r>
    </w:p>
    <w:p w:rsidR="005C50BC" w:rsidRPr="00187FFA" w:rsidRDefault="005C50BC" w:rsidP="005C50BC">
      <w:pPr>
        <w:rPr>
          <w:rFonts w:eastAsiaTheme="minorEastAsia"/>
          <w:b/>
          <w:lang w:val="en-US" w:eastAsia="zh-CN"/>
        </w:rPr>
      </w:pPr>
      <w:r w:rsidRPr="00187FFA">
        <w:rPr>
          <w:rFonts w:eastAsiaTheme="minorEastAsia"/>
          <w:b/>
          <w:lang w:val="en-US" w:eastAsia="zh-CN"/>
        </w:rPr>
        <w:t>Observation 1: In general the CLI mitigation in Rel-17 is not expected to impact RRM requirements, but it could be reviewed with further RAN1 agreements.</w:t>
      </w:r>
    </w:p>
    <w:p w:rsidR="005C50BC" w:rsidRDefault="005C50BC" w:rsidP="005C50BC">
      <w:pPr>
        <w:rPr>
          <w:rFonts w:eastAsiaTheme="minorEastAsia"/>
          <w:lang w:val="en-US" w:eastAsia="zh-CN"/>
        </w:rPr>
      </w:pPr>
      <w:r>
        <w:rPr>
          <w:rFonts w:eastAsiaTheme="minorEastAsia"/>
          <w:lang w:val="en-US" w:eastAsia="zh-CN"/>
        </w:rPr>
        <w:lastRenderedPageBreak/>
        <w:t xml:space="preserve">Regarding the case 6 timing, it is agreed in RAN1#106-e meeting that </w:t>
      </w:r>
      <w:r w:rsidR="007D7C90">
        <w:rPr>
          <w:rFonts w:eastAsiaTheme="minorEastAsia"/>
          <w:lang w:val="en-US" w:eastAsia="zh-CN"/>
        </w:rPr>
        <w:t xml:space="preserve">IAB-MT </w:t>
      </w:r>
      <w:proofErr w:type="spellStart"/>
      <w:r w:rsidR="007D7C90">
        <w:rPr>
          <w:rFonts w:eastAsiaTheme="minorEastAsia"/>
          <w:lang w:val="en-US" w:eastAsia="zh-CN"/>
        </w:rPr>
        <w:t>Tx</w:t>
      </w:r>
      <w:proofErr w:type="spellEnd"/>
      <w:r w:rsidR="007D7C90">
        <w:rPr>
          <w:rFonts w:eastAsiaTheme="minorEastAsia"/>
          <w:lang w:val="en-US" w:eastAsia="zh-CN"/>
        </w:rPr>
        <w:t xml:space="preserve"> timing is set by the timing obtained for DL </w:t>
      </w:r>
      <w:proofErr w:type="spellStart"/>
      <w:proofErr w:type="gramStart"/>
      <w:r w:rsidR="007D7C90">
        <w:rPr>
          <w:rFonts w:eastAsiaTheme="minorEastAsia"/>
          <w:lang w:val="en-US" w:eastAsia="zh-CN"/>
        </w:rPr>
        <w:t>Tx</w:t>
      </w:r>
      <w:proofErr w:type="spellEnd"/>
      <w:proofErr w:type="gramEnd"/>
      <w:r w:rsidR="007D7C90">
        <w:rPr>
          <w:rFonts w:eastAsiaTheme="minorEastAsia"/>
          <w:lang w:val="en-US" w:eastAsia="zh-CN"/>
        </w:rPr>
        <w:t xml:space="preserve">. During the discussion in RAN 1, different IAB implementations are considered, e.g. GNSS-based synchronization and OTA-based synchronization. From RRM perspective, when IAB-MT is in case 6 timing, the UL timing is irrelevant to TA and </w:t>
      </w:r>
      <w:proofErr w:type="spellStart"/>
      <w:r w:rsidR="007D7C90">
        <w:rPr>
          <w:rFonts w:eastAsiaTheme="minorEastAsia"/>
          <w:lang w:val="en-US" w:eastAsia="zh-CN"/>
        </w:rPr>
        <w:t>NTA_offst</w:t>
      </w:r>
      <w:proofErr w:type="spellEnd"/>
      <w:r w:rsidR="007D7C90">
        <w:rPr>
          <w:rFonts w:eastAsiaTheme="minorEastAsia"/>
          <w:lang w:val="en-US" w:eastAsia="zh-CN"/>
        </w:rPr>
        <w:t xml:space="preserve"> and is only determined by its own DL </w:t>
      </w:r>
      <w:proofErr w:type="spellStart"/>
      <w:proofErr w:type="gramStart"/>
      <w:r w:rsidR="007D7C90">
        <w:rPr>
          <w:rFonts w:eastAsiaTheme="minorEastAsia"/>
          <w:lang w:val="en-US" w:eastAsia="zh-CN"/>
        </w:rPr>
        <w:t>Tx</w:t>
      </w:r>
      <w:proofErr w:type="spellEnd"/>
      <w:proofErr w:type="gramEnd"/>
      <w:r w:rsidR="007D7C90">
        <w:rPr>
          <w:rFonts w:eastAsiaTheme="minorEastAsia"/>
          <w:lang w:val="en-US" w:eastAsia="zh-CN"/>
        </w:rPr>
        <w:t xml:space="preserve"> timing. </w:t>
      </w:r>
      <w:r w:rsidR="00151B0C">
        <w:rPr>
          <w:rFonts w:eastAsiaTheme="minorEastAsia"/>
          <w:lang w:val="en-US" w:eastAsia="zh-CN"/>
        </w:rPr>
        <w:t xml:space="preserve">Thus, the current </w:t>
      </w:r>
      <w:proofErr w:type="spellStart"/>
      <w:r w:rsidR="00151B0C">
        <w:rPr>
          <w:rFonts w:eastAsiaTheme="minorEastAsia"/>
          <w:lang w:val="en-US" w:eastAsia="zh-CN"/>
        </w:rPr>
        <w:t>Te</w:t>
      </w:r>
      <w:proofErr w:type="spellEnd"/>
      <w:r w:rsidR="00151B0C">
        <w:rPr>
          <w:rFonts w:eastAsiaTheme="minorEastAsia"/>
          <w:lang w:val="en-US" w:eastAsia="zh-CN"/>
        </w:rPr>
        <w:t xml:space="preserve"> requirement is not feasible for this case. The UL timing error is </w:t>
      </w:r>
      <w:r w:rsidR="00187FFA">
        <w:rPr>
          <w:rFonts w:eastAsiaTheme="minorEastAsia"/>
          <w:lang w:val="en-US" w:eastAsia="zh-CN"/>
        </w:rPr>
        <w:t xml:space="preserve">actually the error between IAB-DU and IAB-MT. </w:t>
      </w:r>
    </w:p>
    <w:tbl>
      <w:tblPr>
        <w:tblStyle w:val="TableGrid"/>
        <w:tblW w:w="0" w:type="auto"/>
        <w:tblLook w:val="04A0" w:firstRow="1" w:lastRow="0" w:firstColumn="1" w:lastColumn="0" w:noHBand="0" w:noVBand="1"/>
      </w:tblPr>
      <w:tblGrid>
        <w:gridCol w:w="9562"/>
      </w:tblGrid>
      <w:tr w:rsidR="007D7C90" w:rsidTr="007D7C90">
        <w:tc>
          <w:tcPr>
            <w:tcW w:w="9562" w:type="dxa"/>
          </w:tcPr>
          <w:p w:rsidR="007D7C90" w:rsidRPr="00F0271D" w:rsidRDefault="007D7C90" w:rsidP="007D7C90">
            <w:pPr>
              <w:spacing w:after="0"/>
              <w:rPr>
                <w:rFonts w:eastAsia="Batang"/>
                <w:highlight w:val="green"/>
              </w:rPr>
            </w:pPr>
            <w:r w:rsidRPr="00F0271D">
              <w:rPr>
                <w:rFonts w:eastAsia="Batang"/>
                <w:highlight w:val="green"/>
              </w:rPr>
              <w:t>Agreement</w:t>
            </w:r>
          </w:p>
          <w:p w:rsidR="007D7C90" w:rsidRPr="007D7C90" w:rsidRDefault="007D7C90" w:rsidP="007D7C90">
            <w:pPr>
              <w:spacing w:after="0"/>
              <w:rPr>
                <w:rFonts w:eastAsia="Batang"/>
              </w:rPr>
            </w:pPr>
            <w:r w:rsidRPr="007D7C90">
              <w:rPr>
                <w:rFonts w:eastAsia="Batang"/>
              </w:rPr>
              <w:t xml:space="preserve">For Case 6 timing at a given IAB-node, the IAB-MT </w:t>
            </w:r>
            <w:proofErr w:type="spellStart"/>
            <w:r w:rsidRPr="007D7C90">
              <w:rPr>
                <w:rFonts w:eastAsia="Batang"/>
              </w:rPr>
              <w:t>Tx</w:t>
            </w:r>
            <w:proofErr w:type="spellEnd"/>
            <w:r w:rsidRPr="007D7C90">
              <w:rPr>
                <w:rFonts w:eastAsia="Batang"/>
              </w:rPr>
              <w:t xml:space="preserve"> timing is set by the node to the timing obtained for the node’s DL </w:t>
            </w:r>
            <w:proofErr w:type="spellStart"/>
            <w:r w:rsidRPr="007D7C90">
              <w:rPr>
                <w:rFonts w:eastAsia="Batang"/>
              </w:rPr>
              <w:t>Tx</w:t>
            </w:r>
            <w:proofErr w:type="spellEnd"/>
            <w:r w:rsidRPr="007D7C90">
              <w:rPr>
                <w:rFonts w:eastAsia="Batang"/>
              </w:rPr>
              <w:t>.</w:t>
            </w:r>
          </w:p>
          <w:p w:rsidR="007D7C90" w:rsidRPr="007D7C90" w:rsidRDefault="007D7C90" w:rsidP="007D7C90">
            <w:pPr>
              <w:numPr>
                <w:ilvl w:val="0"/>
                <w:numId w:val="24"/>
              </w:numPr>
              <w:spacing w:after="0"/>
              <w:contextualSpacing/>
              <w:textAlignment w:val="baseline"/>
              <w:rPr>
                <w:rFonts w:eastAsia="宋体"/>
                <w:lang w:eastAsia="ja-JP"/>
              </w:rPr>
            </w:pPr>
            <w:r w:rsidRPr="007D7C90">
              <w:rPr>
                <w:rFonts w:eastAsia="宋体"/>
                <w:lang w:eastAsia="ja-JP"/>
              </w:rPr>
              <w:t xml:space="preserve">FFS: Need for additional details with reference to support of OTA synchronization (e.g. </w:t>
            </w:r>
            <w:proofErr w:type="spellStart"/>
            <w:r w:rsidRPr="007D7C90">
              <w:rPr>
                <w:rFonts w:eastAsia="宋体"/>
                <w:lang w:eastAsia="ja-JP"/>
              </w:rPr>
              <w:t>T_delta</w:t>
            </w:r>
            <w:proofErr w:type="spellEnd"/>
            <w:r w:rsidRPr="007D7C90">
              <w:rPr>
                <w:rFonts w:eastAsia="宋体"/>
                <w:lang w:eastAsia="ja-JP"/>
              </w:rPr>
              <w:t>)</w:t>
            </w:r>
          </w:p>
          <w:p w:rsidR="007D7C90" w:rsidRPr="007D7C90" w:rsidRDefault="007D7C90" w:rsidP="005C50BC">
            <w:pPr>
              <w:rPr>
                <w:rFonts w:eastAsiaTheme="minorEastAsia"/>
                <w:lang w:eastAsia="zh-CN"/>
              </w:rPr>
            </w:pPr>
          </w:p>
        </w:tc>
      </w:tr>
    </w:tbl>
    <w:p w:rsidR="00151B0C" w:rsidRDefault="00151B0C" w:rsidP="005C50BC">
      <w:pPr>
        <w:rPr>
          <w:rFonts w:eastAsiaTheme="minorEastAsia"/>
          <w:lang w:val="en-US" w:eastAsia="zh-CN"/>
        </w:rPr>
      </w:pPr>
    </w:p>
    <w:p w:rsidR="00187FFA" w:rsidRPr="005E3DEB" w:rsidRDefault="00187FFA" w:rsidP="005C50BC">
      <w:pPr>
        <w:rPr>
          <w:rFonts w:eastAsiaTheme="minorEastAsia"/>
          <w:b/>
          <w:lang w:val="en-US" w:eastAsia="zh-CN"/>
        </w:rPr>
      </w:pPr>
      <w:r w:rsidRPr="005E3DEB">
        <w:rPr>
          <w:rFonts w:eastAsiaTheme="minorEastAsia" w:hint="eastAsia"/>
          <w:b/>
          <w:lang w:val="en-US" w:eastAsia="zh-CN"/>
        </w:rPr>
        <w:t xml:space="preserve">Observation 2: </w:t>
      </w:r>
      <w:r w:rsidRPr="005E3DEB">
        <w:rPr>
          <w:rFonts w:eastAsiaTheme="minorEastAsia"/>
          <w:b/>
          <w:lang w:val="en-US" w:eastAsia="zh-CN"/>
        </w:rPr>
        <w:t>The UL timing error for case 6 timing is the error between IAB-DU and IAB-MT.</w:t>
      </w:r>
    </w:p>
    <w:p w:rsidR="00187FFA" w:rsidRDefault="00187FFA" w:rsidP="005C50BC">
      <w:pPr>
        <w:rPr>
          <w:rFonts w:eastAsiaTheme="minorEastAsia"/>
          <w:lang w:val="en-US" w:eastAsia="zh-CN"/>
        </w:rPr>
      </w:pPr>
      <w:r>
        <w:rPr>
          <w:rFonts w:eastAsiaTheme="minorEastAsia"/>
          <w:lang w:val="en-US" w:eastAsia="zh-CN"/>
        </w:rPr>
        <w:t>The timing error between IAB-DU and IAB-MT was discussed in RF session with following agreements [5]:</w:t>
      </w:r>
    </w:p>
    <w:tbl>
      <w:tblPr>
        <w:tblStyle w:val="TableGrid"/>
        <w:tblW w:w="0" w:type="auto"/>
        <w:tblLook w:val="04A0" w:firstRow="1" w:lastRow="0" w:firstColumn="1" w:lastColumn="0" w:noHBand="0" w:noVBand="1"/>
      </w:tblPr>
      <w:tblGrid>
        <w:gridCol w:w="9562"/>
      </w:tblGrid>
      <w:tr w:rsidR="00187FFA" w:rsidTr="00187FFA">
        <w:tc>
          <w:tcPr>
            <w:tcW w:w="9562" w:type="dxa"/>
          </w:tcPr>
          <w:p w:rsidR="00187FFA" w:rsidRDefault="00187FFA" w:rsidP="00187FFA">
            <w:pPr>
              <w:spacing w:after="120"/>
              <w:rPr>
                <w:rFonts w:eastAsiaTheme="minorEastAsia"/>
                <w:b/>
                <w:lang w:eastAsia="zh-CN"/>
              </w:rPr>
            </w:pPr>
            <w:r>
              <w:rPr>
                <w:b/>
              </w:rPr>
              <w:t>Way forward:</w:t>
            </w:r>
          </w:p>
          <w:p w:rsidR="00187FFA" w:rsidRDefault="00187FFA" w:rsidP="00187FFA">
            <w:pPr>
              <w:spacing w:after="120"/>
              <w:rPr>
                <w:rFonts w:ascii="Calibri" w:eastAsia="Malgun Gothic" w:hAnsi="Calibri" w:cs="Calibri"/>
                <w:u w:val="single"/>
                <w:lang w:val="en-US" w:eastAsia="ko-KR"/>
              </w:rPr>
            </w:pPr>
            <w:r>
              <w:rPr>
                <w:rFonts w:ascii="Calibri" w:hAnsi="Calibri" w:cs="Calibri"/>
                <w:u w:val="single"/>
                <w:lang w:eastAsia="ko-KR"/>
              </w:rPr>
              <w:t>Timing error between IAB-DU and IAB-MT transmission within one node for timing case#6:</w:t>
            </w:r>
          </w:p>
          <w:p w:rsidR="00187FFA" w:rsidRDefault="00187FFA" w:rsidP="00187FFA">
            <w:pPr>
              <w:pStyle w:val="ListParagraph"/>
              <w:numPr>
                <w:ilvl w:val="0"/>
                <w:numId w:val="25"/>
              </w:numPr>
              <w:spacing w:after="120" w:line="256" w:lineRule="auto"/>
              <w:ind w:firstLineChars="0"/>
              <w:contextualSpacing/>
              <w:rPr>
                <w:rFonts w:ascii="Calibri" w:eastAsia="宋体" w:hAnsi="Calibri" w:cs="Calibri"/>
                <w:color w:val="000000" w:themeColor="text1"/>
              </w:rPr>
            </w:pPr>
            <w:r>
              <w:rPr>
                <w:rFonts w:ascii="Calibri" w:eastAsia="宋体" w:hAnsi="Calibri" w:cs="Calibri"/>
                <w:color w:val="000000" w:themeColor="text1"/>
              </w:rPr>
              <w:t>Timing error between IAB-DU and IAB-MT simultaneous transmission is to be considered as new dedicated RAN4 requirement to be decided to capture it in which section in TS38.174.</w:t>
            </w:r>
          </w:p>
          <w:p w:rsidR="00187FFA" w:rsidRDefault="00187FFA" w:rsidP="00187FFA">
            <w:pPr>
              <w:pStyle w:val="ListParagraph"/>
              <w:numPr>
                <w:ilvl w:val="0"/>
                <w:numId w:val="25"/>
              </w:numPr>
              <w:spacing w:after="120"/>
              <w:ind w:firstLineChars="0"/>
              <w:contextualSpacing/>
              <w:rPr>
                <w:rFonts w:ascii="Calibri" w:eastAsia="宋体" w:hAnsi="Calibri" w:cs="Calibri"/>
                <w:color w:val="000000" w:themeColor="text1"/>
              </w:rPr>
            </w:pPr>
            <w:r>
              <w:rPr>
                <w:rFonts w:ascii="Calibri" w:eastAsia="宋体" w:hAnsi="Calibri" w:cs="Calibri"/>
                <w:color w:val="000000" w:themeColor="text1"/>
              </w:rPr>
              <w:t>Study on associated test configuration and test model in performance part if the core requirement is agreed.</w:t>
            </w:r>
          </w:p>
          <w:p w:rsidR="00187FFA" w:rsidRPr="00187FFA" w:rsidRDefault="00187FFA" w:rsidP="00187FFA">
            <w:pPr>
              <w:pStyle w:val="ListParagraph"/>
              <w:numPr>
                <w:ilvl w:val="0"/>
                <w:numId w:val="25"/>
              </w:numPr>
              <w:spacing w:after="120" w:line="256" w:lineRule="auto"/>
              <w:ind w:firstLineChars="0"/>
              <w:contextualSpacing/>
              <w:rPr>
                <w:color w:val="000000" w:themeColor="text1"/>
              </w:rPr>
            </w:pPr>
            <w:r w:rsidRPr="00187FFA">
              <w:rPr>
                <w:rFonts w:ascii="Calibri" w:eastAsia="宋体" w:hAnsi="Calibri" w:cs="Calibri"/>
                <w:color w:val="000000" w:themeColor="text1"/>
              </w:rPr>
              <w:t>Take 3us as starting point for maximum Timing error between IAB-DU and IAB-MT simultaneous transmission</w:t>
            </w:r>
          </w:p>
          <w:p w:rsidR="00187FFA" w:rsidRDefault="00187FFA" w:rsidP="00187FFA">
            <w:pPr>
              <w:pStyle w:val="ListParagraph"/>
              <w:numPr>
                <w:ilvl w:val="1"/>
                <w:numId w:val="25"/>
              </w:numPr>
              <w:spacing w:after="120" w:line="256" w:lineRule="auto"/>
              <w:ind w:firstLineChars="0"/>
              <w:contextualSpacing/>
              <w:rPr>
                <w:color w:val="000000" w:themeColor="text1"/>
              </w:rPr>
            </w:pPr>
            <w:r>
              <w:rPr>
                <w:rFonts w:ascii="Calibri" w:eastAsia="宋体" w:hAnsi="Calibri" w:cs="Calibri"/>
                <w:color w:val="000000" w:themeColor="text1"/>
              </w:rPr>
              <w:t>To review this value if improvement needed dependent on RAN1 agreement</w:t>
            </w:r>
          </w:p>
          <w:p w:rsidR="00187FFA" w:rsidRDefault="00187FFA" w:rsidP="00187FFA">
            <w:pPr>
              <w:spacing w:after="120"/>
              <w:rPr>
                <w:rFonts w:ascii="Calibri" w:hAnsi="Calibri" w:cs="Calibri"/>
                <w:u w:val="single"/>
                <w:lang w:eastAsia="ko-KR"/>
              </w:rPr>
            </w:pPr>
            <w:r>
              <w:rPr>
                <w:rFonts w:ascii="Calibri" w:hAnsi="Calibri" w:cs="Calibri"/>
                <w:u w:val="single"/>
                <w:lang w:eastAsia="ko-KR"/>
              </w:rPr>
              <w:t>Timing error between parent IAB-DU and child node IAB-DU transmission:</w:t>
            </w:r>
          </w:p>
          <w:p w:rsidR="00187FFA" w:rsidRDefault="00187FFA" w:rsidP="00187FFA">
            <w:pPr>
              <w:pStyle w:val="ListParagraph"/>
              <w:numPr>
                <w:ilvl w:val="0"/>
                <w:numId w:val="25"/>
              </w:numPr>
              <w:spacing w:after="120" w:line="256" w:lineRule="auto"/>
              <w:ind w:firstLineChars="0"/>
              <w:contextualSpacing/>
              <w:rPr>
                <w:color w:val="000000" w:themeColor="text1"/>
                <w:lang w:val="en-US"/>
              </w:rPr>
            </w:pPr>
            <w:r>
              <w:rPr>
                <w:rFonts w:ascii="Calibri" w:eastAsia="宋体" w:hAnsi="Calibri" w:cs="Calibri"/>
                <w:color w:val="000000" w:themeColor="text1"/>
              </w:rPr>
              <w:t>It is acknowledged that for shared hardware architecture, the parent IAB node can tolerate the certain value of timing error uncertainty between its child IAB node and its own DL timing</w:t>
            </w:r>
          </w:p>
          <w:p w:rsidR="00187FFA" w:rsidRDefault="00187FFA" w:rsidP="00187FFA">
            <w:pPr>
              <w:pStyle w:val="ListParagraph"/>
              <w:numPr>
                <w:ilvl w:val="1"/>
                <w:numId w:val="25"/>
              </w:numPr>
              <w:spacing w:after="120" w:line="256" w:lineRule="auto"/>
              <w:ind w:firstLineChars="0"/>
              <w:contextualSpacing/>
              <w:rPr>
                <w:rFonts w:ascii="Calibri" w:hAnsi="Calibri" w:cs="Calibri"/>
                <w:color w:val="000000" w:themeColor="text1"/>
                <w:lang w:val="en-US"/>
              </w:rPr>
            </w:pPr>
            <w:r>
              <w:rPr>
                <w:rFonts w:ascii="Calibri" w:hAnsi="Calibri" w:cs="Calibri"/>
                <w:color w:val="000000" w:themeColor="text1"/>
                <w:lang w:val="en-US"/>
              </w:rPr>
              <w:t xml:space="preserve">FFS on the value of time error tolerance on parent IAB node </w:t>
            </w:r>
          </w:p>
          <w:p w:rsidR="00187FFA" w:rsidRDefault="00187FFA" w:rsidP="00187FFA">
            <w:pPr>
              <w:pStyle w:val="ListParagraph"/>
              <w:numPr>
                <w:ilvl w:val="1"/>
                <w:numId w:val="25"/>
              </w:numPr>
              <w:spacing w:after="120" w:line="256" w:lineRule="auto"/>
              <w:ind w:firstLineChars="0"/>
              <w:contextualSpacing/>
              <w:rPr>
                <w:rFonts w:ascii="Calibri" w:hAnsi="Calibri" w:cs="Calibri"/>
                <w:color w:val="000000" w:themeColor="text1"/>
                <w:lang w:val="en-US"/>
              </w:rPr>
            </w:pPr>
            <w:r>
              <w:rPr>
                <w:rFonts w:ascii="Calibri" w:eastAsiaTheme="minorEastAsia" w:hAnsi="Calibri" w:cs="Calibri"/>
                <w:color w:val="000000" w:themeColor="text1"/>
                <w:lang w:val="en-US" w:eastAsia="zh-CN"/>
              </w:rPr>
              <w:t>To investigate if this has already been covered in Rel-16 cell phase synch requirement and can be ensured in legacy release.</w:t>
            </w:r>
          </w:p>
          <w:p w:rsidR="00187FFA" w:rsidRDefault="00187FFA" w:rsidP="00187FFA">
            <w:pPr>
              <w:pStyle w:val="ListParagraph"/>
              <w:numPr>
                <w:ilvl w:val="1"/>
                <w:numId w:val="25"/>
              </w:numPr>
              <w:spacing w:after="120" w:line="256" w:lineRule="auto"/>
              <w:ind w:firstLineChars="0"/>
              <w:contextualSpacing/>
              <w:rPr>
                <w:rFonts w:ascii="Calibri" w:hAnsi="Calibri" w:cs="Calibri"/>
                <w:color w:val="000000" w:themeColor="text1"/>
                <w:lang w:val="en-US"/>
              </w:rPr>
            </w:pPr>
            <w:r>
              <w:rPr>
                <w:rFonts w:ascii="Calibri" w:eastAsiaTheme="minorEastAsia" w:hAnsi="Calibri" w:cs="Calibri"/>
                <w:color w:val="000000" w:themeColor="text1"/>
                <w:lang w:val="en-US" w:eastAsia="zh-CN"/>
              </w:rPr>
              <w:t xml:space="preserve">No RAN4 RF requirement impact is expected due to this currently. </w:t>
            </w:r>
          </w:p>
          <w:p w:rsidR="00187FFA" w:rsidRDefault="00187FFA" w:rsidP="00187FFA">
            <w:pPr>
              <w:rPr>
                <w:rFonts w:eastAsiaTheme="minorEastAsia"/>
                <w:lang w:val="en-US" w:eastAsia="zh-CN"/>
              </w:rPr>
            </w:pPr>
            <w:r>
              <w:rPr>
                <w:rFonts w:ascii="Calibri" w:hAnsi="Calibri" w:cs="Calibri"/>
                <w:color w:val="000000" w:themeColor="text1"/>
              </w:rPr>
              <w:t>This can be reviewed if update needed due to further agreement in RAN1</w:t>
            </w:r>
          </w:p>
        </w:tc>
      </w:tr>
    </w:tbl>
    <w:p w:rsidR="00187FFA" w:rsidRDefault="00187FFA" w:rsidP="005C50BC">
      <w:pPr>
        <w:rPr>
          <w:rFonts w:eastAsiaTheme="minorEastAsia"/>
          <w:lang w:val="en-US" w:eastAsia="zh-CN"/>
        </w:rPr>
      </w:pPr>
    </w:p>
    <w:p w:rsidR="005C50BC" w:rsidRDefault="00CE6E58" w:rsidP="00833B68">
      <w:pPr>
        <w:rPr>
          <w:rFonts w:eastAsiaTheme="minorEastAsia"/>
          <w:lang w:val="en-US" w:eastAsia="zh-CN"/>
        </w:rPr>
      </w:pPr>
      <w:r>
        <w:rPr>
          <w:rFonts w:eastAsiaTheme="minorEastAsia" w:hint="eastAsia"/>
          <w:lang w:val="en-US" w:eastAsia="zh-CN"/>
        </w:rPr>
        <w:t>Whether</w:t>
      </w:r>
      <w:r>
        <w:rPr>
          <w:rFonts w:eastAsiaTheme="minorEastAsia"/>
          <w:lang w:val="en-US" w:eastAsia="zh-CN"/>
        </w:rPr>
        <w:t xml:space="preserve"> and how</w:t>
      </w:r>
      <w:r>
        <w:rPr>
          <w:rFonts w:eastAsiaTheme="minorEastAsia" w:hint="eastAsia"/>
          <w:lang w:val="en-US" w:eastAsia="zh-CN"/>
        </w:rPr>
        <w:t xml:space="preserve"> to </w:t>
      </w:r>
      <w:r>
        <w:rPr>
          <w:rFonts w:eastAsiaTheme="minorEastAsia"/>
          <w:lang w:val="en-US" w:eastAsia="zh-CN"/>
        </w:rPr>
        <w:t>define</w:t>
      </w:r>
      <w:r>
        <w:rPr>
          <w:rFonts w:eastAsiaTheme="minorEastAsia" w:hint="eastAsia"/>
          <w:lang w:val="en-US" w:eastAsia="zh-CN"/>
        </w:rPr>
        <w:t xml:space="preserve"> such timing error requirements will be further </w:t>
      </w:r>
      <w:r>
        <w:rPr>
          <w:rFonts w:eastAsiaTheme="minorEastAsia"/>
          <w:lang w:val="en-US" w:eastAsia="zh-CN"/>
        </w:rPr>
        <w:t>discussed</w:t>
      </w:r>
      <w:r>
        <w:rPr>
          <w:rFonts w:eastAsiaTheme="minorEastAsia" w:hint="eastAsia"/>
          <w:lang w:val="en-US" w:eastAsia="zh-CN"/>
        </w:rPr>
        <w:t xml:space="preserve"> </w:t>
      </w:r>
      <w:r>
        <w:rPr>
          <w:rFonts w:eastAsiaTheme="minorEastAsia"/>
          <w:lang w:val="en-US" w:eastAsia="zh-CN"/>
        </w:rPr>
        <w:t>in the next meeting. Thus, there is no RRM impact of case 6 timing.</w:t>
      </w:r>
    </w:p>
    <w:p w:rsidR="00833B68" w:rsidRPr="00CE6E58" w:rsidRDefault="00CE6E58" w:rsidP="00833B68">
      <w:pPr>
        <w:rPr>
          <w:rFonts w:eastAsiaTheme="minorEastAsia"/>
          <w:b/>
          <w:lang w:val="en-US" w:eastAsia="zh-CN"/>
        </w:rPr>
      </w:pPr>
      <w:r w:rsidRPr="00CE6E58">
        <w:rPr>
          <w:rFonts w:eastAsiaTheme="minorEastAsia"/>
          <w:b/>
          <w:lang w:val="en-US" w:eastAsia="zh-CN"/>
        </w:rPr>
        <w:t xml:space="preserve">Proposal 1: </w:t>
      </w:r>
      <w:r w:rsidR="005E3DEB">
        <w:rPr>
          <w:rFonts w:eastAsiaTheme="minorEastAsia"/>
          <w:b/>
          <w:lang w:val="en-US" w:eastAsia="zh-CN"/>
        </w:rPr>
        <w:t>There is n</w:t>
      </w:r>
      <w:r w:rsidRPr="00CE6E58">
        <w:rPr>
          <w:rFonts w:eastAsiaTheme="minorEastAsia"/>
          <w:b/>
          <w:lang w:val="en-US" w:eastAsia="zh-CN"/>
        </w:rPr>
        <w:t>o RRM impact of case 6 timing</w:t>
      </w:r>
      <w:r w:rsidR="005E3DEB">
        <w:rPr>
          <w:rFonts w:eastAsiaTheme="minorEastAsia"/>
          <w:b/>
          <w:lang w:val="en-US" w:eastAsia="zh-CN"/>
        </w:rPr>
        <w:t xml:space="preserve"> operation</w:t>
      </w:r>
      <w:r w:rsidRPr="00CE6E58">
        <w:rPr>
          <w:rFonts w:eastAsiaTheme="minorEastAsia"/>
          <w:b/>
          <w:lang w:val="en-US" w:eastAsia="zh-CN"/>
        </w:rPr>
        <w:t>.</w:t>
      </w:r>
    </w:p>
    <w:p w:rsidR="002C0D3C" w:rsidRDefault="002C0D3C" w:rsidP="00833B68">
      <w:pPr>
        <w:pStyle w:val="Heading3"/>
        <w:rPr>
          <w:lang w:val="en-US" w:eastAsia="zh-CN"/>
        </w:rPr>
      </w:pPr>
      <w:r>
        <w:rPr>
          <w:lang w:val="en-US" w:eastAsia="zh-CN"/>
        </w:rPr>
        <w:t xml:space="preserve">2.2 LS reply to </w:t>
      </w:r>
      <w:r w:rsidRPr="002C0D3C">
        <w:rPr>
          <w:lang w:val="en-US" w:eastAsia="zh-CN"/>
        </w:rPr>
        <w:t>R1-2108529</w:t>
      </w:r>
    </w:p>
    <w:p w:rsidR="00CE6E58" w:rsidRDefault="00CE6E58" w:rsidP="00CE6E58">
      <w:pPr>
        <w:rPr>
          <w:rFonts w:eastAsiaTheme="minorEastAsia"/>
          <w:lang w:val="en-US" w:eastAsia="zh-CN"/>
        </w:rPr>
      </w:pPr>
      <w:r>
        <w:rPr>
          <w:rFonts w:eastAsiaTheme="minorEastAsia" w:hint="eastAsia"/>
          <w:lang w:val="en-US" w:eastAsia="zh-CN"/>
        </w:rPr>
        <w:t xml:space="preserve">In the last RAN4 meeting, </w:t>
      </w:r>
      <w:r>
        <w:rPr>
          <w:rFonts w:eastAsiaTheme="minorEastAsia"/>
          <w:lang w:val="en-US" w:eastAsia="zh-CN"/>
        </w:rPr>
        <w:t>RAN4 discussed the LS from RAN3 [1] about the inter-donor migration. RAN4 reached consensus that Alt1 can be supported from the perspective of RRM spec. And regarding to the specific questions, it is identified that some of RRM requirements will be impacted during the migration. Regarding this issue, RAN1 also sent an LS to RAN4 [3]</w:t>
      </w:r>
      <w:r w:rsidR="008E5B9B">
        <w:rPr>
          <w:rFonts w:eastAsiaTheme="minorEastAsia"/>
          <w:lang w:val="en-US" w:eastAsia="zh-CN"/>
        </w:rPr>
        <w:t xml:space="preserve"> to provide feedback on RRM impact for legacy UE in Alt2.</w:t>
      </w:r>
    </w:p>
    <w:p w:rsidR="00830DB4" w:rsidRDefault="00830DB4" w:rsidP="00CE6E58">
      <w:pPr>
        <w:rPr>
          <w:rFonts w:eastAsiaTheme="minorEastAsia"/>
          <w:lang w:val="en-US" w:eastAsia="zh-CN"/>
        </w:rPr>
      </w:pPr>
      <w:r>
        <w:rPr>
          <w:rFonts w:eastAsiaTheme="minorEastAsia"/>
          <w:lang w:val="en-US" w:eastAsia="zh-CN"/>
        </w:rPr>
        <w:t xml:space="preserve">Firstly, the potential impacts to RRM requirements of legacy UE are already explained in the LS replied, e.g. the HO and CGI reading requirements may be impacted. Regarding the questions raised in RAN1’s LS, it should be further discussed also considered the LS from RAN2 [5]. From RAN2’s response, </w:t>
      </w:r>
      <w:r w:rsidR="00663EFA">
        <w:rPr>
          <w:rFonts w:eastAsiaTheme="minorEastAsia"/>
          <w:lang w:val="en-US" w:eastAsia="zh-CN"/>
        </w:rPr>
        <w:t xml:space="preserve">there are potential issues identified for Alt2 when UE HO from cell 1 to cell 2 no mater PCI is same or not. </w:t>
      </w:r>
    </w:p>
    <w:p w:rsidR="00663EFA" w:rsidRPr="00663EFA" w:rsidRDefault="00663EFA" w:rsidP="00CE6E58">
      <w:pPr>
        <w:rPr>
          <w:rFonts w:eastAsiaTheme="minorEastAsia"/>
          <w:b/>
          <w:lang w:val="en-US" w:eastAsia="zh-CN"/>
        </w:rPr>
      </w:pPr>
      <w:r w:rsidRPr="00663EFA">
        <w:rPr>
          <w:rFonts w:eastAsiaTheme="minorEastAsia"/>
          <w:b/>
          <w:lang w:val="en-US" w:eastAsia="zh-CN"/>
        </w:rPr>
        <w:t>Observation 3: From RAN2’s response, there are potential issues identified for Alt2 when UE HO from cell 1 to cell 2 no mater PCI is same or not.</w:t>
      </w:r>
    </w:p>
    <w:p w:rsidR="005E3DEB" w:rsidRDefault="00E41750" w:rsidP="00CE6E58">
      <w:pPr>
        <w:rPr>
          <w:rFonts w:eastAsiaTheme="minorEastAsia"/>
          <w:lang w:val="en-US" w:eastAsia="zh-CN"/>
        </w:rPr>
      </w:pPr>
      <w:r>
        <w:rPr>
          <w:rFonts w:eastAsiaTheme="minorEastAsia" w:hint="eastAsia"/>
          <w:lang w:val="en-US" w:eastAsia="zh-CN"/>
        </w:rPr>
        <w:t>Before</w:t>
      </w:r>
      <w:r>
        <w:rPr>
          <w:rFonts w:eastAsiaTheme="minorEastAsia"/>
          <w:lang w:val="en-US" w:eastAsia="zh-CN"/>
        </w:rPr>
        <w:t xml:space="preserve"> RAN4 could answer the question</w:t>
      </w:r>
      <w:r w:rsidR="009B545E">
        <w:rPr>
          <w:rFonts w:eastAsiaTheme="minorEastAsia"/>
          <w:lang w:val="en-US" w:eastAsia="zh-CN"/>
        </w:rPr>
        <w:t xml:space="preserve"> about the RRM impact. WGs seem</w:t>
      </w:r>
      <w:r>
        <w:rPr>
          <w:rFonts w:eastAsiaTheme="minorEastAsia"/>
          <w:lang w:val="en-US" w:eastAsia="zh-CN"/>
        </w:rPr>
        <w:t xml:space="preserve"> have different understandings on the exact mean</w:t>
      </w:r>
      <w:r w:rsidR="009B545E">
        <w:rPr>
          <w:rFonts w:eastAsiaTheme="minorEastAsia"/>
          <w:lang w:val="en-US" w:eastAsia="zh-CN"/>
        </w:rPr>
        <w:t>ings of how the physical cell resources are formulated</w:t>
      </w:r>
      <w:r>
        <w:rPr>
          <w:rFonts w:eastAsiaTheme="minorEastAsia"/>
          <w:lang w:val="en-US" w:eastAsia="zh-CN"/>
        </w:rPr>
        <w:t xml:space="preserve"> for Alt1 and Alt2. As replied in RAN1 LS, RAN1’s understanding is that for cell 1 and cell 2 are in TDM manner for Alt2. In RAN2’s LS, RAN2 also asked the question what is the meaning of shared and separate resource. Thus, before RAN4 can evaluate the whether there is impact on </w:t>
      </w:r>
      <w:r>
        <w:rPr>
          <w:rFonts w:eastAsiaTheme="minorEastAsia"/>
          <w:lang w:val="en-US" w:eastAsia="zh-CN"/>
        </w:rPr>
        <w:lastRenderedPageBreak/>
        <w:t>RLM and RRM requirements. The exact meaning of Alt 1 and Alt 2 should be clearly clarified first.</w:t>
      </w:r>
      <w:r w:rsidR="005E3DEB">
        <w:rPr>
          <w:rFonts w:eastAsiaTheme="minorEastAsia" w:hint="eastAsia"/>
          <w:lang w:val="en-US" w:eastAsia="zh-CN"/>
        </w:rPr>
        <w:t xml:space="preserve"> </w:t>
      </w:r>
      <w:r w:rsidR="005E3DEB">
        <w:rPr>
          <w:rFonts w:eastAsiaTheme="minorEastAsia"/>
          <w:lang w:val="en-US" w:eastAsia="zh-CN"/>
        </w:rPr>
        <w:t xml:space="preserve">Thus, </w:t>
      </w:r>
      <w:r w:rsidR="00912006">
        <w:rPr>
          <w:rFonts w:eastAsiaTheme="minorEastAsia"/>
          <w:lang w:val="en-US" w:eastAsia="zh-CN"/>
        </w:rPr>
        <w:t>it is suggested to provide the LS reply as attached in this paper.</w:t>
      </w:r>
    </w:p>
    <w:p w:rsidR="00BB2CE1" w:rsidRPr="00BB2CE1" w:rsidRDefault="00BB2CE1" w:rsidP="00CE6E58">
      <w:pPr>
        <w:rPr>
          <w:rFonts w:eastAsiaTheme="minorEastAsia"/>
          <w:b/>
          <w:lang w:val="en-US" w:eastAsia="zh-CN"/>
        </w:rPr>
      </w:pPr>
      <w:r w:rsidRPr="00BB2CE1">
        <w:rPr>
          <w:rFonts w:eastAsiaTheme="minorEastAsia"/>
          <w:b/>
          <w:lang w:val="en-US" w:eastAsia="zh-CN"/>
        </w:rPr>
        <w:t>Proposal 2: Provide LS reply as attached.</w:t>
      </w:r>
    </w:p>
    <w:p w:rsidR="00DF0231" w:rsidRDefault="00DF0231" w:rsidP="00DF0231">
      <w:pPr>
        <w:pStyle w:val="Heading1"/>
        <w:numPr>
          <w:ilvl w:val="0"/>
          <w:numId w:val="1"/>
        </w:numPr>
        <w:rPr>
          <w:lang w:val="en-US"/>
        </w:rPr>
      </w:pPr>
      <w:r w:rsidRPr="002D2977">
        <w:rPr>
          <w:lang w:val="en-US"/>
        </w:rPr>
        <w:t>Conclusions</w:t>
      </w:r>
    </w:p>
    <w:p w:rsidR="00912006" w:rsidRPr="00187FFA" w:rsidRDefault="00912006" w:rsidP="00912006">
      <w:pPr>
        <w:rPr>
          <w:rFonts w:eastAsiaTheme="minorEastAsia"/>
          <w:b/>
          <w:lang w:val="en-US" w:eastAsia="zh-CN"/>
        </w:rPr>
      </w:pPr>
      <w:r w:rsidRPr="00187FFA">
        <w:rPr>
          <w:rFonts w:eastAsiaTheme="minorEastAsia"/>
          <w:b/>
          <w:lang w:val="en-US" w:eastAsia="zh-CN"/>
        </w:rPr>
        <w:t>Observation 1: In general the CLI mitigation in Rel-17 is not expected to impact RRM requirements, but it could be reviewed with further RAN1 agreements.</w:t>
      </w:r>
    </w:p>
    <w:p w:rsidR="00912006" w:rsidRPr="005E3DEB" w:rsidRDefault="00912006" w:rsidP="00912006">
      <w:pPr>
        <w:rPr>
          <w:rFonts w:eastAsiaTheme="minorEastAsia"/>
          <w:b/>
          <w:lang w:val="en-US" w:eastAsia="zh-CN"/>
        </w:rPr>
      </w:pPr>
      <w:r w:rsidRPr="005E3DEB">
        <w:rPr>
          <w:rFonts w:eastAsiaTheme="minorEastAsia" w:hint="eastAsia"/>
          <w:b/>
          <w:lang w:val="en-US" w:eastAsia="zh-CN"/>
        </w:rPr>
        <w:t xml:space="preserve">Observation 2: </w:t>
      </w:r>
      <w:r w:rsidRPr="005E3DEB">
        <w:rPr>
          <w:rFonts w:eastAsiaTheme="minorEastAsia"/>
          <w:b/>
          <w:lang w:val="en-US" w:eastAsia="zh-CN"/>
        </w:rPr>
        <w:t>The UL timing error for case 6 timing is the error between IAB-DU and IAB-MT.</w:t>
      </w:r>
    </w:p>
    <w:p w:rsidR="00912006" w:rsidRPr="00CE6E58" w:rsidRDefault="00912006" w:rsidP="00912006">
      <w:pPr>
        <w:rPr>
          <w:rFonts w:eastAsiaTheme="minorEastAsia"/>
          <w:b/>
          <w:lang w:val="en-US" w:eastAsia="zh-CN"/>
        </w:rPr>
      </w:pPr>
      <w:r w:rsidRPr="00CE6E58">
        <w:rPr>
          <w:rFonts w:eastAsiaTheme="minorEastAsia"/>
          <w:b/>
          <w:lang w:val="en-US" w:eastAsia="zh-CN"/>
        </w:rPr>
        <w:t xml:space="preserve">Proposal 1: </w:t>
      </w:r>
      <w:r>
        <w:rPr>
          <w:rFonts w:eastAsiaTheme="minorEastAsia"/>
          <w:b/>
          <w:lang w:val="en-US" w:eastAsia="zh-CN"/>
        </w:rPr>
        <w:t>There is n</w:t>
      </w:r>
      <w:r w:rsidRPr="00CE6E58">
        <w:rPr>
          <w:rFonts w:eastAsiaTheme="minorEastAsia"/>
          <w:b/>
          <w:lang w:val="en-US" w:eastAsia="zh-CN"/>
        </w:rPr>
        <w:t>o RRM impact of case 6 timing</w:t>
      </w:r>
      <w:r>
        <w:rPr>
          <w:rFonts w:eastAsiaTheme="minorEastAsia"/>
          <w:b/>
          <w:lang w:val="en-US" w:eastAsia="zh-CN"/>
        </w:rPr>
        <w:t xml:space="preserve"> operation</w:t>
      </w:r>
      <w:r w:rsidRPr="00CE6E58">
        <w:rPr>
          <w:rFonts w:eastAsiaTheme="minorEastAsia"/>
          <w:b/>
          <w:lang w:val="en-US" w:eastAsia="zh-CN"/>
        </w:rPr>
        <w:t>.</w:t>
      </w:r>
    </w:p>
    <w:p w:rsidR="00912006" w:rsidRDefault="00912006" w:rsidP="00912006">
      <w:pPr>
        <w:rPr>
          <w:rFonts w:eastAsiaTheme="minorEastAsia"/>
          <w:b/>
          <w:lang w:val="en-US" w:eastAsia="zh-CN"/>
        </w:rPr>
      </w:pPr>
      <w:r w:rsidRPr="00663EFA">
        <w:rPr>
          <w:rFonts w:eastAsiaTheme="minorEastAsia"/>
          <w:b/>
          <w:lang w:val="en-US" w:eastAsia="zh-CN"/>
        </w:rPr>
        <w:t>Observation 3: From RAN2’s response, there are potential issues identified for Alt2 when UE HO from cell 1 to cell 2 no mater PCI is same or not.</w:t>
      </w:r>
    </w:p>
    <w:p w:rsidR="00BB2CE1" w:rsidRPr="00663EFA" w:rsidRDefault="00BB2CE1" w:rsidP="00912006">
      <w:pPr>
        <w:rPr>
          <w:rFonts w:eastAsiaTheme="minorEastAsia"/>
          <w:b/>
          <w:lang w:val="en-US" w:eastAsia="zh-CN"/>
        </w:rPr>
      </w:pPr>
      <w:r>
        <w:rPr>
          <w:rFonts w:eastAsiaTheme="minorEastAsia"/>
          <w:b/>
          <w:lang w:val="en-US" w:eastAsia="zh-CN"/>
        </w:rPr>
        <w:t>Proposal 2: Provide LS reply as attached.</w:t>
      </w:r>
    </w:p>
    <w:p w:rsidR="003C6DC4" w:rsidRPr="00912006" w:rsidRDefault="00912006" w:rsidP="00912006">
      <w:pPr>
        <w:pStyle w:val="Heading1"/>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Draft LS reply to RAN1 </w:t>
      </w:r>
      <w:r w:rsidRPr="002C0D3C">
        <w:rPr>
          <w:lang w:val="en-US" w:eastAsia="zh-CN"/>
        </w:rPr>
        <w:t>R1-2108529</w:t>
      </w:r>
    </w:p>
    <w:p w:rsidR="00A8404B" w:rsidRPr="00A8404B" w:rsidRDefault="00A8404B" w:rsidP="00A8404B">
      <w:pPr>
        <w:spacing w:after="60"/>
        <w:ind w:left="1985" w:hanging="1985"/>
        <w:rPr>
          <w:rFonts w:ascii="Arial" w:eastAsia="宋体" w:hAnsi="Arial" w:cs="Arial"/>
        </w:rPr>
      </w:pPr>
      <w:r w:rsidRPr="00A8404B">
        <w:rPr>
          <w:rFonts w:ascii="Arial" w:eastAsia="宋体" w:hAnsi="Arial" w:cs="Arial"/>
          <w:b/>
        </w:rPr>
        <w:t>Title:</w:t>
      </w:r>
      <w:r w:rsidRPr="00A8404B">
        <w:rPr>
          <w:rFonts w:ascii="Arial" w:eastAsia="宋体" w:hAnsi="Arial" w:cs="Arial"/>
          <w:b/>
        </w:rPr>
        <w:tab/>
      </w:r>
      <w:r w:rsidRPr="00A8404B">
        <w:rPr>
          <w:rFonts w:ascii="Arial" w:eastAsia="宋体" w:hAnsi="Arial" w:cs="Arial"/>
        </w:rPr>
        <w:t>L</w:t>
      </w:r>
      <w:r w:rsidRPr="00A8404B">
        <w:rPr>
          <w:rFonts w:ascii="Arial" w:eastAsia="宋体" w:hAnsi="Arial" w:cs="Arial"/>
          <w:lang w:eastAsia="zh-CN"/>
        </w:rPr>
        <w:t>S response o</w:t>
      </w:r>
      <w:r w:rsidRPr="00A8404B">
        <w:rPr>
          <w:rFonts w:ascii="Arial" w:eastAsia="宋体" w:hAnsi="Arial" w:cs="Arial"/>
        </w:rPr>
        <w:t>n Inter-donor migration</w:t>
      </w:r>
    </w:p>
    <w:p w:rsidR="00A8404B" w:rsidRPr="00A8404B" w:rsidRDefault="00A8404B" w:rsidP="00A8404B">
      <w:pPr>
        <w:spacing w:after="60"/>
        <w:ind w:left="1985" w:hanging="1985"/>
        <w:rPr>
          <w:rFonts w:ascii="Arial" w:eastAsia="宋体" w:hAnsi="Arial" w:cs="Arial"/>
          <w:bCs/>
        </w:rPr>
      </w:pPr>
      <w:r w:rsidRPr="00A8404B">
        <w:rPr>
          <w:rFonts w:ascii="Arial" w:eastAsia="宋体" w:hAnsi="Arial" w:cs="Arial"/>
          <w:b/>
        </w:rPr>
        <w:t>Response to:</w:t>
      </w:r>
      <w:r w:rsidRPr="00A8404B">
        <w:rPr>
          <w:rFonts w:ascii="Arial" w:eastAsia="宋体" w:hAnsi="Arial" w:cs="Arial"/>
          <w:bCs/>
        </w:rPr>
        <w:tab/>
        <w:t>R1-2108529</w:t>
      </w:r>
    </w:p>
    <w:p w:rsidR="00A8404B" w:rsidRPr="00A8404B" w:rsidRDefault="00A8404B" w:rsidP="00A8404B">
      <w:pPr>
        <w:spacing w:after="60"/>
        <w:ind w:left="1985" w:hanging="1985"/>
        <w:rPr>
          <w:rFonts w:ascii="Arial" w:eastAsia="宋体" w:hAnsi="Arial" w:cs="Arial"/>
          <w:bCs/>
          <w:lang w:eastAsia="zh-CN"/>
        </w:rPr>
      </w:pPr>
      <w:r w:rsidRPr="00A8404B">
        <w:rPr>
          <w:rFonts w:ascii="Arial" w:eastAsia="宋体" w:hAnsi="Arial" w:cs="Arial"/>
          <w:b/>
        </w:rPr>
        <w:t>Release:</w:t>
      </w:r>
      <w:r w:rsidRPr="00A8404B">
        <w:rPr>
          <w:rFonts w:ascii="Arial" w:eastAsia="宋体" w:hAnsi="Arial" w:cs="Arial"/>
          <w:bCs/>
        </w:rPr>
        <w:tab/>
      </w:r>
      <w:r w:rsidRPr="00A8404B">
        <w:rPr>
          <w:rFonts w:ascii="Arial" w:eastAsia="宋体" w:hAnsi="Arial" w:cs="Arial"/>
          <w:bCs/>
          <w:lang w:eastAsia="zh-CN"/>
        </w:rPr>
        <w:t>Rel-17</w:t>
      </w:r>
    </w:p>
    <w:p w:rsidR="00A8404B" w:rsidRPr="00A8404B" w:rsidRDefault="00A8404B" w:rsidP="00A8404B">
      <w:pPr>
        <w:spacing w:after="60"/>
        <w:ind w:left="1985" w:hanging="1985"/>
        <w:rPr>
          <w:rFonts w:ascii="Arial" w:eastAsia="宋体" w:hAnsi="Arial" w:cs="Arial"/>
          <w:bCs/>
        </w:rPr>
      </w:pPr>
      <w:r w:rsidRPr="00A8404B">
        <w:rPr>
          <w:rFonts w:ascii="Arial" w:eastAsia="宋体" w:hAnsi="Arial" w:cs="Arial"/>
          <w:b/>
        </w:rPr>
        <w:t>Work Item:</w:t>
      </w:r>
      <w:r w:rsidRPr="00A8404B">
        <w:rPr>
          <w:rFonts w:ascii="Arial" w:eastAsia="宋体" w:hAnsi="Arial" w:cs="Arial"/>
          <w:bCs/>
        </w:rPr>
        <w:tab/>
      </w:r>
      <w:proofErr w:type="spellStart"/>
      <w:r w:rsidRPr="00A8404B">
        <w:rPr>
          <w:rFonts w:ascii="Arial" w:eastAsia="宋体" w:hAnsi="Arial" w:cs="Arial"/>
          <w:bCs/>
        </w:rPr>
        <w:t>NR_IAB_enh</w:t>
      </w:r>
      <w:proofErr w:type="spellEnd"/>
      <w:r w:rsidRPr="00A8404B">
        <w:rPr>
          <w:rFonts w:ascii="Arial" w:eastAsia="宋体" w:hAnsi="Arial" w:cs="Arial"/>
          <w:bCs/>
        </w:rPr>
        <w:t>-Core</w:t>
      </w:r>
    </w:p>
    <w:p w:rsidR="00A8404B" w:rsidRPr="00A8404B" w:rsidRDefault="00A8404B" w:rsidP="00A8404B">
      <w:pPr>
        <w:spacing w:after="60"/>
        <w:ind w:left="1985" w:hanging="1985"/>
        <w:rPr>
          <w:rFonts w:ascii="Arial" w:eastAsia="宋体" w:hAnsi="Arial" w:cs="Arial"/>
          <w:b/>
        </w:rPr>
      </w:pPr>
    </w:p>
    <w:p w:rsidR="00A8404B" w:rsidRPr="00A8404B" w:rsidRDefault="00A8404B" w:rsidP="00A8404B">
      <w:pPr>
        <w:spacing w:after="60"/>
        <w:ind w:left="1985" w:hanging="1985"/>
        <w:rPr>
          <w:rFonts w:ascii="Arial" w:hAnsi="Arial" w:cs="Arial"/>
          <w:bCs/>
          <w:lang w:eastAsia="ja-JP"/>
        </w:rPr>
      </w:pPr>
      <w:r w:rsidRPr="00A8404B">
        <w:rPr>
          <w:rFonts w:ascii="Arial" w:eastAsia="宋体" w:hAnsi="Arial" w:cs="Arial"/>
          <w:b/>
        </w:rPr>
        <w:t>Source:</w:t>
      </w:r>
      <w:r w:rsidRPr="00A8404B">
        <w:rPr>
          <w:rFonts w:ascii="Arial" w:eastAsia="宋体" w:hAnsi="Arial" w:cs="Arial"/>
          <w:bCs/>
          <w:color w:val="FF0000"/>
        </w:rPr>
        <w:tab/>
      </w:r>
      <w:r w:rsidRPr="00A8404B">
        <w:rPr>
          <w:rFonts w:ascii="Arial" w:hAnsi="Arial" w:cs="Arial"/>
          <w:bCs/>
          <w:lang w:eastAsia="ja-JP"/>
        </w:rPr>
        <w:t>TSG RAN WG</w:t>
      </w:r>
      <w:r>
        <w:rPr>
          <w:rFonts w:ascii="Arial" w:hAnsi="Arial" w:cs="Arial"/>
          <w:bCs/>
          <w:lang w:eastAsia="ja-JP"/>
        </w:rPr>
        <w:t>4</w:t>
      </w:r>
    </w:p>
    <w:p w:rsidR="00A8404B" w:rsidRPr="00A8404B" w:rsidRDefault="00A8404B" w:rsidP="00A8404B">
      <w:pPr>
        <w:spacing w:after="60"/>
        <w:ind w:left="1985" w:hanging="1985"/>
        <w:rPr>
          <w:rFonts w:ascii="Arial" w:eastAsia="宋体" w:hAnsi="Arial" w:cs="Arial"/>
          <w:bCs/>
        </w:rPr>
      </w:pPr>
      <w:r w:rsidRPr="00A8404B">
        <w:rPr>
          <w:rFonts w:ascii="Arial" w:eastAsia="宋体" w:hAnsi="Arial" w:cs="Arial"/>
          <w:b/>
        </w:rPr>
        <w:t>To:</w:t>
      </w:r>
      <w:r w:rsidRPr="00A8404B">
        <w:rPr>
          <w:rFonts w:ascii="Arial" w:eastAsia="宋体" w:hAnsi="Arial" w:cs="Arial"/>
          <w:bCs/>
        </w:rPr>
        <w:tab/>
        <w:t xml:space="preserve">TSG </w:t>
      </w:r>
      <w:r w:rsidRPr="00A8404B">
        <w:rPr>
          <w:rFonts w:ascii="Arial" w:hAnsi="Arial" w:cs="Arial"/>
          <w:bCs/>
          <w:lang w:eastAsia="ja-JP"/>
        </w:rPr>
        <w:t xml:space="preserve">RAN WG1, </w:t>
      </w:r>
      <w:r w:rsidRPr="00A8404B">
        <w:rPr>
          <w:rFonts w:ascii="Arial" w:eastAsia="宋体" w:hAnsi="Arial" w:cs="Arial"/>
          <w:bCs/>
        </w:rPr>
        <w:t xml:space="preserve">TSG </w:t>
      </w:r>
      <w:r w:rsidRPr="00A8404B">
        <w:rPr>
          <w:rFonts w:ascii="Arial" w:hAnsi="Arial" w:cs="Arial"/>
          <w:bCs/>
          <w:lang w:eastAsia="ja-JP"/>
        </w:rPr>
        <w:t>RAN WG</w:t>
      </w:r>
      <w:r>
        <w:rPr>
          <w:rFonts w:ascii="Arial" w:hAnsi="Arial" w:cs="Arial"/>
          <w:bCs/>
          <w:lang w:eastAsia="ja-JP"/>
        </w:rPr>
        <w:t>3</w:t>
      </w:r>
    </w:p>
    <w:p w:rsidR="00A8404B" w:rsidRPr="00A8404B" w:rsidRDefault="00A8404B" w:rsidP="00A8404B">
      <w:pPr>
        <w:spacing w:after="60"/>
        <w:ind w:left="1985" w:hanging="1985"/>
        <w:rPr>
          <w:rFonts w:ascii="Arial" w:eastAsia="宋体" w:hAnsi="Arial" w:cs="Arial"/>
          <w:bCs/>
          <w:lang w:eastAsia="zh-CN"/>
        </w:rPr>
      </w:pPr>
      <w:r w:rsidRPr="00A8404B">
        <w:rPr>
          <w:rFonts w:ascii="Arial" w:eastAsia="宋体" w:hAnsi="Arial" w:cs="Arial"/>
          <w:b/>
        </w:rPr>
        <w:t>Cc:</w:t>
      </w:r>
      <w:r w:rsidRPr="00A8404B">
        <w:rPr>
          <w:rFonts w:ascii="Arial" w:eastAsia="宋体" w:hAnsi="Arial" w:cs="Arial"/>
          <w:bCs/>
        </w:rPr>
        <w:tab/>
        <w:t xml:space="preserve">TSG </w:t>
      </w:r>
      <w:r w:rsidRPr="00A8404B">
        <w:rPr>
          <w:rFonts w:ascii="Arial" w:hAnsi="Arial" w:cs="Arial"/>
          <w:bCs/>
          <w:lang w:eastAsia="ja-JP"/>
        </w:rPr>
        <w:t>RAN WG</w:t>
      </w:r>
      <w:r>
        <w:rPr>
          <w:rFonts w:ascii="Arial" w:hAnsi="Arial" w:cs="Arial"/>
          <w:bCs/>
          <w:lang w:eastAsia="ja-JP"/>
        </w:rPr>
        <w:t>2</w:t>
      </w:r>
    </w:p>
    <w:p w:rsidR="00A8404B" w:rsidRPr="00A8404B" w:rsidRDefault="00A8404B" w:rsidP="00A8404B">
      <w:pPr>
        <w:spacing w:after="60"/>
        <w:ind w:left="1985" w:hanging="1985"/>
        <w:rPr>
          <w:rFonts w:ascii="Arial" w:eastAsia="宋体" w:hAnsi="Arial" w:cs="Arial"/>
          <w:bCs/>
        </w:rPr>
      </w:pPr>
    </w:p>
    <w:p w:rsidR="00A8404B" w:rsidRPr="00A8404B" w:rsidRDefault="00A8404B" w:rsidP="00A8404B">
      <w:pPr>
        <w:tabs>
          <w:tab w:val="left" w:pos="2268"/>
        </w:tabs>
        <w:spacing w:after="0"/>
        <w:rPr>
          <w:rFonts w:ascii="Arial" w:eastAsia="宋体" w:hAnsi="Arial" w:cs="Arial"/>
          <w:bCs/>
        </w:rPr>
      </w:pPr>
      <w:r w:rsidRPr="00A8404B">
        <w:rPr>
          <w:rFonts w:ascii="Arial" w:eastAsia="宋体" w:hAnsi="Arial" w:cs="Arial"/>
          <w:b/>
        </w:rPr>
        <w:t>Contact Person:</w:t>
      </w:r>
      <w:r w:rsidRPr="00A8404B">
        <w:rPr>
          <w:rFonts w:ascii="Arial" w:eastAsia="宋体" w:hAnsi="Arial" w:cs="Arial"/>
          <w:bCs/>
        </w:rPr>
        <w:tab/>
      </w:r>
      <w:r w:rsidR="00BB2CE1">
        <w:rPr>
          <w:rFonts w:ascii="Arial" w:eastAsia="宋体" w:hAnsi="Arial" w:cs="Arial"/>
          <w:bCs/>
        </w:rPr>
        <w:t xml:space="preserve"> </w:t>
      </w:r>
    </w:p>
    <w:p w:rsidR="00A8404B" w:rsidRPr="00A8404B" w:rsidRDefault="00A8404B" w:rsidP="00A8404B">
      <w:pPr>
        <w:keepNext/>
        <w:keepLines/>
        <w:tabs>
          <w:tab w:val="left" w:pos="2268"/>
        </w:tabs>
        <w:spacing w:after="0"/>
        <w:ind w:left="1418" w:hanging="1418"/>
        <w:outlineLvl w:val="3"/>
        <w:rPr>
          <w:rFonts w:ascii="Arial" w:eastAsia="宋体" w:hAnsi="Arial" w:cs="Arial"/>
        </w:rPr>
      </w:pPr>
      <w:r w:rsidRPr="00A8404B">
        <w:rPr>
          <w:rFonts w:ascii="Arial" w:eastAsia="宋体" w:hAnsi="Arial" w:cs="Arial"/>
        </w:rPr>
        <w:t>Name:</w:t>
      </w:r>
      <w:r w:rsidRPr="00A8404B">
        <w:rPr>
          <w:rFonts w:ascii="Arial" w:eastAsia="宋体" w:hAnsi="Arial" w:cs="Arial"/>
        </w:rPr>
        <w:tab/>
        <w:t xml:space="preserve">          </w:t>
      </w:r>
      <w:r w:rsidR="00BB2CE1">
        <w:rPr>
          <w:rFonts w:ascii="Arial" w:eastAsia="宋体" w:hAnsi="Arial" w:cs="Arial"/>
        </w:rPr>
        <w:t>Zhongyi Shen</w:t>
      </w:r>
    </w:p>
    <w:p w:rsidR="00A8404B" w:rsidRPr="00A8404B" w:rsidRDefault="00A8404B" w:rsidP="00A8404B">
      <w:pPr>
        <w:keepNext/>
        <w:keepLines/>
        <w:tabs>
          <w:tab w:val="left" w:pos="2268"/>
        </w:tabs>
        <w:spacing w:after="0"/>
        <w:ind w:left="1984" w:hanging="1985"/>
        <w:outlineLvl w:val="6"/>
        <w:rPr>
          <w:rFonts w:ascii="Arial" w:eastAsia="宋体" w:hAnsi="Arial" w:cs="Arial"/>
        </w:rPr>
      </w:pPr>
      <w:r w:rsidRPr="00A8404B">
        <w:rPr>
          <w:rFonts w:ascii="Arial" w:eastAsia="宋体" w:hAnsi="Arial" w:cs="Arial"/>
        </w:rPr>
        <w:t>E-mail Address:</w:t>
      </w:r>
      <w:r w:rsidRPr="00A8404B">
        <w:rPr>
          <w:rFonts w:ascii="Arial" w:eastAsia="宋体" w:hAnsi="Arial" w:cs="Arial"/>
        </w:rPr>
        <w:tab/>
      </w:r>
      <w:r w:rsidR="00BB2CE1">
        <w:rPr>
          <w:rFonts w:ascii="Arial" w:eastAsia="宋体" w:hAnsi="Arial" w:cs="Arial"/>
        </w:rPr>
        <w:t xml:space="preserve">    Shenzhongyi3</w:t>
      </w:r>
      <w:r w:rsidR="00BB2CE1">
        <w:rPr>
          <w:rFonts w:ascii="Arial" w:eastAsia="宋体" w:hAnsi="Arial" w:cs="Arial" w:hint="eastAsia"/>
          <w:lang w:eastAsia="zh-CN"/>
        </w:rPr>
        <w:t>@</w:t>
      </w:r>
      <w:r w:rsidR="00BB2CE1">
        <w:rPr>
          <w:rFonts w:ascii="Arial" w:eastAsia="宋体" w:hAnsi="Arial" w:cs="Arial"/>
        </w:rPr>
        <w:t>huawei.com</w:t>
      </w:r>
      <w:bookmarkStart w:id="0" w:name="_GoBack"/>
      <w:bookmarkEnd w:id="0"/>
    </w:p>
    <w:p w:rsidR="00A8404B" w:rsidRPr="00A8404B" w:rsidRDefault="00A8404B" w:rsidP="00A8404B">
      <w:pPr>
        <w:spacing w:after="120"/>
        <w:rPr>
          <w:rFonts w:ascii="Arial" w:eastAsia="宋体" w:hAnsi="Arial" w:cs="Arial"/>
          <w:b/>
        </w:rPr>
      </w:pPr>
    </w:p>
    <w:p w:rsidR="00A8404B" w:rsidRPr="00A8404B" w:rsidRDefault="00A8404B" w:rsidP="00A8404B">
      <w:pPr>
        <w:spacing w:after="120"/>
        <w:rPr>
          <w:rFonts w:ascii="Arial" w:eastAsia="宋体" w:hAnsi="Arial" w:cs="Arial"/>
          <w:b/>
        </w:rPr>
      </w:pPr>
      <w:r w:rsidRPr="00A8404B">
        <w:rPr>
          <w:rFonts w:ascii="Arial" w:eastAsia="宋体" w:hAnsi="Arial" w:cs="Arial"/>
          <w:b/>
        </w:rPr>
        <w:t>1. Overall Description:</w:t>
      </w:r>
    </w:p>
    <w:p w:rsidR="00A8404B" w:rsidRDefault="00A8404B" w:rsidP="00A8404B">
      <w:pPr>
        <w:spacing w:afterLines="100" w:after="240"/>
        <w:jc w:val="both"/>
        <w:rPr>
          <w:rFonts w:ascii="Arial" w:eastAsia="宋体" w:hAnsi="Arial" w:cs="Arial"/>
          <w:color w:val="000000"/>
          <w:lang w:val="en-US"/>
        </w:rPr>
      </w:pPr>
      <w:r w:rsidRPr="00A8404B">
        <w:rPr>
          <w:rFonts w:ascii="Arial" w:eastAsia="宋体" w:hAnsi="Arial" w:cs="Arial"/>
          <w:color w:val="000000"/>
        </w:rPr>
        <w:t>RAN4 would like to thank RAN</w:t>
      </w:r>
      <w:r>
        <w:rPr>
          <w:rFonts w:ascii="Arial" w:eastAsia="宋体" w:hAnsi="Arial" w:cs="Arial"/>
          <w:color w:val="000000"/>
        </w:rPr>
        <w:t>1</w:t>
      </w:r>
      <w:r w:rsidRPr="00A8404B">
        <w:rPr>
          <w:rFonts w:ascii="Arial" w:eastAsia="宋体" w:hAnsi="Arial" w:cs="Arial"/>
          <w:color w:val="000000"/>
        </w:rPr>
        <w:t xml:space="preserve"> for their LS on Inter-donor migration</w:t>
      </w:r>
      <w:r w:rsidRPr="00A8404B">
        <w:rPr>
          <w:rFonts w:ascii="Arial" w:eastAsia="宋体" w:hAnsi="Arial" w:cs="Arial"/>
          <w:color w:val="000000"/>
          <w:spacing w:val="-5"/>
          <w:lang w:val="en-US"/>
        </w:rPr>
        <w:t>. </w:t>
      </w:r>
      <w:r w:rsidRPr="00A8404B">
        <w:rPr>
          <w:rFonts w:ascii="Arial" w:eastAsia="宋体" w:hAnsi="Arial" w:cs="Arial"/>
          <w:color w:val="000000"/>
          <w:lang w:val="en-US"/>
        </w:rPr>
        <w:t>​RAN4 would like to provide the following responses to RAN</w:t>
      </w:r>
      <w:r>
        <w:rPr>
          <w:rFonts w:ascii="Arial" w:eastAsia="宋体" w:hAnsi="Arial" w:cs="Arial"/>
          <w:color w:val="000000"/>
          <w:lang w:val="en-US"/>
        </w:rPr>
        <w:t>1</w:t>
      </w:r>
      <w:r w:rsidRPr="00A8404B">
        <w:rPr>
          <w:rFonts w:ascii="Arial" w:eastAsia="宋体" w:hAnsi="Arial" w:cs="Arial"/>
          <w:color w:val="000000"/>
          <w:lang w:val="en-US"/>
        </w:rPr>
        <w:t xml:space="preserve"> questions:</w:t>
      </w:r>
    </w:p>
    <w:p w:rsidR="00A8404B" w:rsidRPr="00DD25E0" w:rsidRDefault="00A8404B" w:rsidP="00A8404B">
      <w:pPr>
        <w:spacing w:afterLines="100" w:after="240"/>
        <w:jc w:val="both"/>
        <w:rPr>
          <w:rFonts w:ascii="Arial" w:eastAsia="宋体" w:hAnsi="Arial" w:cs="Arial"/>
          <w:bCs/>
        </w:rPr>
      </w:pPr>
      <w:r>
        <w:rPr>
          <w:rFonts w:ascii="Arial" w:eastAsia="宋体" w:hAnsi="Arial" w:cs="Arial"/>
          <w:color w:val="000000"/>
          <w:lang w:val="en-US"/>
        </w:rPr>
        <w:t xml:space="preserve">The impacts on RRM requirements of Alt2 to legacy UEs were initially discussed in RAN4#100-e meeting as responded in LS </w:t>
      </w:r>
      <w:r w:rsidRPr="00A8404B">
        <w:rPr>
          <w:rFonts w:ascii="Arial" w:eastAsia="宋体" w:hAnsi="Arial" w:cs="Arial"/>
          <w:bCs/>
        </w:rPr>
        <w:t>R4-2115354</w:t>
      </w:r>
      <w:r>
        <w:rPr>
          <w:rFonts w:ascii="Arial" w:eastAsia="宋体" w:hAnsi="Arial" w:cs="Arial"/>
          <w:bCs/>
        </w:rPr>
        <w:t xml:space="preserve">. As described in the LS </w:t>
      </w:r>
      <w:r w:rsidRPr="00A8404B">
        <w:rPr>
          <w:rFonts w:ascii="Arial" w:eastAsia="宋体" w:hAnsi="Arial" w:cs="Arial"/>
          <w:bCs/>
        </w:rPr>
        <w:t>R1-2108529</w:t>
      </w:r>
      <w:r>
        <w:rPr>
          <w:rFonts w:ascii="Arial" w:eastAsia="宋体" w:hAnsi="Arial" w:cs="Arial"/>
          <w:bCs/>
        </w:rPr>
        <w:t>,</w:t>
      </w:r>
      <w:r w:rsidR="00DD25E0">
        <w:rPr>
          <w:rFonts w:ascii="Arial" w:eastAsia="宋体" w:hAnsi="Arial" w:cs="Arial"/>
          <w:bCs/>
        </w:rPr>
        <w:t xml:space="preserve"> what is the exact meaning</w:t>
      </w:r>
      <w:r w:rsidR="00822B57">
        <w:rPr>
          <w:rFonts w:ascii="Arial" w:eastAsia="宋体" w:hAnsi="Arial" w:cs="Arial"/>
          <w:bCs/>
        </w:rPr>
        <w:t xml:space="preserve"> of</w:t>
      </w:r>
      <w:r w:rsidR="00DD25E0">
        <w:rPr>
          <w:rFonts w:ascii="Arial" w:eastAsia="宋体" w:hAnsi="Arial" w:cs="Arial"/>
          <w:bCs/>
        </w:rPr>
        <w:t xml:space="preserve"> two DUs using same physical cell resources in Alt2 is not clear. RAN4 would like to ask RAN3 to clarify and confirm the right understanding and assumption of Alt2 before RAN4 can further investigate whether there are any RRM impacts for legacy UEs.</w:t>
      </w:r>
    </w:p>
    <w:p w:rsidR="00A8404B" w:rsidRPr="00A8404B" w:rsidRDefault="00A8404B" w:rsidP="00A8404B">
      <w:pPr>
        <w:rPr>
          <w:rFonts w:eastAsia="宋体"/>
        </w:rPr>
      </w:pPr>
    </w:p>
    <w:p w:rsidR="00A8404B" w:rsidRPr="00A8404B" w:rsidRDefault="00A8404B" w:rsidP="00A8404B">
      <w:pPr>
        <w:spacing w:before="240" w:after="120"/>
        <w:jc w:val="both"/>
        <w:rPr>
          <w:rFonts w:ascii="Arial" w:eastAsia="宋体" w:hAnsi="Arial" w:cs="Arial"/>
          <w:b/>
        </w:rPr>
      </w:pPr>
      <w:r w:rsidRPr="00A8404B">
        <w:rPr>
          <w:rFonts w:ascii="Arial" w:eastAsia="宋体" w:hAnsi="Arial" w:cs="Arial"/>
          <w:b/>
        </w:rPr>
        <w:t>2. Actions:</w:t>
      </w:r>
    </w:p>
    <w:p w:rsidR="00A8404B" w:rsidRPr="00A8404B" w:rsidRDefault="00A8404B" w:rsidP="00A8404B">
      <w:pPr>
        <w:spacing w:after="120"/>
        <w:ind w:left="1985" w:hanging="1985"/>
        <w:jc w:val="both"/>
        <w:rPr>
          <w:rFonts w:ascii="Arial" w:eastAsia="宋体" w:hAnsi="Arial" w:cs="Arial"/>
          <w:b/>
          <w:color w:val="000000"/>
          <w:lang w:eastAsia="zh-CN"/>
        </w:rPr>
      </w:pPr>
      <w:r w:rsidRPr="00A8404B">
        <w:rPr>
          <w:rFonts w:ascii="Arial" w:eastAsia="宋体" w:hAnsi="Arial" w:cs="Arial"/>
          <w:b/>
          <w:color w:val="000000"/>
        </w:rPr>
        <w:t>To</w:t>
      </w:r>
      <w:r w:rsidRPr="00A8404B">
        <w:rPr>
          <w:rFonts w:ascii="Arial" w:eastAsia="宋体" w:hAnsi="Arial" w:cs="Arial"/>
          <w:b/>
          <w:color w:val="000000"/>
          <w:lang w:eastAsia="zh-CN"/>
        </w:rPr>
        <w:t xml:space="preserve"> RAN1</w:t>
      </w:r>
    </w:p>
    <w:p w:rsidR="00A8404B" w:rsidRPr="00A8404B" w:rsidRDefault="00A8404B" w:rsidP="00A8404B">
      <w:pPr>
        <w:spacing w:after="120"/>
        <w:ind w:left="993" w:hanging="993"/>
        <w:jc w:val="both"/>
        <w:rPr>
          <w:rFonts w:ascii="Arial" w:eastAsia="宋体" w:hAnsi="Arial" w:cs="Arial"/>
          <w:color w:val="000000"/>
          <w:lang w:eastAsia="zh-CN"/>
        </w:rPr>
      </w:pPr>
      <w:r w:rsidRPr="00A8404B">
        <w:rPr>
          <w:rFonts w:ascii="Arial" w:eastAsia="宋体" w:hAnsi="Arial" w:cs="Arial"/>
          <w:b/>
          <w:color w:val="000000"/>
        </w:rPr>
        <w:t xml:space="preserve">ACTION: </w:t>
      </w:r>
      <w:r w:rsidRPr="00A8404B">
        <w:rPr>
          <w:rFonts w:ascii="Arial" w:eastAsia="宋体" w:hAnsi="Arial" w:cs="Arial"/>
          <w:b/>
          <w:color w:val="000000"/>
        </w:rPr>
        <w:tab/>
      </w:r>
      <w:r w:rsidRPr="00A8404B">
        <w:rPr>
          <w:rFonts w:ascii="Arial" w:eastAsia="宋体" w:hAnsi="Arial" w:cs="Arial"/>
          <w:iCs/>
          <w:color w:val="000000"/>
          <w:lang w:eastAsia="ko-KR"/>
        </w:rPr>
        <w:t>RAN4 respectfully asks RAN</w:t>
      </w:r>
      <w:r w:rsidR="00DD25E0">
        <w:rPr>
          <w:rFonts w:ascii="Arial" w:eastAsia="宋体" w:hAnsi="Arial" w:cs="Arial"/>
          <w:iCs/>
          <w:color w:val="000000"/>
          <w:lang w:eastAsia="ko-KR"/>
        </w:rPr>
        <w:t>1</w:t>
      </w:r>
      <w:r w:rsidRPr="00A8404B">
        <w:rPr>
          <w:rFonts w:ascii="Arial" w:eastAsia="宋体" w:hAnsi="Arial" w:cs="Arial"/>
          <w:iCs/>
          <w:color w:val="000000"/>
          <w:lang w:eastAsia="ko-KR"/>
        </w:rPr>
        <w:t xml:space="preserve"> to take</w:t>
      </w:r>
      <w:r w:rsidR="00DD25E0">
        <w:rPr>
          <w:rFonts w:ascii="Arial" w:eastAsia="宋体" w:hAnsi="Arial" w:cs="Arial"/>
          <w:iCs/>
          <w:color w:val="000000"/>
          <w:lang w:eastAsia="ko-KR"/>
        </w:rPr>
        <w:t xml:space="preserve"> above into account.</w:t>
      </w:r>
    </w:p>
    <w:p w:rsidR="00DD25E0" w:rsidRDefault="00DD25E0" w:rsidP="00DD25E0">
      <w:pPr>
        <w:spacing w:after="120"/>
        <w:ind w:left="1985" w:hanging="1985"/>
        <w:jc w:val="both"/>
        <w:rPr>
          <w:rFonts w:ascii="Arial" w:eastAsia="宋体" w:hAnsi="Arial" w:cs="Arial"/>
          <w:b/>
          <w:color w:val="000000"/>
          <w:lang w:eastAsia="zh-CN"/>
        </w:rPr>
      </w:pPr>
      <w:r w:rsidRPr="00A8404B">
        <w:rPr>
          <w:rFonts w:ascii="Arial" w:eastAsia="宋体" w:hAnsi="Arial" w:cs="Arial"/>
          <w:b/>
          <w:color w:val="000000"/>
        </w:rPr>
        <w:t>To</w:t>
      </w:r>
      <w:r>
        <w:rPr>
          <w:rFonts w:ascii="Arial" w:eastAsia="宋体" w:hAnsi="Arial" w:cs="Arial"/>
          <w:b/>
          <w:color w:val="000000"/>
          <w:lang w:eastAsia="zh-CN"/>
        </w:rPr>
        <w:t xml:space="preserve"> RAN3</w:t>
      </w:r>
    </w:p>
    <w:p w:rsidR="00DD25E0" w:rsidRPr="00A8404B" w:rsidRDefault="00DD25E0" w:rsidP="00DD25E0">
      <w:pPr>
        <w:spacing w:after="120"/>
        <w:ind w:left="993" w:hanging="993"/>
        <w:jc w:val="both"/>
        <w:rPr>
          <w:rFonts w:ascii="Arial" w:eastAsia="宋体" w:hAnsi="Arial" w:cs="Arial"/>
          <w:color w:val="000000"/>
          <w:lang w:eastAsia="zh-CN"/>
        </w:rPr>
      </w:pPr>
      <w:r w:rsidRPr="00A8404B">
        <w:rPr>
          <w:rFonts w:ascii="Arial" w:eastAsia="宋体" w:hAnsi="Arial" w:cs="Arial"/>
          <w:b/>
          <w:color w:val="000000"/>
        </w:rPr>
        <w:t xml:space="preserve">ACTION: </w:t>
      </w:r>
      <w:r w:rsidRPr="00A8404B">
        <w:rPr>
          <w:rFonts w:ascii="Arial" w:eastAsia="宋体" w:hAnsi="Arial" w:cs="Arial"/>
          <w:b/>
          <w:color w:val="000000"/>
        </w:rPr>
        <w:tab/>
      </w:r>
      <w:r w:rsidRPr="00A8404B">
        <w:rPr>
          <w:rFonts w:ascii="Arial" w:eastAsia="宋体" w:hAnsi="Arial" w:cs="Arial"/>
          <w:iCs/>
          <w:color w:val="000000"/>
          <w:lang w:eastAsia="ko-KR"/>
        </w:rPr>
        <w:t>RAN4 respectfully asks RAN</w:t>
      </w:r>
      <w:r>
        <w:rPr>
          <w:rFonts w:ascii="Arial" w:eastAsia="宋体" w:hAnsi="Arial" w:cs="Arial"/>
          <w:iCs/>
          <w:color w:val="000000"/>
          <w:lang w:eastAsia="ko-KR"/>
        </w:rPr>
        <w:t>3 to provide feedback on the right understanding and assumptions of Alt2 in RAN3.</w:t>
      </w:r>
    </w:p>
    <w:p w:rsidR="00DD25E0" w:rsidRPr="00A8404B" w:rsidRDefault="00DD25E0" w:rsidP="00DD25E0">
      <w:pPr>
        <w:spacing w:after="120"/>
        <w:ind w:left="1985" w:hanging="1985"/>
        <w:jc w:val="both"/>
        <w:rPr>
          <w:rFonts w:ascii="Arial" w:eastAsia="宋体" w:hAnsi="Arial" w:cs="Arial"/>
          <w:b/>
          <w:color w:val="000000"/>
          <w:lang w:eastAsia="zh-CN"/>
        </w:rPr>
      </w:pPr>
    </w:p>
    <w:p w:rsidR="00A8404B" w:rsidRPr="00A8404B" w:rsidRDefault="00A8404B" w:rsidP="00A8404B">
      <w:pPr>
        <w:tabs>
          <w:tab w:val="left" w:pos="5507"/>
        </w:tabs>
        <w:rPr>
          <w:rFonts w:ascii="Arial" w:eastAsia="宋体" w:hAnsi="Arial" w:cs="Arial"/>
          <w:b/>
        </w:rPr>
      </w:pPr>
      <w:r w:rsidRPr="00A8404B">
        <w:rPr>
          <w:rFonts w:ascii="Arial" w:eastAsia="宋体" w:hAnsi="Arial" w:cs="Arial"/>
          <w:b/>
        </w:rPr>
        <w:t>3. Date of Next TSG-RAN WG4 Meetings:</w:t>
      </w:r>
      <w:r w:rsidRPr="00A8404B">
        <w:rPr>
          <w:rFonts w:ascii="Arial" w:eastAsia="宋体" w:hAnsi="Arial" w:cs="Arial"/>
          <w:b/>
        </w:rPr>
        <w:tab/>
      </w:r>
    </w:p>
    <w:p w:rsidR="00A8404B" w:rsidRPr="00A8404B" w:rsidRDefault="00A8404B" w:rsidP="00822B57">
      <w:pPr>
        <w:tabs>
          <w:tab w:val="left" w:pos="4685"/>
        </w:tabs>
        <w:spacing w:after="120"/>
        <w:ind w:left="2268" w:hanging="2268"/>
        <w:rPr>
          <w:rFonts w:ascii="Arial" w:eastAsia="宋体" w:hAnsi="Arial" w:cs="Arial"/>
          <w:bCs/>
          <w:color w:val="000000"/>
        </w:rPr>
      </w:pPr>
      <w:r w:rsidRPr="00A8404B">
        <w:rPr>
          <w:rFonts w:ascii="Arial" w:eastAsia="宋体" w:hAnsi="Arial" w:cs="Arial"/>
          <w:bCs/>
        </w:rPr>
        <w:lastRenderedPageBreak/>
        <w:t>TSG-RAN</w:t>
      </w:r>
      <w:r w:rsidRPr="00A8404B">
        <w:rPr>
          <w:rFonts w:ascii="Arial" w:eastAsia="宋体" w:hAnsi="Arial" w:cs="Arial"/>
          <w:bCs/>
          <w:lang w:eastAsia="zh-CN"/>
        </w:rPr>
        <w:t xml:space="preserve"> WG4</w:t>
      </w:r>
      <w:r w:rsidRPr="00A8404B">
        <w:rPr>
          <w:rFonts w:ascii="Arial" w:eastAsia="宋体" w:hAnsi="Arial" w:cs="Arial"/>
          <w:bCs/>
        </w:rPr>
        <w:t xml:space="preserve"> Meeting </w:t>
      </w:r>
      <w:r w:rsidR="00822B57">
        <w:rPr>
          <w:rFonts w:ascii="Arial" w:eastAsia="宋体" w:hAnsi="Arial" w:cs="Arial"/>
          <w:bCs/>
          <w:color w:val="000000"/>
        </w:rPr>
        <w:t xml:space="preserve">#101-bis-e </w:t>
      </w:r>
      <w:r w:rsidR="00822B57">
        <w:rPr>
          <w:rFonts w:ascii="Arial" w:eastAsia="宋体" w:hAnsi="Arial" w:cs="Arial"/>
          <w:bCs/>
          <w:color w:val="000000"/>
        </w:rPr>
        <w:tab/>
        <w:t xml:space="preserve">  17-25 January 2022</w:t>
      </w:r>
      <w:r w:rsidR="00822B57">
        <w:rPr>
          <w:rFonts w:ascii="Arial" w:eastAsia="宋体" w:hAnsi="Arial" w:cs="Arial"/>
          <w:bCs/>
          <w:color w:val="000000"/>
        </w:rPr>
        <w:tab/>
      </w:r>
      <w:r w:rsidRPr="00A8404B">
        <w:rPr>
          <w:rFonts w:ascii="Arial" w:eastAsia="宋体" w:hAnsi="Arial" w:cs="Arial"/>
          <w:bCs/>
          <w:color w:val="000000"/>
        </w:rPr>
        <w:t xml:space="preserve">     Electronic Meeting</w:t>
      </w:r>
    </w:p>
    <w:p w:rsidR="00912006" w:rsidRPr="00A8404B" w:rsidRDefault="00912006" w:rsidP="00BE194F">
      <w:pPr>
        <w:rPr>
          <w:rFonts w:eastAsiaTheme="minorEastAsia"/>
          <w:b/>
          <w:lang w:eastAsia="zh-CN"/>
        </w:rPr>
      </w:pPr>
    </w:p>
    <w:p w:rsidR="00912006" w:rsidRPr="00782C5D" w:rsidRDefault="00912006" w:rsidP="00BE194F">
      <w:pPr>
        <w:rPr>
          <w:rFonts w:eastAsiaTheme="minorEastAsia"/>
          <w:b/>
          <w:lang w:val="en-US" w:eastAsia="zh-CN"/>
        </w:rPr>
      </w:pPr>
    </w:p>
    <w:p w:rsidR="00DF0231" w:rsidRPr="002D2977" w:rsidRDefault="00DF0231" w:rsidP="00DF0231">
      <w:pPr>
        <w:pStyle w:val="Heading1"/>
        <w:tabs>
          <w:tab w:val="clear" w:pos="432"/>
        </w:tabs>
        <w:ind w:left="0" w:firstLine="0"/>
        <w:rPr>
          <w:lang w:val="en-US"/>
        </w:rPr>
      </w:pPr>
      <w:r w:rsidRPr="002D2977">
        <w:rPr>
          <w:lang w:val="en-US"/>
        </w:rPr>
        <w:t>References</w:t>
      </w:r>
    </w:p>
    <w:p w:rsidR="00637A49" w:rsidRDefault="00637A49" w:rsidP="00637A49">
      <w:pPr>
        <w:rPr>
          <w:lang w:val="en-US"/>
        </w:rPr>
      </w:pPr>
      <w:r>
        <w:rPr>
          <w:lang w:val="en-US"/>
        </w:rPr>
        <w:t xml:space="preserve">[1] </w:t>
      </w:r>
      <w:r w:rsidR="00E80451" w:rsidRPr="00E80451">
        <w:t>R4-2115353</w:t>
      </w:r>
      <w:r>
        <w:rPr>
          <w:lang w:val="en-US"/>
        </w:rPr>
        <w:t xml:space="preserve"> </w:t>
      </w:r>
      <w:r w:rsidR="00E80451" w:rsidRPr="00E80451">
        <w:t>WF on IAB enhancement RRM</w:t>
      </w:r>
      <w:r>
        <w:rPr>
          <w:lang w:val="en-US"/>
        </w:rPr>
        <w:t xml:space="preserve">, </w:t>
      </w:r>
      <w:r w:rsidR="00E80451" w:rsidRPr="00E80451">
        <w:t>ZTE Corporation</w:t>
      </w:r>
    </w:p>
    <w:p w:rsidR="00637A49" w:rsidRPr="00637A49" w:rsidRDefault="00E80451" w:rsidP="00637A49">
      <w:pPr>
        <w:rPr>
          <w:rFonts w:eastAsiaTheme="minorEastAsia"/>
          <w:lang w:eastAsia="zh-CN"/>
        </w:rPr>
      </w:pPr>
      <w:r>
        <w:rPr>
          <w:rFonts w:eastAsiaTheme="minorEastAsia" w:hint="eastAsia"/>
          <w:lang w:eastAsia="zh-CN"/>
        </w:rPr>
        <w:t>[</w:t>
      </w:r>
      <w:r>
        <w:rPr>
          <w:rFonts w:eastAsiaTheme="minorEastAsia"/>
          <w:lang w:eastAsia="zh-CN"/>
        </w:rPr>
        <w:t xml:space="preserve">2] </w:t>
      </w:r>
      <w:r w:rsidRPr="00E80451">
        <w:rPr>
          <w:rFonts w:eastAsiaTheme="minorEastAsia"/>
          <w:lang w:eastAsia="zh-CN"/>
        </w:rPr>
        <w:t>R4-2115354</w:t>
      </w:r>
      <w:r>
        <w:rPr>
          <w:rFonts w:eastAsiaTheme="minorEastAsia"/>
          <w:lang w:eastAsia="zh-CN"/>
        </w:rPr>
        <w:t xml:space="preserve"> </w:t>
      </w:r>
      <w:r w:rsidRPr="00E80451">
        <w:rPr>
          <w:rFonts w:eastAsiaTheme="minorEastAsia"/>
          <w:lang w:eastAsia="zh-CN"/>
        </w:rPr>
        <w:t>Reply LS on inter-donor migration</w:t>
      </w:r>
      <w:r>
        <w:rPr>
          <w:rFonts w:eastAsiaTheme="minorEastAsia"/>
          <w:lang w:eastAsia="zh-CN"/>
        </w:rPr>
        <w:t>,</w:t>
      </w:r>
      <w:r w:rsidR="002C0D3C">
        <w:rPr>
          <w:rFonts w:eastAsiaTheme="minorEastAsia"/>
          <w:lang w:eastAsia="zh-CN"/>
        </w:rPr>
        <w:t xml:space="preserve"> RAN4</w:t>
      </w:r>
    </w:p>
    <w:p w:rsidR="002C0D3C" w:rsidRDefault="002C0D3C">
      <w:pPr>
        <w:rPr>
          <w:rFonts w:eastAsiaTheme="minorEastAsia"/>
          <w:lang w:val="en-US" w:eastAsia="zh-CN"/>
        </w:rPr>
      </w:pPr>
      <w:r>
        <w:rPr>
          <w:rFonts w:eastAsiaTheme="minorEastAsia"/>
          <w:lang w:val="en-US" w:eastAsia="zh-CN"/>
        </w:rPr>
        <w:t xml:space="preserve">[3] </w:t>
      </w:r>
      <w:r w:rsidRPr="002C0D3C">
        <w:rPr>
          <w:rFonts w:eastAsiaTheme="minorEastAsia"/>
          <w:lang w:val="en-US" w:eastAsia="zh-CN"/>
        </w:rPr>
        <w:t>R1-2108529</w:t>
      </w:r>
      <w:r>
        <w:rPr>
          <w:rFonts w:eastAsiaTheme="minorEastAsia"/>
          <w:lang w:val="en-US" w:eastAsia="zh-CN"/>
        </w:rPr>
        <w:t xml:space="preserve">, </w:t>
      </w:r>
      <w:r w:rsidRPr="002C0D3C">
        <w:rPr>
          <w:rFonts w:eastAsiaTheme="minorEastAsia"/>
          <w:lang w:val="en-US" w:eastAsia="zh-CN"/>
        </w:rPr>
        <w:t>Reply LS on Inter-donor migration</w:t>
      </w:r>
      <w:r>
        <w:rPr>
          <w:rFonts w:eastAsiaTheme="minorEastAsia"/>
          <w:lang w:val="en-US" w:eastAsia="zh-CN"/>
        </w:rPr>
        <w:t xml:space="preserve">, RAN1 </w:t>
      </w:r>
    </w:p>
    <w:p w:rsidR="00187FFA" w:rsidRDefault="00187FFA">
      <w:pPr>
        <w:rPr>
          <w:rFonts w:eastAsiaTheme="minorEastAsia"/>
          <w:lang w:val="en-US" w:eastAsia="zh-CN"/>
        </w:rPr>
      </w:pPr>
      <w:r>
        <w:rPr>
          <w:rFonts w:eastAsiaTheme="minorEastAsia"/>
          <w:lang w:val="en-US" w:eastAsia="zh-CN"/>
        </w:rPr>
        <w:t xml:space="preserve">[4] </w:t>
      </w:r>
      <w:r w:rsidRPr="00187FFA">
        <w:rPr>
          <w:rFonts w:eastAsiaTheme="minorEastAsia"/>
          <w:lang w:val="en-US" w:eastAsia="zh-CN"/>
        </w:rPr>
        <w:t xml:space="preserve">R4-2115645, WF on RF impact for Rel-17 </w:t>
      </w:r>
      <w:proofErr w:type="spellStart"/>
      <w:r w:rsidRPr="00187FFA">
        <w:rPr>
          <w:rFonts w:eastAsiaTheme="minorEastAsia"/>
          <w:lang w:val="en-US" w:eastAsia="zh-CN"/>
        </w:rPr>
        <w:t>eIAB</w:t>
      </w:r>
      <w:proofErr w:type="spellEnd"/>
      <w:r w:rsidRPr="00187FFA">
        <w:rPr>
          <w:rFonts w:eastAsiaTheme="minorEastAsia"/>
          <w:lang w:val="en-US" w:eastAsia="zh-CN"/>
        </w:rPr>
        <w:t>, Samsung</w:t>
      </w:r>
    </w:p>
    <w:p w:rsidR="00BA4C0A" w:rsidRPr="00637A49" w:rsidRDefault="002C0D3C">
      <w:pPr>
        <w:rPr>
          <w:rFonts w:eastAsiaTheme="minorEastAsia"/>
          <w:lang w:val="en-US" w:eastAsia="zh-CN"/>
        </w:rPr>
      </w:pPr>
      <w:r>
        <w:rPr>
          <w:rFonts w:eastAsiaTheme="minorEastAsia"/>
          <w:lang w:val="en-US" w:eastAsia="zh-CN"/>
        </w:rPr>
        <w:t>[</w:t>
      </w:r>
      <w:r w:rsidR="00187FFA">
        <w:rPr>
          <w:rFonts w:eastAsiaTheme="minorEastAsia"/>
          <w:lang w:val="en-US" w:eastAsia="zh-CN"/>
        </w:rPr>
        <w:t>5</w:t>
      </w:r>
      <w:r>
        <w:rPr>
          <w:rFonts w:eastAsiaTheme="minorEastAsia"/>
          <w:lang w:val="en-US" w:eastAsia="zh-CN"/>
        </w:rPr>
        <w:t xml:space="preserve">] </w:t>
      </w:r>
      <w:r w:rsidRPr="009B68C7">
        <w:t>R2-2109143</w:t>
      </w:r>
      <w:r>
        <w:t xml:space="preserve">, </w:t>
      </w:r>
      <w:r w:rsidRPr="002C0D3C">
        <w:t>Reply LS on inter-donor migration</w:t>
      </w:r>
      <w:r>
        <w:t>, RAN2</w:t>
      </w:r>
      <w:r w:rsidR="00E80451">
        <w:rPr>
          <w:rFonts w:eastAsiaTheme="minorEastAsia" w:hint="eastAsia"/>
          <w:lang w:val="en-US" w:eastAsia="zh-CN"/>
        </w:rPr>
        <w:t xml:space="preserve"> </w:t>
      </w:r>
    </w:p>
    <w:sectPr w:rsidR="00BA4C0A" w:rsidRPr="00637A49"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44FD" w:rsidRDefault="00F444FD">
      <w:pPr>
        <w:spacing w:after="0"/>
      </w:pPr>
      <w:r>
        <w:separator/>
      </w:r>
    </w:p>
  </w:endnote>
  <w:endnote w:type="continuationSeparator" w:id="0">
    <w:p w:rsidR="00F444FD" w:rsidRDefault="00F444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789C" w:rsidRDefault="00D9789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D9789C" w:rsidRDefault="00D9789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789C" w:rsidRDefault="00D9789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B2CE1">
      <w:rPr>
        <w:rStyle w:val="PageNumber"/>
      </w:rPr>
      <w:t>3</w:t>
    </w:r>
    <w:r>
      <w:rPr>
        <w:rStyle w:val="PageNumber"/>
      </w:rPr>
      <w:fldChar w:fldCharType="end"/>
    </w:r>
  </w:p>
  <w:p w:rsidR="00D9789C" w:rsidRDefault="00D9789C">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44FD" w:rsidRDefault="00F444FD">
      <w:pPr>
        <w:spacing w:after="0"/>
      </w:pPr>
      <w:r>
        <w:separator/>
      </w:r>
    </w:p>
  </w:footnote>
  <w:footnote w:type="continuationSeparator" w:id="0">
    <w:p w:rsidR="00F444FD" w:rsidRDefault="00F444F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79499B"/>
    <w:multiLevelType w:val="hybridMultilevel"/>
    <w:tmpl w:val="06B6D47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1030310F"/>
    <w:multiLevelType w:val="hybridMultilevel"/>
    <w:tmpl w:val="A61CF48E"/>
    <w:lvl w:ilvl="0" w:tplc="5AAC12E2">
      <w:start w:val="302"/>
      <w:numFmt w:val="bullet"/>
      <w:lvlText w:val="-"/>
      <w:lvlJc w:val="left"/>
      <w:pPr>
        <w:ind w:left="1620" w:hanging="360"/>
      </w:pPr>
      <w:rPr>
        <w:rFonts w:ascii="Times New Roman" w:hAnsi="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118F4033"/>
    <w:multiLevelType w:val="hybridMultilevel"/>
    <w:tmpl w:val="6B9843DC"/>
    <w:lvl w:ilvl="0" w:tplc="C5BE8FFC">
      <w:start w:val="1"/>
      <w:numFmt w:val="bullet"/>
      <w:lvlText w:val="•"/>
      <w:lvlJc w:val="left"/>
      <w:pPr>
        <w:tabs>
          <w:tab w:val="num" w:pos="720"/>
        </w:tabs>
        <w:ind w:left="720" w:hanging="360"/>
      </w:pPr>
      <w:rPr>
        <w:rFonts w:ascii="Arial" w:hAnsi="Arial" w:hint="default"/>
      </w:rPr>
    </w:lvl>
    <w:lvl w:ilvl="1" w:tplc="29BA16A6">
      <w:numFmt w:val="bullet"/>
      <w:lvlText w:val="–"/>
      <w:lvlJc w:val="left"/>
      <w:pPr>
        <w:tabs>
          <w:tab w:val="num" w:pos="1440"/>
        </w:tabs>
        <w:ind w:left="1440" w:hanging="360"/>
      </w:pPr>
      <w:rPr>
        <w:rFonts w:ascii="Arial" w:hAnsi="Arial" w:hint="default"/>
      </w:rPr>
    </w:lvl>
    <w:lvl w:ilvl="2" w:tplc="6332FBE6">
      <w:numFmt w:val="bullet"/>
      <w:lvlText w:val="•"/>
      <w:lvlJc w:val="left"/>
      <w:pPr>
        <w:tabs>
          <w:tab w:val="num" w:pos="2160"/>
        </w:tabs>
        <w:ind w:left="2160" w:hanging="360"/>
      </w:pPr>
      <w:rPr>
        <w:rFonts w:ascii="Arial" w:hAnsi="Arial" w:hint="default"/>
      </w:rPr>
    </w:lvl>
    <w:lvl w:ilvl="3" w:tplc="63C2A54C">
      <w:numFmt w:val="bullet"/>
      <w:lvlText w:val="–"/>
      <w:lvlJc w:val="left"/>
      <w:pPr>
        <w:tabs>
          <w:tab w:val="num" w:pos="2880"/>
        </w:tabs>
        <w:ind w:left="2880" w:hanging="360"/>
      </w:pPr>
      <w:rPr>
        <w:rFonts w:ascii="Arial" w:hAnsi="Arial" w:hint="default"/>
      </w:rPr>
    </w:lvl>
    <w:lvl w:ilvl="4" w:tplc="DC381216">
      <w:numFmt w:val="bullet"/>
      <w:lvlText w:val="»"/>
      <w:lvlJc w:val="left"/>
      <w:pPr>
        <w:tabs>
          <w:tab w:val="num" w:pos="3600"/>
        </w:tabs>
        <w:ind w:left="3600" w:hanging="360"/>
      </w:pPr>
      <w:rPr>
        <w:rFonts w:ascii="Arial" w:hAnsi="Arial" w:hint="default"/>
      </w:rPr>
    </w:lvl>
    <w:lvl w:ilvl="5" w:tplc="22243C48" w:tentative="1">
      <w:start w:val="1"/>
      <w:numFmt w:val="bullet"/>
      <w:lvlText w:val="•"/>
      <w:lvlJc w:val="left"/>
      <w:pPr>
        <w:tabs>
          <w:tab w:val="num" w:pos="4320"/>
        </w:tabs>
        <w:ind w:left="4320" w:hanging="360"/>
      </w:pPr>
      <w:rPr>
        <w:rFonts w:ascii="Arial" w:hAnsi="Arial" w:hint="default"/>
      </w:rPr>
    </w:lvl>
    <w:lvl w:ilvl="6" w:tplc="1952DF5E" w:tentative="1">
      <w:start w:val="1"/>
      <w:numFmt w:val="bullet"/>
      <w:lvlText w:val="•"/>
      <w:lvlJc w:val="left"/>
      <w:pPr>
        <w:tabs>
          <w:tab w:val="num" w:pos="5040"/>
        </w:tabs>
        <w:ind w:left="5040" w:hanging="360"/>
      </w:pPr>
      <w:rPr>
        <w:rFonts w:ascii="Arial" w:hAnsi="Arial" w:hint="default"/>
      </w:rPr>
    </w:lvl>
    <w:lvl w:ilvl="7" w:tplc="ACD014E2" w:tentative="1">
      <w:start w:val="1"/>
      <w:numFmt w:val="bullet"/>
      <w:lvlText w:val="•"/>
      <w:lvlJc w:val="left"/>
      <w:pPr>
        <w:tabs>
          <w:tab w:val="num" w:pos="5760"/>
        </w:tabs>
        <w:ind w:left="5760" w:hanging="360"/>
      </w:pPr>
      <w:rPr>
        <w:rFonts w:ascii="Arial" w:hAnsi="Arial" w:hint="default"/>
      </w:rPr>
    </w:lvl>
    <w:lvl w:ilvl="8" w:tplc="5FF48B3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2B31E89"/>
    <w:multiLevelType w:val="multilevel"/>
    <w:tmpl w:val="12B31E89"/>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9FB753C"/>
    <w:multiLevelType w:val="hybridMultilevel"/>
    <w:tmpl w:val="AD065420"/>
    <w:lvl w:ilvl="0" w:tplc="BC2EBD2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6"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14C35E5"/>
    <w:multiLevelType w:val="hybridMultilevel"/>
    <w:tmpl w:val="8DF0DCDE"/>
    <w:lvl w:ilvl="0" w:tplc="DCE606D4">
      <w:start w:val="1"/>
      <w:numFmt w:val="bullet"/>
      <w:lvlText w:val="•"/>
      <w:lvlJc w:val="left"/>
      <w:pPr>
        <w:tabs>
          <w:tab w:val="num" w:pos="720"/>
        </w:tabs>
        <w:ind w:left="720" w:hanging="360"/>
      </w:pPr>
      <w:rPr>
        <w:rFonts w:ascii="Arial" w:hAnsi="Arial" w:hint="default"/>
      </w:rPr>
    </w:lvl>
    <w:lvl w:ilvl="1" w:tplc="5D4A4662">
      <w:numFmt w:val="bullet"/>
      <w:lvlText w:val="–"/>
      <w:lvlJc w:val="left"/>
      <w:pPr>
        <w:tabs>
          <w:tab w:val="num" w:pos="1440"/>
        </w:tabs>
        <w:ind w:left="1440" w:hanging="360"/>
      </w:pPr>
      <w:rPr>
        <w:rFonts w:ascii="Arial" w:hAnsi="Arial" w:hint="default"/>
      </w:rPr>
    </w:lvl>
    <w:lvl w:ilvl="2" w:tplc="A6582DE0">
      <w:numFmt w:val="bullet"/>
      <w:lvlText w:val="•"/>
      <w:lvlJc w:val="left"/>
      <w:pPr>
        <w:tabs>
          <w:tab w:val="num" w:pos="2160"/>
        </w:tabs>
        <w:ind w:left="2160" w:hanging="360"/>
      </w:pPr>
      <w:rPr>
        <w:rFonts w:ascii="Arial" w:hAnsi="Arial" w:hint="default"/>
      </w:rPr>
    </w:lvl>
    <w:lvl w:ilvl="3" w:tplc="5D6AFE4C">
      <w:numFmt w:val="bullet"/>
      <w:lvlText w:val="–"/>
      <w:lvlJc w:val="left"/>
      <w:pPr>
        <w:tabs>
          <w:tab w:val="num" w:pos="2880"/>
        </w:tabs>
        <w:ind w:left="2880" w:hanging="360"/>
      </w:pPr>
      <w:rPr>
        <w:rFonts w:ascii="Arial" w:hAnsi="Arial" w:hint="default"/>
      </w:rPr>
    </w:lvl>
    <w:lvl w:ilvl="4" w:tplc="4F40D690" w:tentative="1">
      <w:start w:val="1"/>
      <w:numFmt w:val="bullet"/>
      <w:lvlText w:val="•"/>
      <w:lvlJc w:val="left"/>
      <w:pPr>
        <w:tabs>
          <w:tab w:val="num" w:pos="3600"/>
        </w:tabs>
        <w:ind w:left="3600" w:hanging="360"/>
      </w:pPr>
      <w:rPr>
        <w:rFonts w:ascii="Arial" w:hAnsi="Arial" w:hint="default"/>
      </w:rPr>
    </w:lvl>
    <w:lvl w:ilvl="5" w:tplc="061E2A18" w:tentative="1">
      <w:start w:val="1"/>
      <w:numFmt w:val="bullet"/>
      <w:lvlText w:val="•"/>
      <w:lvlJc w:val="left"/>
      <w:pPr>
        <w:tabs>
          <w:tab w:val="num" w:pos="4320"/>
        </w:tabs>
        <w:ind w:left="4320" w:hanging="360"/>
      </w:pPr>
      <w:rPr>
        <w:rFonts w:ascii="Arial" w:hAnsi="Arial" w:hint="default"/>
      </w:rPr>
    </w:lvl>
    <w:lvl w:ilvl="6" w:tplc="53E84B4A" w:tentative="1">
      <w:start w:val="1"/>
      <w:numFmt w:val="bullet"/>
      <w:lvlText w:val="•"/>
      <w:lvlJc w:val="left"/>
      <w:pPr>
        <w:tabs>
          <w:tab w:val="num" w:pos="5040"/>
        </w:tabs>
        <w:ind w:left="5040" w:hanging="360"/>
      </w:pPr>
      <w:rPr>
        <w:rFonts w:ascii="Arial" w:hAnsi="Arial" w:hint="default"/>
      </w:rPr>
    </w:lvl>
    <w:lvl w:ilvl="7" w:tplc="ECE24894" w:tentative="1">
      <w:start w:val="1"/>
      <w:numFmt w:val="bullet"/>
      <w:lvlText w:val="•"/>
      <w:lvlJc w:val="left"/>
      <w:pPr>
        <w:tabs>
          <w:tab w:val="num" w:pos="5760"/>
        </w:tabs>
        <w:ind w:left="5760" w:hanging="360"/>
      </w:pPr>
      <w:rPr>
        <w:rFonts w:ascii="Arial" w:hAnsi="Arial" w:hint="default"/>
      </w:rPr>
    </w:lvl>
    <w:lvl w:ilvl="8" w:tplc="CFC2CE1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49DB2324"/>
    <w:multiLevelType w:val="hybridMultilevel"/>
    <w:tmpl w:val="B658C6DA"/>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C108DE"/>
    <w:multiLevelType w:val="hybridMultilevel"/>
    <w:tmpl w:val="9ACC1408"/>
    <w:lvl w:ilvl="0" w:tplc="BF6C3612">
      <w:start w:val="1"/>
      <w:numFmt w:val="bullet"/>
      <w:lvlText w:val="•"/>
      <w:lvlJc w:val="left"/>
      <w:pPr>
        <w:tabs>
          <w:tab w:val="num" w:pos="720"/>
        </w:tabs>
        <w:ind w:left="720" w:hanging="360"/>
      </w:pPr>
      <w:rPr>
        <w:rFonts w:ascii="Arial" w:hAnsi="Arial" w:hint="default"/>
      </w:rPr>
    </w:lvl>
    <w:lvl w:ilvl="1" w:tplc="B48A94F4">
      <w:numFmt w:val="bullet"/>
      <w:lvlText w:val="•"/>
      <w:lvlJc w:val="left"/>
      <w:pPr>
        <w:tabs>
          <w:tab w:val="num" w:pos="1440"/>
        </w:tabs>
        <w:ind w:left="1440" w:hanging="360"/>
      </w:pPr>
      <w:rPr>
        <w:rFonts w:ascii="Arial" w:hAnsi="Arial" w:hint="default"/>
      </w:rPr>
    </w:lvl>
    <w:lvl w:ilvl="2" w:tplc="DA7C4D50" w:tentative="1">
      <w:start w:val="1"/>
      <w:numFmt w:val="bullet"/>
      <w:lvlText w:val="•"/>
      <w:lvlJc w:val="left"/>
      <w:pPr>
        <w:tabs>
          <w:tab w:val="num" w:pos="2160"/>
        </w:tabs>
        <w:ind w:left="2160" w:hanging="360"/>
      </w:pPr>
      <w:rPr>
        <w:rFonts w:ascii="Arial" w:hAnsi="Arial" w:hint="default"/>
      </w:rPr>
    </w:lvl>
    <w:lvl w:ilvl="3" w:tplc="61E2AE8A" w:tentative="1">
      <w:start w:val="1"/>
      <w:numFmt w:val="bullet"/>
      <w:lvlText w:val="•"/>
      <w:lvlJc w:val="left"/>
      <w:pPr>
        <w:tabs>
          <w:tab w:val="num" w:pos="2880"/>
        </w:tabs>
        <w:ind w:left="2880" w:hanging="360"/>
      </w:pPr>
      <w:rPr>
        <w:rFonts w:ascii="Arial" w:hAnsi="Arial" w:hint="default"/>
      </w:rPr>
    </w:lvl>
    <w:lvl w:ilvl="4" w:tplc="7F72CE04" w:tentative="1">
      <w:start w:val="1"/>
      <w:numFmt w:val="bullet"/>
      <w:lvlText w:val="•"/>
      <w:lvlJc w:val="left"/>
      <w:pPr>
        <w:tabs>
          <w:tab w:val="num" w:pos="3600"/>
        </w:tabs>
        <w:ind w:left="3600" w:hanging="360"/>
      </w:pPr>
      <w:rPr>
        <w:rFonts w:ascii="Arial" w:hAnsi="Arial" w:hint="default"/>
      </w:rPr>
    </w:lvl>
    <w:lvl w:ilvl="5" w:tplc="279A87E2" w:tentative="1">
      <w:start w:val="1"/>
      <w:numFmt w:val="bullet"/>
      <w:lvlText w:val="•"/>
      <w:lvlJc w:val="left"/>
      <w:pPr>
        <w:tabs>
          <w:tab w:val="num" w:pos="4320"/>
        </w:tabs>
        <w:ind w:left="4320" w:hanging="360"/>
      </w:pPr>
      <w:rPr>
        <w:rFonts w:ascii="Arial" w:hAnsi="Arial" w:hint="default"/>
      </w:rPr>
    </w:lvl>
    <w:lvl w:ilvl="6" w:tplc="93E2ED60" w:tentative="1">
      <w:start w:val="1"/>
      <w:numFmt w:val="bullet"/>
      <w:lvlText w:val="•"/>
      <w:lvlJc w:val="left"/>
      <w:pPr>
        <w:tabs>
          <w:tab w:val="num" w:pos="5040"/>
        </w:tabs>
        <w:ind w:left="5040" w:hanging="360"/>
      </w:pPr>
      <w:rPr>
        <w:rFonts w:ascii="Arial" w:hAnsi="Arial" w:hint="default"/>
      </w:rPr>
    </w:lvl>
    <w:lvl w:ilvl="7" w:tplc="160C16CC" w:tentative="1">
      <w:start w:val="1"/>
      <w:numFmt w:val="bullet"/>
      <w:lvlText w:val="•"/>
      <w:lvlJc w:val="left"/>
      <w:pPr>
        <w:tabs>
          <w:tab w:val="num" w:pos="5760"/>
        </w:tabs>
        <w:ind w:left="5760" w:hanging="360"/>
      </w:pPr>
      <w:rPr>
        <w:rFonts w:ascii="Arial" w:hAnsi="Arial" w:hint="default"/>
      </w:rPr>
    </w:lvl>
    <w:lvl w:ilvl="8" w:tplc="F336F31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27C1D84"/>
    <w:multiLevelType w:val="hybridMultilevel"/>
    <w:tmpl w:val="FB2C6470"/>
    <w:lvl w:ilvl="0" w:tplc="92B0E1E2">
      <w:start w:val="1"/>
      <w:numFmt w:val="bullet"/>
      <w:lvlText w:val="•"/>
      <w:lvlJc w:val="left"/>
      <w:pPr>
        <w:tabs>
          <w:tab w:val="num" w:pos="720"/>
        </w:tabs>
        <w:ind w:left="720" w:hanging="360"/>
      </w:pPr>
      <w:rPr>
        <w:rFonts w:ascii="Arial" w:hAnsi="Arial" w:hint="default"/>
      </w:rPr>
    </w:lvl>
    <w:lvl w:ilvl="1" w:tplc="2E7CA3BC" w:tentative="1">
      <w:start w:val="1"/>
      <w:numFmt w:val="bullet"/>
      <w:lvlText w:val="•"/>
      <w:lvlJc w:val="left"/>
      <w:pPr>
        <w:tabs>
          <w:tab w:val="num" w:pos="1440"/>
        </w:tabs>
        <w:ind w:left="1440" w:hanging="360"/>
      </w:pPr>
      <w:rPr>
        <w:rFonts w:ascii="Arial" w:hAnsi="Arial" w:hint="default"/>
      </w:rPr>
    </w:lvl>
    <w:lvl w:ilvl="2" w:tplc="F586D690" w:tentative="1">
      <w:start w:val="1"/>
      <w:numFmt w:val="bullet"/>
      <w:lvlText w:val="•"/>
      <w:lvlJc w:val="left"/>
      <w:pPr>
        <w:tabs>
          <w:tab w:val="num" w:pos="2160"/>
        </w:tabs>
        <w:ind w:left="2160" w:hanging="360"/>
      </w:pPr>
      <w:rPr>
        <w:rFonts w:ascii="Arial" w:hAnsi="Arial" w:hint="default"/>
      </w:rPr>
    </w:lvl>
    <w:lvl w:ilvl="3" w:tplc="F60A8BE2" w:tentative="1">
      <w:start w:val="1"/>
      <w:numFmt w:val="bullet"/>
      <w:lvlText w:val="•"/>
      <w:lvlJc w:val="left"/>
      <w:pPr>
        <w:tabs>
          <w:tab w:val="num" w:pos="2880"/>
        </w:tabs>
        <w:ind w:left="2880" w:hanging="360"/>
      </w:pPr>
      <w:rPr>
        <w:rFonts w:ascii="Arial" w:hAnsi="Arial" w:hint="default"/>
      </w:rPr>
    </w:lvl>
    <w:lvl w:ilvl="4" w:tplc="F2A2D126" w:tentative="1">
      <w:start w:val="1"/>
      <w:numFmt w:val="bullet"/>
      <w:lvlText w:val="•"/>
      <w:lvlJc w:val="left"/>
      <w:pPr>
        <w:tabs>
          <w:tab w:val="num" w:pos="3600"/>
        </w:tabs>
        <w:ind w:left="3600" w:hanging="360"/>
      </w:pPr>
      <w:rPr>
        <w:rFonts w:ascii="Arial" w:hAnsi="Arial" w:hint="default"/>
      </w:rPr>
    </w:lvl>
    <w:lvl w:ilvl="5" w:tplc="56A423BA" w:tentative="1">
      <w:start w:val="1"/>
      <w:numFmt w:val="bullet"/>
      <w:lvlText w:val="•"/>
      <w:lvlJc w:val="left"/>
      <w:pPr>
        <w:tabs>
          <w:tab w:val="num" w:pos="4320"/>
        </w:tabs>
        <w:ind w:left="4320" w:hanging="360"/>
      </w:pPr>
      <w:rPr>
        <w:rFonts w:ascii="Arial" w:hAnsi="Arial" w:hint="default"/>
      </w:rPr>
    </w:lvl>
    <w:lvl w:ilvl="6" w:tplc="215663D4" w:tentative="1">
      <w:start w:val="1"/>
      <w:numFmt w:val="bullet"/>
      <w:lvlText w:val="•"/>
      <w:lvlJc w:val="left"/>
      <w:pPr>
        <w:tabs>
          <w:tab w:val="num" w:pos="5040"/>
        </w:tabs>
        <w:ind w:left="5040" w:hanging="360"/>
      </w:pPr>
      <w:rPr>
        <w:rFonts w:ascii="Arial" w:hAnsi="Arial" w:hint="default"/>
      </w:rPr>
    </w:lvl>
    <w:lvl w:ilvl="7" w:tplc="3F7CED80" w:tentative="1">
      <w:start w:val="1"/>
      <w:numFmt w:val="bullet"/>
      <w:lvlText w:val="•"/>
      <w:lvlJc w:val="left"/>
      <w:pPr>
        <w:tabs>
          <w:tab w:val="num" w:pos="5760"/>
        </w:tabs>
        <w:ind w:left="5760" w:hanging="360"/>
      </w:pPr>
      <w:rPr>
        <w:rFonts w:ascii="Arial" w:hAnsi="Arial" w:hint="default"/>
      </w:rPr>
    </w:lvl>
    <w:lvl w:ilvl="8" w:tplc="D6483C9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8951E84"/>
    <w:multiLevelType w:val="multilevel"/>
    <w:tmpl w:val="58951E8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8F20F35"/>
    <w:multiLevelType w:val="hybridMultilevel"/>
    <w:tmpl w:val="364C52E8"/>
    <w:lvl w:ilvl="0" w:tplc="19448670">
      <w:start w:val="1"/>
      <w:numFmt w:val="bullet"/>
      <w:lvlText w:val="•"/>
      <w:lvlJc w:val="left"/>
      <w:pPr>
        <w:tabs>
          <w:tab w:val="num" w:pos="720"/>
        </w:tabs>
        <w:ind w:left="720" w:hanging="360"/>
      </w:pPr>
      <w:rPr>
        <w:rFonts w:ascii="Arial" w:hAnsi="Arial" w:hint="default"/>
      </w:rPr>
    </w:lvl>
    <w:lvl w:ilvl="1" w:tplc="07A8306C">
      <w:numFmt w:val="bullet"/>
      <w:lvlText w:val="–"/>
      <w:lvlJc w:val="left"/>
      <w:pPr>
        <w:tabs>
          <w:tab w:val="num" w:pos="1440"/>
        </w:tabs>
        <w:ind w:left="1440" w:hanging="360"/>
      </w:pPr>
      <w:rPr>
        <w:rFonts w:ascii="Arial" w:hAnsi="Arial" w:hint="default"/>
      </w:rPr>
    </w:lvl>
    <w:lvl w:ilvl="2" w:tplc="01127A18">
      <w:numFmt w:val="bullet"/>
      <w:lvlText w:val="•"/>
      <w:lvlJc w:val="left"/>
      <w:pPr>
        <w:tabs>
          <w:tab w:val="num" w:pos="2160"/>
        </w:tabs>
        <w:ind w:left="2160" w:hanging="360"/>
      </w:pPr>
      <w:rPr>
        <w:rFonts w:ascii="Arial" w:hAnsi="Arial" w:hint="default"/>
      </w:rPr>
    </w:lvl>
    <w:lvl w:ilvl="3" w:tplc="4BDCC816">
      <w:numFmt w:val="bullet"/>
      <w:lvlText w:val="–"/>
      <w:lvlJc w:val="left"/>
      <w:pPr>
        <w:tabs>
          <w:tab w:val="num" w:pos="2880"/>
        </w:tabs>
        <w:ind w:left="2880" w:hanging="360"/>
      </w:pPr>
      <w:rPr>
        <w:rFonts w:ascii="Arial" w:hAnsi="Arial" w:hint="default"/>
      </w:rPr>
    </w:lvl>
    <w:lvl w:ilvl="4" w:tplc="7E8C4490" w:tentative="1">
      <w:start w:val="1"/>
      <w:numFmt w:val="bullet"/>
      <w:lvlText w:val="•"/>
      <w:lvlJc w:val="left"/>
      <w:pPr>
        <w:tabs>
          <w:tab w:val="num" w:pos="3600"/>
        </w:tabs>
        <w:ind w:left="3600" w:hanging="360"/>
      </w:pPr>
      <w:rPr>
        <w:rFonts w:ascii="Arial" w:hAnsi="Arial" w:hint="default"/>
      </w:rPr>
    </w:lvl>
    <w:lvl w:ilvl="5" w:tplc="C9CE5B8E" w:tentative="1">
      <w:start w:val="1"/>
      <w:numFmt w:val="bullet"/>
      <w:lvlText w:val="•"/>
      <w:lvlJc w:val="left"/>
      <w:pPr>
        <w:tabs>
          <w:tab w:val="num" w:pos="4320"/>
        </w:tabs>
        <w:ind w:left="4320" w:hanging="360"/>
      </w:pPr>
      <w:rPr>
        <w:rFonts w:ascii="Arial" w:hAnsi="Arial" w:hint="default"/>
      </w:rPr>
    </w:lvl>
    <w:lvl w:ilvl="6" w:tplc="E5707B18" w:tentative="1">
      <w:start w:val="1"/>
      <w:numFmt w:val="bullet"/>
      <w:lvlText w:val="•"/>
      <w:lvlJc w:val="left"/>
      <w:pPr>
        <w:tabs>
          <w:tab w:val="num" w:pos="5040"/>
        </w:tabs>
        <w:ind w:left="5040" w:hanging="360"/>
      </w:pPr>
      <w:rPr>
        <w:rFonts w:ascii="Arial" w:hAnsi="Arial" w:hint="default"/>
      </w:rPr>
    </w:lvl>
    <w:lvl w:ilvl="7" w:tplc="DCB6D084" w:tentative="1">
      <w:start w:val="1"/>
      <w:numFmt w:val="bullet"/>
      <w:lvlText w:val="•"/>
      <w:lvlJc w:val="left"/>
      <w:pPr>
        <w:tabs>
          <w:tab w:val="num" w:pos="5760"/>
        </w:tabs>
        <w:ind w:left="5760" w:hanging="360"/>
      </w:pPr>
      <w:rPr>
        <w:rFonts w:ascii="Arial" w:hAnsi="Arial" w:hint="default"/>
      </w:rPr>
    </w:lvl>
    <w:lvl w:ilvl="8" w:tplc="0712AB7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EA767D1"/>
    <w:multiLevelType w:val="hybridMultilevel"/>
    <w:tmpl w:val="FDE83834"/>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9A339A"/>
    <w:multiLevelType w:val="hybridMultilevel"/>
    <w:tmpl w:val="A4AE18F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9" w15:restartNumberingAfterBreak="0">
    <w:nsid w:val="6918078F"/>
    <w:multiLevelType w:val="hybridMultilevel"/>
    <w:tmpl w:val="697E8CDC"/>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62291B"/>
    <w:multiLevelType w:val="hybridMultilevel"/>
    <w:tmpl w:val="59B6F2E8"/>
    <w:lvl w:ilvl="0" w:tplc="4416805C">
      <w:start w:val="1"/>
      <w:numFmt w:val="bullet"/>
      <w:lvlText w:val="•"/>
      <w:lvlJc w:val="left"/>
      <w:pPr>
        <w:tabs>
          <w:tab w:val="num" w:pos="720"/>
        </w:tabs>
        <w:ind w:left="720" w:hanging="360"/>
      </w:pPr>
      <w:rPr>
        <w:rFonts w:ascii="Arial" w:hAnsi="Arial" w:hint="default"/>
      </w:rPr>
    </w:lvl>
    <w:lvl w:ilvl="1" w:tplc="D5D6EACA">
      <w:numFmt w:val="bullet"/>
      <w:lvlText w:val="–"/>
      <w:lvlJc w:val="left"/>
      <w:pPr>
        <w:tabs>
          <w:tab w:val="num" w:pos="1440"/>
        </w:tabs>
        <w:ind w:left="1440" w:hanging="360"/>
      </w:pPr>
      <w:rPr>
        <w:rFonts w:ascii="Arial" w:hAnsi="Arial" w:hint="default"/>
      </w:rPr>
    </w:lvl>
    <w:lvl w:ilvl="2" w:tplc="ED568FF8">
      <w:numFmt w:val="bullet"/>
      <w:lvlText w:val="•"/>
      <w:lvlJc w:val="left"/>
      <w:pPr>
        <w:tabs>
          <w:tab w:val="num" w:pos="2160"/>
        </w:tabs>
        <w:ind w:left="2160" w:hanging="360"/>
      </w:pPr>
      <w:rPr>
        <w:rFonts w:ascii="Arial" w:hAnsi="Arial" w:hint="default"/>
      </w:rPr>
    </w:lvl>
    <w:lvl w:ilvl="3" w:tplc="ADDEC67A">
      <w:numFmt w:val="bullet"/>
      <w:lvlText w:val="–"/>
      <w:lvlJc w:val="left"/>
      <w:pPr>
        <w:tabs>
          <w:tab w:val="num" w:pos="2880"/>
        </w:tabs>
        <w:ind w:left="2880" w:hanging="360"/>
      </w:pPr>
      <w:rPr>
        <w:rFonts w:ascii="Arial" w:hAnsi="Arial" w:hint="default"/>
      </w:rPr>
    </w:lvl>
    <w:lvl w:ilvl="4" w:tplc="AFF4B7E6" w:tentative="1">
      <w:start w:val="1"/>
      <w:numFmt w:val="bullet"/>
      <w:lvlText w:val="•"/>
      <w:lvlJc w:val="left"/>
      <w:pPr>
        <w:tabs>
          <w:tab w:val="num" w:pos="3600"/>
        </w:tabs>
        <w:ind w:left="3600" w:hanging="360"/>
      </w:pPr>
      <w:rPr>
        <w:rFonts w:ascii="Arial" w:hAnsi="Arial" w:hint="default"/>
      </w:rPr>
    </w:lvl>
    <w:lvl w:ilvl="5" w:tplc="9B0CC226" w:tentative="1">
      <w:start w:val="1"/>
      <w:numFmt w:val="bullet"/>
      <w:lvlText w:val="•"/>
      <w:lvlJc w:val="left"/>
      <w:pPr>
        <w:tabs>
          <w:tab w:val="num" w:pos="4320"/>
        </w:tabs>
        <w:ind w:left="4320" w:hanging="360"/>
      </w:pPr>
      <w:rPr>
        <w:rFonts w:ascii="Arial" w:hAnsi="Arial" w:hint="default"/>
      </w:rPr>
    </w:lvl>
    <w:lvl w:ilvl="6" w:tplc="C5F862C4" w:tentative="1">
      <w:start w:val="1"/>
      <w:numFmt w:val="bullet"/>
      <w:lvlText w:val="•"/>
      <w:lvlJc w:val="left"/>
      <w:pPr>
        <w:tabs>
          <w:tab w:val="num" w:pos="5040"/>
        </w:tabs>
        <w:ind w:left="5040" w:hanging="360"/>
      </w:pPr>
      <w:rPr>
        <w:rFonts w:ascii="Arial" w:hAnsi="Arial" w:hint="default"/>
      </w:rPr>
    </w:lvl>
    <w:lvl w:ilvl="7" w:tplc="566E1B50" w:tentative="1">
      <w:start w:val="1"/>
      <w:numFmt w:val="bullet"/>
      <w:lvlText w:val="•"/>
      <w:lvlJc w:val="left"/>
      <w:pPr>
        <w:tabs>
          <w:tab w:val="num" w:pos="5760"/>
        </w:tabs>
        <w:ind w:left="5760" w:hanging="360"/>
      </w:pPr>
      <w:rPr>
        <w:rFonts w:ascii="Arial" w:hAnsi="Arial" w:hint="default"/>
      </w:rPr>
    </w:lvl>
    <w:lvl w:ilvl="8" w:tplc="309AF9F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260F2B"/>
    <w:multiLevelType w:val="hybridMultilevel"/>
    <w:tmpl w:val="08CA7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9923BAC"/>
    <w:multiLevelType w:val="hybridMultilevel"/>
    <w:tmpl w:val="E90AC938"/>
    <w:lvl w:ilvl="0" w:tplc="E4A2B46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4171E7"/>
    <w:multiLevelType w:val="hybridMultilevel"/>
    <w:tmpl w:val="1502642C"/>
    <w:lvl w:ilvl="0" w:tplc="80AE2B12">
      <w:start w:val="18"/>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1"/>
  </w:num>
  <w:num w:numId="3">
    <w:abstractNumId w:val="26"/>
  </w:num>
  <w:num w:numId="4">
    <w:abstractNumId w:val="25"/>
  </w:num>
  <w:num w:numId="5">
    <w:abstractNumId w:val="1"/>
  </w:num>
  <w:num w:numId="6">
    <w:abstractNumId w:val="11"/>
  </w:num>
  <w:num w:numId="7">
    <w:abstractNumId w:val="5"/>
  </w:num>
  <w:num w:numId="8">
    <w:abstractNumId w:val="17"/>
  </w:num>
  <w:num w:numId="9">
    <w:abstractNumId w:val="19"/>
  </w:num>
  <w:num w:numId="10">
    <w:abstractNumId w:val="12"/>
  </w:num>
  <w:num w:numId="11">
    <w:abstractNumId w:val="13"/>
  </w:num>
  <w:num w:numId="12">
    <w:abstractNumId w:val="4"/>
  </w:num>
  <w:num w:numId="13">
    <w:abstractNumId w:val="7"/>
  </w:num>
  <w:num w:numId="14">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23"/>
  </w:num>
  <w:num w:numId="17">
    <w:abstractNumId w:val="22"/>
  </w:num>
  <w:num w:numId="18">
    <w:abstractNumId w:val="9"/>
  </w:num>
  <w:num w:numId="19">
    <w:abstractNumId w:val="2"/>
  </w:num>
  <w:num w:numId="20">
    <w:abstractNumId w:val="8"/>
  </w:num>
  <w:num w:numId="21">
    <w:abstractNumId w:val="20"/>
  </w:num>
  <w:num w:numId="22">
    <w:abstractNumId w:val="16"/>
  </w:num>
  <w:num w:numId="23">
    <w:abstractNumId w:val="15"/>
  </w:num>
  <w:num w:numId="24">
    <w:abstractNumId w:val="14"/>
  </w:num>
  <w:num w:numId="25">
    <w:abstractNumId w:val="3"/>
  </w:num>
  <w:num w:numId="26">
    <w:abstractNumId w:val="0"/>
  </w:num>
  <w:num w:numId="27">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138CA"/>
    <w:rsid w:val="00025036"/>
    <w:rsid w:val="00040779"/>
    <w:rsid w:val="0004356B"/>
    <w:rsid w:val="0004558E"/>
    <w:rsid w:val="00045F3B"/>
    <w:rsid w:val="00055B5D"/>
    <w:rsid w:val="00063E08"/>
    <w:rsid w:val="000676A1"/>
    <w:rsid w:val="00067A48"/>
    <w:rsid w:val="00067B89"/>
    <w:rsid w:val="00076C0A"/>
    <w:rsid w:val="00081D1B"/>
    <w:rsid w:val="00087858"/>
    <w:rsid w:val="000903D2"/>
    <w:rsid w:val="00096503"/>
    <w:rsid w:val="00097E39"/>
    <w:rsid w:val="000A1878"/>
    <w:rsid w:val="000A2ED7"/>
    <w:rsid w:val="000A4BCB"/>
    <w:rsid w:val="000A5097"/>
    <w:rsid w:val="000A7A19"/>
    <w:rsid w:val="000B15EC"/>
    <w:rsid w:val="000C2147"/>
    <w:rsid w:val="000D2930"/>
    <w:rsid w:val="000D59F6"/>
    <w:rsid w:val="000D6B9B"/>
    <w:rsid w:val="000E0A8A"/>
    <w:rsid w:val="000E2C03"/>
    <w:rsid w:val="000F04C6"/>
    <w:rsid w:val="000F7DE7"/>
    <w:rsid w:val="0010016B"/>
    <w:rsid w:val="00100360"/>
    <w:rsid w:val="00102CE0"/>
    <w:rsid w:val="00110BAD"/>
    <w:rsid w:val="0011207E"/>
    <w:rsid w:val="001230FF"/>
    <w:rsid w:val="001241FC"/>
    <w:rsid w:val="00124231"/>
    <w:rsid w:val="00132B63"/>
    <w:rsid w:val="001365E9"/>
    <w:rsid w:val="001406A8"/>
    <w:rsid w:val="0014128A"/>
    <w:rsid w:val="00141870"/>
    <w:rsid w:val="001435CB"/>
    <w:rsid w:val="00151949"/>
    <w:rsid w:val="00151B0C"/>
    <w:rsid w:val="001531EC"/>
    <w:rsid w:val="00161981"/>
    <w:rsid w:val="00165CAB"/>
    <w:rsid w:val="00175B04"/>
    <w:rsid w:val="0017747E"/>
    <w:rsid w:val="0018314E"/>
    <w:rsid w:val="00184719"/>
    <w:rsid w:val="00187FFA"/>
    <w:rsid w:val="00197964"/>
    <w:rsid w:val="001A0A8D"/>
    <w:rsid w:val="001A1E7C"/>
    <w:rsid w:val="001C4240"/>
    <w:rsid w:val="001C5D98"/>
    <w:rsid w:val="001D3006"/>
    <w:rsid w:val="001E7174"/>
    <w:rsid w:val="0020033A"/>
    <w:rsid w:val="00216AAB"/>
    <w:rsid w:val="00217770"/>
    <w:rsid w:val="002204E2"/>
    <w:rsid w:val="002221AC"/>
    <w:rsid w:val="00222A85"/>
    <w:rsid w:val="00222AF7"/>
    <w:rsid w:val="00232120"/>
    <w:rsid w:val="002328DD"/>
    <w:rsid w:val="00234AA1"/>
    <w:rsid w:val="00243552"/>
    <w:rsid w:val="00243BFC"/>
    <w:rsid w:val="00245810"/>
    <w:rsid w:val="00254F38"/>
    <w:rsid w:val="00260962"/>
    <w:rsid w:val="00261547"/>
    <w:rsid w:val="00267D3F"/>
    <w:rsid w:val="00272F1F"/>
    <w:rsid w:val="0027365E"/>
    <w:rsid w:val="002736F0"/>
    <w:rsid w:val="00282D3C"/>
    <w:rsid w:val="00294B79"/>
    <w:rsid w:val="002A235C"/>
    <w:rsid w:val="002A2EF8"/>
    <w:rsid w:val="002A5E54"/>
    <w:rsid w:val="002B45C3"/>
    <w:rsid w:val="002C0D3C"/>
    <w:rsid w:val="002E3A74"/>
    <w:rsid w:val="002E668C"/>
    <w:rsid w:val="002F00F2"/>
    <w:rsid w:val="002F579F"/>
    <w:rsid w:val="00311CF9"/>
    <w:rsid w:val="003158EC"/>
    <w:rsid w:val="00321181"/>
    <w:rsid w:val="00323702"/>
    <w:rsid w:val="003356E3"/>
    <w:rsid w:val="00336939"/>
    <w:rsid w:val="003422A4"/>
    <w:rsid w:val="00352697"/>
    <w:rsid w:val="00356FB6"/>
    <w:rsid w:val="003622B2"/>
    <w:rsid w:val="00362F43"/>
    <w:rsid w:val="00363DB5"/>
    <w:rsid w:val="003664ED"/>
    <w:rsid w:val="00377D59"/>
    <w:rsid w:val="0038462A"/>
    <w:rsid w:val="0038557C"/>
    <w:rsid w:val="003920A9"/>
    <w:rsid w:val="003A5CBC"/>
    <w:rsid w:val="003A5E2B"/>
    <w:rsid w:val="003C092B"/>
    <w:rsid w:val="003C6DC4"/>
    <w:rsid w:val="003D6F09"/>
    <w:rsid w:val="003E7C96"/>
    <w:rsid w:val="003F762D"/>
    <w:rsid w:val="00401473"/>
    <w:rsid w:val="00415933"/>
    <w:rsid w:val="00430F24"/>
    <w:rsid w:val="00435D65"/>
    <w:rsid w:val="00435EBD"/>
    <w:rsid w:val="00437CD4"/>
    <w:rsid w:val="00451B80"/>
    <w:rsid w:val="00455FD0"/>
    <w:rsid w:val="004631E2"/>
    <w:rsid w:val="00466D02"/>
    <w:rsid w:val="00477263"/>
    <w:rsid w:val="00485549"/>
    <w:rsid w:val="0049501A"/>
    <w:rsid w:val="004A0F19"/>
    <w:rsid w:val="004A29B2"/>
    <w:rsid w:val="004A678E"/>
    <w:rsid w:val="004A7CF2"/>
    <w:rsid w:val="004B1ECE"/>
    <w:rsid w:val="004B4633"/>
    <w:rsid w:val="004C11F4"/>
    <w:rsid w:val="004C4868"/>
    <w:rsid w:val="004D3C97"/>
    <w:rsid w:val="004D5EAE"/>
    <w:rsid w:val="004E3732"/>
    <w:rsid w:val="004E5D51"/>
    <w:rsid w:val="004F0167"/>
    <w:rsid w:val="004F344B"/>
    <w:rsid w:val="00502991"/>
    <w:rsid w:val="00514A5F"/>
    <w:rsid w:val="0052002B"/>
    <w:rsid w:val="005235DB"/>
    <w:rsid w:val="00527DD4"/>
    <w:rsid w:val="00530EB0"/>
    <w:rsid w:val="00533C4E"/>
    <w:rsid w:val="005375AA"/>
    <w:rsid w:val="005409B9"/>
    <w:rsid w:val="00545EC2"/>
    <w:rsid w:val="0054734A"/>
    <w:rsid w:val="005546D8"/>
    <w:rsid w:val="00557527"/>
    <w:rsid w:val="005755A4"/>
    <w:rsid w:val="005763DF"/>
    <w:rsid w:val="00582652"/>
    <w:rsid w:val="005906DB"/>
    <w:rsid w:val="005A2C70"/>
    <w:rsid w:val="005A456B"/>
    <w:rsid w:val="005B0D68"/>
    <w:rsid w:val="005B6053"/>
    <w:rsid w:val="005C337F"/>
    <w:rsid w:val="005C50BC"/>
    <w:rsid w:val="005D15A2"/>
    <w:rsid w:val="005D231A"/>
    <w:rsid w:val="005D3DC0"/>
    <w:rsid w:val="005D6BEF"/>
    <w:rsid w:val="005E29AA"/>
    <w:rsid w:val="005E3DEB"/>
    <w:rsid w:val="005E4CCD"/>
    <w:rsid w:val="005F5231"/>
    <w:rsid w:val="00604490"/>
    <w:rsid w:val="0060650F"/>
    <w:rsid w:val="00607CE8"/>
    <w:rsid w:val="0061679F"/>
    <w:rsid w:val="00625728"/>
    <w:rsid w:val="00637A49"/>
    <w:rsid w:val="0066186B"/>
    <w:rsid w:val="00663EFA"/>
    <w:rsid w:val="00672FCE"/>
    <w:rsid w:val="00681F59"/>
    <w:rsid w:val="006A68E5"/>
    <w:rsid w:val="006A7936"/>
    <w:rsid w:val="006C3D21"/>
    <w:rsid w:val="006C4BDB"/>
    <w:rsid w:val="006D43CD"/>
    <w:rsid w:val="006D4EC2"/>
    <w:rsid w:val="006D7325"/>
    <w:rsid w:val="006E2BAB"/>
    <w:rsid w:val="006F1BAF"/>
    <w:rsid w:val="006F27CD"/>
    <w:rsid w:val="006F5874"/>
    <w:rsid w:val="00701598"/>
    <w:rsid w:val="007028B4"/>
    <w:rsid w:val="00702FA5"/>
    <w:rsid w:val="00712395"/>
    <w:rsid w:val="00712608"/>
    <w:rsid w:val="00714064"/>
    <w:rsid w:val="007166C4"/>
    <w:rsid w:val="007200C7"/>
    <w:rsid w:val="00723883"/>
    <w:rsid w:val="00732D90"/>
    <w:rsid w:val="007334B6"/>
    <w:rsid w:val="00734B34"/>
    <w:rsid w:val="00736D84"/>
    <w:rsid w:val="00763EF7"/>
    <w:rsid w:val="00766048"/>
    <w:rsid w:val="007711B8"/>
    <w:rsid w:val="0077159B"/>
    <w:rsid w:val="00782C5D"/>
    <w:rsid w:val="00784099"/>
    <w:rsid w:val="00786C50"/>
    <w:rsid w:val="007902A8"/>
    <w:rsid w:val="007A336E"/>
    <w:rsid w:val="007A37DA"/>
    <w:rsid w:val="007A52D1"/>
    <w:rsid w:val="007A6ED4"/>
    <w:rsid w:val="007B119C"/>
    <w:rsid w:val="007B18BC"/>
    <w:rsid w:val="007B3DC0"/>
    <w:rsid w:val="007B57F3"/>
    <w:rsid w:val="007B7B6A"/>
    <w:rsid w:val="007C0D2E"/>
    <w:rsid w:val="007C5B24"/>
    <w:rsid w:val="007D0DF7"/>
    <w:rsid w:val="007D3409"/>
    <w:rsid w:val="007D58F5"/>
    <w:rsid w:val="007D7C90"/>
    <w:rsid w:val="007E2057"/>
    <w:rsid w:val="007E2E8A"/>
    <w:rsid w:val="007E5F97"/>
    <w:rsid w:val="007E67EC"/>
    <w:rsid w:val="007F045C"/>
    <w:rsid w:val="007F2371"/>
    <w:rsid w:val="007F2E6A"/>
    <w:rsid w:val="007F7E14"/>
    <w:rsid w:val="008001CA"/>
    <w:rsid w:val="00804945"/>
    <w:rsid w:val="00814B83"/>
    <w:rsid w:val="00821B76"/>
    <w:rsid w:val="00822B57"/>
    <w:rsid w:val="00830DB4"/>
    <w:rsid w:val="00833B68"/>
    <w:rsid w:val="00836C28"/>
    <w:rsid w:val="008408E7"/>
    <w:rsid w:val="00840E09"/>
    <w:rsid w:val="00841386"/>
    <w:rsid w:val="008446CE"/>
    <w:rsid w:val="00852630"/>
    <w:rsid w:val="00861078"/>
    <w:rsid w:val="008708B9"/>
    <w:rsid w:val="0087326D"/>
    <w:rsid w:val="00873C1C"/>
    <w:rsid w:val="00873F55"/>
    <w:rsid w:val="00874D51"/>
    <w:rsid w:val="008766C3"/>
    <w:rsid w:val="00885469"/>
    <w:rsid w:val="008921D4"/>
    <w:rsid w:val="008924AB"/>
    <w:rsid w:val="00892EAE"/>
    <w:rsid w:val="00893C66"/>
    <w:rsid w:val="008A1C4E"/>
    <w:rsid w:val="008A2B76"/>
    <w:rsid w:val="008A4FA1"/>
    <w:rsid w:val="008B3970"/>
    <w:rsid w:val="008B4540"/>
    <w:rsid w:val="008B4A2C"/>
    <w:rsid w:val="008B4F73"/>
    <w:rsid w:val="008B7660"/>
    <w:rsid w:val="008C31D2"/>
    <w:rsid w:val="008C398B"/>
    <w:rsid w:val="008D2D3D"/>
    <w:rsid w:val="008D55C5"/>
    <w:rsid w:val="008E2591"/>
    <w:rsid w:val="008E446A"/>
    <w:rsid w:val="008E5B9B"/>
    <w:rsid w:val="008E5C09"/>
    <w:rsid w:val="008E79C6"/>
    <w:rsid w:val="008F37CA"/>
    <w:rsid w:val="008F67CF"/>
    <w:rsid w:val="00904C87"/>
    <w:rsid w:val="009118FA"/>
    <w:rsid w:val="00912006"/>
    <w:rsid w:val="00912E34"/>
    <w:rsid w:val="00914A03"/>
    <w:rsid w:val="00915DEA"/>
    <w:rsid w:val="0092386A"/>
    <w:rsid w:val="00923CC3"/>
    <w:rsid w:val="00931830"/>
    <w:rsid w:val="009333B5"/>
    <w:rsid w:val="009450D8"/>
    <w:rsid w:val="009524AD"/>
    <w:rsid w:val="00956E9B"/>
    <w:rsid w:val="00957098"/>
    <w:rsid w:val="009708D0"/>
    <w:rsid w:val="00972D26"/>
    <w:rsid w:val="00973C4C"/>
    <w:rsid w:val="009814D6"/>
    <w:rsid w:val="0099102E"/>
    <w:rsid w:val="009968CF"/>
    <w:rsid w:val="009A5118"/>
    <w:rsid w:val="009B545E"/>
    <w:rsid w:val="009B7C4C"/>
    <w:rsid w:val="009C4E39"/>
    <w:rsid w:val="009C5BBA"/>
    <w:rsid w:val="009C6CB9"/>
    <w:rsid w:val="009C6FD7"/>
    <w:rsid w:val="009C7D5E"/>
    <w:rsid w:val="009D03C6"/>
    <w:rsid w:val="009D1A47"/>
    <w:rsid w:val="009D2942"/>
    <w:rsid w:val="009D325A"/>
    <w:rsid w:val="009D4189"/>
    <w:rsid w:val="009D75DF"/>
    <w:rsid w:val="009E6763"/>
    <w:rsid w:val="009E6DC8"/>
    <w:rsid w:val="009F7F10"/>
    <w:rsid w:val="00A0093B"/>
    <w:rsid w:val="00A1597D"/>
    <w:rsid w:val="00A22790"/>
    <w:rsid w:val="00A26AB0"/>
    <w:rsid w:val="00A34913"/>
    <w:rsid w:val="00A35F07"/>
    <w:rsid w:val="00A36D03"/>
    <w:rsid w:val="00A42E3A"/>
    <w:rsid w:val="00A657C7"/>
    <w:rsid w:val="00A7739E"/>
    <w:rsid w:val="00A8404B"/>
    <w:rsid w:val="00A848D0"/>
    <w:rsid w:val="00A87084"/>
    <w:rsid w:val="00A93E0D"/>
    <w:rsid w:val="00AC2317"/>
    <w:rsid w:val="00AC2C97"/>
    <w:rsid w:val="00AC2CD4"/>
    <w:rsid w:val="00AC7A7B"/>
    <w:rsid w:val="00AD65F4"/>
    <w:rsid w:val="00AD69AA"/>
    <w:rsid w:val="00AE1773"/>
    <w:rsid w:val="00AE3383"/>
    <w:rsid w:val="00AE384C"/>
    <w:rsid w:val="00AE67DF"/>
    <w:rsid w:val="00AE6BE0"/>
    <w:rsid w:val="00AF02CB"/>
    <w:rsid w:val="00AF5966"/>
    <w:rsid w:val="00B02A13"/>
    <w:rsid w:val="00B07979"/>
    <w:rsid w:val="00B10C6E"/>
    <w:rsid w:val="00B1402B"/>
    <w:rsid w:val="00B22016"/>
    <w:rsid w:val="00B23292"/>
    <w:rsid w:val="00B26D02"/>
    <w:rsid w:val="00B343A3"/>
    <w:rsid w:val="00B41E6D"/>
    <w:rsid w:val="00B450D5"/>
    <w:rsid w:val="00B51F58"/>
    <w:rsid w:val="00B55463"/>
    <w:rsid w:val="00B60998"/>
    <w:rsid w:val="00B71C35"/>
    <w:rsid w:val="00B72BEC"/>
    <w:rsid w:val="00B73A82"/>
    <w:rsid w:val="00B76F4D"/>
    <w:rsid w:val="00B77412"/>
    <w:rsid w:val="00B77752"/>
    <w:rsid w:val="00B83BC0"/>
    <w:rsid w:val="00B87A6F"/>
    <w:rsid w:val="00BA4C0A"/>
    <w:rsid w:val="00BB2A32"/>
    <w:rsid w:val="00BB2CE1"/>
    <w:rsid w:val="00BB6484"/>
    <w:rsid w:val="00BC24F8"/>
    <w:rsid w:val="00BC3920"/>
    <w:rsid w:val="00BC47AB"/>
    <w:rsid w:val="00BD2AB1"/>
    <w:rsid w:val="00BE09C1"/>
    <w:rsid w:val="00BE194F"/>
    <w:rsid w:val="00BE1FD4"/>
    <w:rsid w:val="00BE677A"/>
    <w:rsid w:val="00BE6A2E"/>
    <w:rsid w:val="00BF00A7"/>
    <w:rsid w:val="00BF33D9"/>
    <w:rsid w:val="00C075BD"/>
    <w:rsid w:val="00C11B10"/>
    <w:rsid w:val="00C15E40"/>
    <w:rsid w:val="00C338CA"/>
    <w:rsid w:val="00C50A0A"/>
    <w:rsid w:val="00C572D7"/>
    <w:rsid w:val="00C60016"/>
    <w:rsid w:val="00C638D8"/>
    <w:rsid w:val="00C63D6B"/>
    <w:rsid w:val="00C64128"/>
    <w:rsid w:val="00C74442"/>
    <w:rsid w:val="00C76E52"/>
    <w:rsid w:val="00C83525"/>
    <w:rsid w:val="00CA1729"/>
    <w:rsid w:val="00CA1984"/>
    <w:rsid w:val="00CA1DAE"/>
    <w:rsid w:val="00CA234E"/>
    <w:rsid w:val="00CA7429"/>
    <w:rsid w:val="00CB6216"/>
    <w:rsid w:val="00CC3973"/>
    <w:rsid w:val="00CC4578"/>
    <w:rsid w:val="00CD0284"/>
    <w:rsid w:val="00CD0A91"/>
    <w:rsid w:val="00CD160F"/>
    <w:rsid w:val="00CE0DA0"/>
    <w:rsid w:val="00CE6E58"/>
    <w:rsid w:val="00CF030B"/>
    <w:rsid w:val="00CF1DFC"/>
    <w:rsid w:val="00CF2856"/>
    <w:rsid w:val="00CF5CE7"/>
    <w:rsid w:val="00CF5EF5"/>
    <w:rsid w:val="00CF7481"/>
    <w:rsid w:val="00CF7EE3"/>
    <w:rsid w:val="00D06C67"/>
    <w:rsid w:val="00D07968"/>
    <w:rsid w:val="00D13FC8"/>
    <w:rsid w:val="00D3442D"/>
    <w:rsid w:val="00D34F1B"/>
    <w:rsid w:val="00D41D2D"/>
    <w:rsid w:val="00D463A3"/>
    <w:rsid w:val="00D51833"/>
    <w:rsid w:val="00D56327"/>
    <w:rsid w:val="00D57BE5"/>
    <w:rsid w:val="00D62A9C"/>
    <w:rsid w:val="00D67ABE"/>
    <w:rsid w:val="00D73373"/>
    <w:rsid w:val="00D828E1"/>
    <w:rsid w:val="00D8441F"/>
    <w:rsid w:val="00D94E39"/>
    <w:rsid w:val="00D9789C"/>
    <w:rsid w:val="00DB10D2"/>
    <w:rsid w:val="00DB1DD4"/>
    <w:rsid w:val="00DB61B3"/>
    <w:rsid w:val="00DD0915"/>
    <w:rsid w:val="00DD1DFF"/>
    <w:rsid w:val="00DD25E0"/>
    <w:rsid w:val="00DE3896"/>
    <w:rsid w:val="00DF0231"/>
    <w:rsid w:val="00DF6E96"/>
    <w:rsid w:val="00E04C43"/>
    <w:rsid w:val="00E11FA9"/>
    <w:rsid w:val="00E13E91"/>
    <w:rsid w:val="00E16D37"/>
    <w:rsid w:val="00E17E17"/>
    <w:rsid w:val="00E17F78"/>
    <w:rsid w:val="00E21B03"/>
    <w:rsid w:val="00E222F0"/>
    <w:rsid w:val="00E22D0F"/>
    <w:rsid w:val="00E31284"/>
    <w:rsid w:val="00E406F2"/>
    <w:rsid w:val="00E415BA"/>
    <w:rsid w:val="00E41750"/>
    <w:rsid w:val="00E470EC"/>
    <w:rsid w:val="00E5666B"/>
    <w:rsid w:val="00E577DD"/>
    <w:rsid w:val="00E60952"/>
    <w:rsid w:val="00E72064"/>
    <w:rsid w:val="00E76A71"/>
    <w:rsid w:val="00E80451"/>
    <w:rsid w:val="00E82ED7"/>
    <w:rsid w:val="00E85BF2"/>
    <w:rsid w:val="00E91110"/>
    <w:rsid w:val="00E9184C"/>
    <w:rsid w:val="00E94DD3"/>
    <w:rsid w:val="00EA49BA"/>
    <w:rsid w:val="00EA4E79"/>
    <w:rsid w:val="00EA5149"/>
    <w:rsid w:val="00EB02DF"/>
    <w:rsid w:val="00EB2795"/>
    <w:rsid w:val="00EE1CF7"/>
    <w:rsid w:val="00EE6F45"/>
    <w:rsid w:val="00EF0E38"/>
    <w:rsid w:val="00EF2DE4"/>
    <w:rsid w:val="00EF653C"/>
    <w:rsid w:val="00EF66B2"/>
    <w:rsid w:val="00F0497C"/>
    <w:rsid w:val="00F05199"/>
    <w:rsid w:val="00F076D1"/>
    <w:rsid w:val="00F0770B"/>
    <w:rsid w:val="00F10653"/>
    <w:rsid w:val="00F14670"/>
    <w:rsid w:val="00F1617A"/>
    <w:rsid w:val="00F2033F"/>
    <w:rsid w:val="00F20D63"/>
    <w:rsid w:val="00F22DF5"/>
    <w:rsid w:val="00F2531A"/>
    <w:rsid w:val="00F303F4"/>
    <w:rsid w:val="00F31FA7"/>
    <w:rsid w:val="00F34526"/>
    <w:rsid w:val="00F413E7"/>
    <w:rsid w:val="00F42BFC"/>
    <w:rsid w:val="00F444FD"/>
    <w:rsid w:val="00F52FE8"/>
    <w:rsid w:val="00F543C6"/>
    <w:rsid w:val="00F5790A"/>
    <w:rsid w:val="00F609CD"/>
    <w:rsid w:val="00F76B81"/>
    <w:rsid w:val="00FA4943"/>
    <w:rsid w:val="00FB6BD9"/>
    <w:rsid w:val="00FC0544"/>
    <w:rsid w:val="00FC0F9D"/>
    <w:rsid w:val="00FC3492"/>
    <w:rsid w:val="00FD518E"/>
    <w:rsid w:val="00FE1A35"/>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7">
    <w:name w:val="heading 7"/>
    <w:basedOn w:val="Normal"/>
    <w:next w:val="Normal"/>
    <w:link w:val="Heading7Char"/>
    <w:uiPriority w:val="9"/>
    <w:semiHidden/>
    <w:unhideWhenUsed/>
    <w:qFormat/>
    <w:rsid w:val="00A8404B"/>
    <w:pPr>
      <w:keepNext/>
      <w:keepLines/>
      <w:spacing w:before="240" w:after="64" w:line="320" w:lineRule="auto"/>
      <w:outlineLvl w:val="6"/>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2E668C"/>
    <w:rPr>
      <w:rFonts w:asciiTheme="majorHAnsi" w:eastAsiaTheme="majorEastAsia" w:hAnsiTheme="majorHAnsi" w:cstheme="majorBidi"/>
      <w:b/>
      <w:bCs/>
      <w:sz w:val="32"/>
      <w:szCs w:val="32"/>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semiHidden/>
    <w:unhideWhenUsed/>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semiHidden/>
    <w:rsid w:val="000F04C6"/>
    <w:rPr>
      <w:rFonts w:ascii="Times New Roman" w:eastAsia="宋体" w:hAnsi="Times New Roman" w:cs="Times New Roman"/>
      <w:kern w:val="0"/>
      <w:sz w:val="20"/>
      <w:szCs w:val="20"/>
      <w:lang w:val="en-GB" w:eastAsia="en-GB"/>
    </w:rPr>
  </w:style>
  <w:style w:type="character" w:styleId="CommentReference">
    <w:name w:val="annotation reference"/>
    <w:uiPriority w:val="99"/>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character" w:customStyle="1" w:styleId="Heading7Char">
    <w:name w:val="Heading 7 Char"/>
    <w:basedOn w:val="DefaultParagraphFont"/>
    <w:link w:val="Heading7"/>
    <w:uiPriority w:val="9"/>
    <w:semiHidden/>
    <w:rsid w:val="00A8404B"/>
    <w:rPr>
      <w:rFonts w:ascii="Times New Roman" w:eastAsia="MS Mincho" w:hAnsi="Times New Roman" w:cs="Times New Roman"/>
      <w:b/>
      <w:bCs/>
      <w:kern w:val="0"/>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5830233">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1014910">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090195369">
      <w:bodyDiv w:val="1"/>
      <w:marLeft w:val="0"/>
      <w:marRight w:val="0"/>
      <w:marTop w:val="0"/>
      <w:marBottom w:val="0"/>
      <w:divBdr>
        <w:top w:val="none" w:sz="0" w:space="0" w:color="auto"/>
        <w:left w:val="none" w:sz="0" w:space="0" w:color="auto"/>
        <w:bottom w:val="none" w:sz="0" w:space="0" w:color="auto"/>
        <w:right w:val="none" w:sz="0" w:space="0" w:color="auto"/>
      </w:divBdr>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23042126">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56759593">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01610764">
      <w:bodyDiv w:val="1"/>
      <w:marLeft w:val="0"/>
      <w:marRight w:val="0"/>
      <w:marTop w:val="0"/>
      <w:marBottom w:val="0"/>
      <w:divBdr>
        <w:top w:val="none" w:sz="0" w:space="0" w:color="auto"/>
        <w:left w:val="none" w:sz="0" w:space="0" w:color="auto"/>
        <w:bottom w:val="none" w:sz="0" w:space="0" w:color="auto"/>
        <w:right w:val="none" w:sz="0" w:space="0" w:color="auto"/>
      </w:divBdr>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2E318A-8F6B-41F1-8EA7-1B6BAC423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10815</TotalTime>
  <Pages>4</Pages>
  <Words>1234</Words>
  <Characters>7038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8256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181</cp:revision>
  <dcterms:created xsi:type="dcterms:W3CDTF">2019-09-18T02:52:00Z</dcterms:created>
  <dcterms:modified xsi:type="dcterms:W3CDTF">2021-10-22T13:52:00Z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(3)iArpW9fAIESfK31mY6rLkIZMW8cQ4AnPMlNFWVnQFX8poT7ekzY8NwcfgN06xabDBBOCf5ka
S9IbLXCKqxxDaQer4FOz7P9z/mGTYSEid5/YBR/UqKDcovk2drRQ08wDPo/Bce9doOKEcgb/
Izgqy1uaGDbMSWTyRq1ka8tJKW2/7i/HuMuTfABmDMxkYzZmHVe4tox2rdllD+XftvS0aF7O
RcjTK++i3TgiiwnhAN</vt:lpwstr>
  </property>
  <property fmtid="{D5CDD505-2E9C-101B-9397-08002B2CF9AE}" pid="3" name="_2015_ms_pID_7253431">
    <vt:lpwstr>ngbkZWvNC/RhNRkRnTTiT6GSmSAwmk4AGaF1jzfXwB4ODmQEjtDX+6
FmXpAFRh2/BoShaU+2Kojefvf2teIsg5CRHrSemoSDb54ILluLObuWyog+yqnRbAmfSYXUKc
bFD3HqAJoZBw65anwybkKLQaOY99gTVTyIN4WLr1kAxy0D/hrs7zR3xYnEeMzaYJGU9m/6XL
rIDan1GvZD/bNCZKerjnJukdx7mx1AhmcKp4</vt:lpwstr>
  </property>
  <property fmtid="{D5CDD505-2E9C-101B-9397-08002B2CF9AE}" pid="4" name="_2015_ms_pID_7253432">
    <vt:lpwstr>cIMzNcHIKYbU2aPPyLOm/g8=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