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4ED" w:rsidRPr="006014ED" w:rsidRDefault="006014ED" w:rsidP="006014ED">
      <w:pPr>
        <w:pStyle w:val="Header"/>
        <w:rPr>
          <w:rFonts w:cs="Arial"/>
          <w:sz w:val="24"/>
          <w:szCs w:val="24"/>
        </w:rPr>
      </w:pPr>
      <w:r w:rsidRPr="006014ED">
        <w:rPr>
          <w:rFonts w:cs="Arial"/>
          <w:sz w:val="24"/>
          <w:szCs w:val="24"/>
        </w:rPr>
        <w:t>3GPP TSG-RAN WG4 Meeting # 101-e</w:t>
      </w:r>
      <w:r w:rsidRPr="006014ED">
        <w:rPr>
          <w:rFonts w:cs="Arial"/>
          <w:sz w:val="24"/>
          <w:szCs w:val="24"/>
        </w:rPr>
        <w:tab/>
      </w:r>
      <w:r w:rsidRPr="006014ED">
        <w:rPr>
          <w:rFonts w:cs="Arial"/>
          <w:sz w:val="24"/>
          <w:szCs w:val="24"/>
        </w:rPr>
        <w:tab/>
      </w:r>
      <w:r w:rsidRPr="006014ED">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BC1263" w:rsidRPr="00BC1263">
        <w:rPr>
          <w:rFonts w:cs="Arial"/>
          <w:sz w:val="24"/>
          <w:szCs w:val="24"/>
        </w:rPr>
        <w:t>R4-2118850</w:t>
      </w:r>
    </w:p>
    <w:p w:rsidR="00DF0231" w:rsidRPr="002D2977" w:rsidRDefault="006014ED" w:rsidP="006014ED">
      <w:pPr>
        <w:pStyle w:val="Header"/>
        <w:rPr>
          <w:noProof w:val="0"/>
        </w:rPr>
      </w:pPr>
      <w:r w:rsidRPr="006014ED">
        <w:rPr>
          <w:rFonts w:cs="Arial"/>
          <w:sz w:val="24"/>
          <w:szCs w:val="24"/>
        </w:rPr>
        <w:t>Electronic Meeting, November 01-12, 2021</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C3973">
        <w:rPr>
          <w:rFonts w:ascii="Arial" w:hAnsi="Arial"/>
          <w:sz w:val="24"/>
          <w:lang w:val="en-US"/>
        </w:rPr>
        <w:t>8</w:t>
      </w:r>
      <w:r w:rsidR="00E11FA9">
        <w:rPr>
          <w:rFonts w:ascii="Arial" w:hAnsi="Arial"/>
          <w:sz w:val="24"/>
          <w:lang w:val="en-US"/>
        </w:rPr>
        <w:t>.1</w:t>
      </w:r>
      <w:r w:rsidR="006014ED">
        <w:rPr>
          <w:rFonts w:ascii="Arial" w:hAnsi="Arial"/>
          <w:sz w:val="24"/>
          <w:lang w:val="en-US"/>
        </w:rPr>
        <w:t>6</w:t>
      </w:r>
      <w:r w:rsidR="00E11FA9">
        <w:rPr>
          <w:rFonts w:ascii="Arial" w:hAnsi="Arial"/>
          <w:sz w:val="24"/>
          <w:lang w:val="en-US"/>
        </w:rPr>
        <w:t>.</w:t>
      </w:r>
      <w:r w:rsidR="006014ED">
        <w:rPr>
          <w:rFonts w:ascii="Arial" w:hAnsi="Arial"/>
          <w:sz w:val="24"/>
          <w:lang w:val="en-US"/>
        </w:rPr>
        <w:t>7</w:t>
      </w:r>
      <w:r w:rsidR="00E11FA9">
        <w:rPr>
          <w:rFonts w:ascii="Arial" w:hAnsi="Arial"/>
          <w:sz w:val="24"/>
          <w:lang w:val="en-US"/>
        </w:rPr>
        <w:t>.</w:t>
      </w:r>
      <w:r w:rsidR="006014ED">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014ED" w:rsidRPr="00536FA3">
        <w:rPr>
          <w:rFonts w:ascii="Arial" w:hAnsi="Arial"/>
          <w:sz w:val="24"/>
          <w:lang w:val="en-US"/>
        </w:rPr>
        <w:t>Discussion on BWP switching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6014ED" w:rsidRPr="006014ED" w:rsidRDefault="006014ED" w:rsidP="006014ED">
      <w:pPr>
        <w:rPr>
          <w:rFonts w:eastAsiaTheme="minorEastAsia"/>
          <w:lang w:val="en-US" w:eastAsia="zh-CN"/>
        </w:rPr>
      </w:pPr>
      <w:r w:rsidRPr="006014ED">
        <w:rPr>
          <w:rFonts w:eastAsiaTheme="minorEastAsia"/>
          <w:lang w:val="en-US" w:eastAsia="zh-CN"/>
        </w:rPr>
        <w:t xml:space="preserve">The WI on extending NR operation to 71GHz was discussed in the last RAN4 meeting. Some RRM requirements are identified to be updated for operation in FR2-2 [1]. In this paper, we present detailed analysis on the impact to </w:t>
      </w:r>
      <w:r w:rsidRPr="006014ED">
        <w:rPr>
          <w:rFonts w:eastAsiaTheme="minorEastAsia" w:hint="eastAsia"/>
          <w:lang w:val="en-US" w:eastAsia="zh-CN"/>
        </w:rPr>
        <w:t>BWP</w:t>
      </w:r>
      <w:r w:rsidRPr="006014ED">
        <w:rPr>
          <w:rFonts w:eastAsiaTheme="minorEastAsia"/>
          <w:lang w:val="en-US" w:eastAsia="zh-CN"/>
        </w:rPr>
        <w:t xml:space="preserve"> switching requirements.</w:t>
      </w:r>
    </w:p>
    <w:p w:rsidR="00DF0231" w:rsidRDefault="00DF0231" w:rsidP="00DF0231">
      <w:pPr>
        <w:pStyle w:val="Heading1"/>
        <w:numPr>
          <w:ilvl w:val="0"/>
          <w:numId w:val="1"/>
        </w:numPr>
        <w:rPr>
          <w:lang w:val="en-US"/>
        </w:rPr>
      </w:pPr>
      <w:r w:rsidRPr="002D2977">
        <w:rPr>
          <w:lang w:val="en-US"/>
        </w:rPr>
        <w:t>Discussion</w:t>
      </w:r>
    </w:p>
    <w:p w:rsidR="00DF6E96" w:rsidRDefault="006014ED" w:rsidP="004F344B">
      <w:pPr>
        <w:rPr>
          <w:rFonts w:eastAsiaTheme="minorEastAsia"/>
          <w:lang w:val="en-US" w:eastAsia="zh-CN"/>
        </w:rPr>
      </w:pPr>
      <w:r w:rsidRPr="006014ED">
        <w:rPr>
          <w:rFonts w:eastAsiaTheme="minorEastAsia" w:hint="eastAsia"/>
          <w:lang w:val="en-US" w:eastAsia="zh-CN"/>
        </w:rPr>
        <w:t>T</w:t>
      </w:r>
      <w:r w:rsidRPr="006014ED">
        <w:rPr>
          <w:rFonts w:eastAsiaTheme="minorEastAsia"/>
          <w:lang w:val="en-US" w:eastAsia="zh-CN"/>
        </w:rPr>
        <w:t>he requirements of BWP switching delay on FR2-2 was discussed with the following agreements:</w:t>
      </w:r>
    </w:p>
    <w:tbl>
      <w:tblPr>
        <w:tblStyle w:val="TableGrid"/>
        <w:tblW w:w="0" w:type="auto"/>
        <w:tblLook w:val="04A0" w:firstRow="1" w:lastRow="0" w:firstColumn="1" w:lastColumn="0" w:noHBand="0" w:noVBand="1"/>
      </w:tblPr>
      <w:tblGrid>
        <w:gridCol w:w="9562"/>
      </w:tblGrid>
      <w:tr w:rsidR="006014ED" w:rsidTr="006014ED">
        <w:tc>
          <w:tcPr>
            <w:tcW w:w="9562" w:type="dxa"/>
          </w:tcPr>
          <w:p w:rsidR="006014ED" w:rsidRDefault="006014ED" w:rsidP="006014ED">
            <w:pPr>
              <w:spacing w:line="480" w:lineRule="auto"/>
              <w:rPr>
                <w:b/>
                <w:u w:val="single"/>
                <w:lang w:eastAsia="ko-KR"/>
              </w:rPr>
            </w:pPr>
            <w:r w:rsidRPr="00932FE5">
              <w:rPr>
                <w:b/>
                <w:u w:val="single"/>
                <w:lang w:eastAsia="ko-KR"/>
              </w:rPr>
              <w:t>BWP switching delay for FR2-2</w:t>
            </w:r>
          </w:p>
          <w:p w:rsidR="006014ED" w:rsidRPr="00C84F59" w:rsidRDefault="006014ED" w:rsidP="006014ED">
            <w:pPr>
              <w:pStyle w:val="ListParagraph"/>
              <w:numPr>
                <w:ilvl w:val="0"/>
                <w:numId w:val="24"/>
              </w:numPr>
              <w:overflowPunct w:val="0"/>
              <w:autoSpaceDE w:val="0"/>
              <w:autoSpaceDN w:val="0"/>
              <w:adjustRightInd w:val="0"/>
              <w:spacing w:before="120" w:after="120" w:line="480" w:lineRule="auto"/>
              <w:ind w:firstLineChars="0"/>
              <w:contextualSpacing/>
              <w:textAlignment w:val="baseline"/>
            </w:pPr>
            <w:r w:rsidRPr="00C84F59">
              <w:t>DCI and timer based BWP switch delay on a single CC</w:t>
            </w:r>
          </w:p>
          <w:p w:rsidR="006014ED" w:rsidRDefault="006014ED" w:rsidP="006014ED">
            <w:pPr>
              <w:pStyle w:val="ListParagraph"/>
              <w:numPr>
                <w:ilvl w:val="1"/>
                <w:numId w:val="24"/>
              </w:numPr>
              <w:overflowPunct w:val="0"/>
              <w:autoSpaceDE w:val="0"/>
              <w:autoSpaceDN w:val="0"/>
              <w:adjustRightInd w:val="0"/>
              <w:spacing w:before="120" w:after="120" w:line="480" w:lineRule="auto"/>
              <w:ind w:firstLineChars="0"/>
              <w:contextualSpacing/>
              <w:textAlignment w:val="baseline"/>
            </w:pPr>
            <w:r>
              <w:t>As baseline, follow 600us and 2000us switching delay for Type 1 and Type 2 respectively</w:t>
            </w:r>
          </w:p>
          <w:p w:rsidR="006014ED" w:rsidRDefault="006014ED" w:rsidP="006014ED">
            <w:pPr>
              <w:pStyle w:val="ListParagraph"/>
              <w:numPr>
                <w:ilvl w:val="1"/>
                <w:numId w:val="24"/>
              </w:numPr>
              <w:overflowPunct w:val="0"/>
              <w:autoSpaceDE w:val="0"/>
              <w:autoSpaceDN w:val="0"/>
              <w:adjustRightInd w:val="0"/>
              <w:spacing w:before="120" w:after="120" w:line="480" w:lineRule="auto"/>
              <w:ind w:firstLineChars="0"/>
              <w:contextualSpacing/>
              <w:textAlignment w:val="baseline"/>
            </w:pPr>
            <w:r>
              <w:t>FFS: if BWP delay reduction is possible for the operation on 480 and 960 kHz SCS</w:t>
            </w:r>
          </w:p>
          <w:p w:rsidR="006014ED" w:rsidRPr="005F3EFC" w:rsidRDefault="006014ED" w:rsidP="006014ED">
            <w:pPr>
              <w:pStyle w:val="ListParagraph"/>
              <w:numPr>
                <w:ilvl w:val="1"/>
                <w:numId w:val="24"/>
              </w:numPr>
              <w:overflowPunct w:val="0"/>
              <w:autoSpaceDE w:val="0"/>
              <w:autoSpaceDN w:val="0"/>
              <w:adjustRightInd w:val="0"/>
              <w:spacing w:before="120" w:after="240"/>
              <w:ind w:left="1434" w:firstLineChars="0" w:hanging="357"/>
              <w:contextualSpacing/>
              <w:textAlignment w:val="baseline"/>
            </w:pPr>
            <w:r w:rsidRPr="005F3EFC">
              <w:t xml:space="preserve">RAN4 to change Table 8.6.2-1 as follows </w:t>
            </w:r>
          </w:p>
          <w:p w:rsidR="006014ED" w:rsidRPr="009C5807" w:rsidRDefault="006014ED" w:rsidP="006014ED">
            <w:pPr>
              <w:pStyle w:val="TH"/>
              <w:ind w:left="720"/>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6014ED" w:rsidRPr="009C5807" w:rsidTr="00E16040">
              <w:trPr>
                <w:trHeight w:val="305"/>
                <w:jc w:val="center"/>
              </w:trPr>
              <w:tc>
                <w:tcPr>
                  <w:tcW w:w="649" w:type="dxa"/>
                  <w:tcBorders>
                    <w:bottom w:val="nil"/>
                  </w:tcBorders>
                  <w:shd w:val="clear" w:color="auto" w:fill="auto"/>
                  <w:vAlign w:val="center"/>
                </w:tcPr>
                <w:p w:rsidR="006014ED" w:rsidRPr="009C5807" w:rsidRDefault="006014ED" w:rsidP="006014ED">
                  <w:pPr>
                    <w:pStyle w:val="TAH"/>
                  </w:pPr>
                  <w:r w:rsidRPr="009C5807">
                    <w:rPr>
                      <w:noProof/>
                      <w:lang w:val="en-US" w:eastAsia="zh-CN"/>
                    </w:rPr>
                    <w:drawing>
                      <wp:inline distT="0" distB="0" distL="0" distR="0" wp14:anchorId="4EBEE0A2" wp14:editId="0BBC8A82">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6014ED" w:rsidRPr="009C5807" w:rsidRDefault="006014ED" w:rsidP="006014ED">
                  <w:pPr>
                    <w:pStyle w:val="TAH"/>
                  </w:pPr>
                  <w:r w:rsidRPr="009C5807">
                    <w:t xml:space="preserve">NR Slot length </w:t>
                  </w:r>
                </w:p>
              </w:tc>
              <w:tc>
                <w:tcPr>
                  <w:tcW w:w="3938" w:type="dxa"/>
                  <w:gridSpan w:val="2"/>
                </w:tcPr>
                <w:p w:rsidR="006014ED" w:rsidRPr="009C5807" w:rsidRDefault="006014ED" w:rsidP="006014ED">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6014ED" w:rsidRPr="009C5807" w:rsidTr="00E16040">
              <w:trPr>
                <w:trHeight w:val="306"/>
                <w:jc w:val="center"/>
              </w:trPr>
              <w:tc>
                <w:tcPr>
                  <w:tcW w:w="649" w:type="dxa"/>
                  <w:tcBorders>
                    <w:top w:val="nil"/>
                  </w:tcBorders>
                  <w:shd w:val="clear" w:color="auto" w:fill="auto"/>
                  <w:vAlign w:val="center"/>
                </w:tcPr>
                <w:p w:rsidR="006014ED" w:rsidRPr="009C5807" w:rsidRDefault="006014ED" w:rsidP="006014ED">
                  <w:pPr>
                    <w:pStyle w:val="TAH"/>
                  </w:pPr>
                </w:p>
              </w:tc>
              <w:tc>
                <w:tcPr>
                  <w:tcW w:w="992" w:type="dxa"/>
                  <w:tcBorders>
                    <w:top w:val="nil"/>
                  </w:tcBorders>
                </w:tcPr>
                <w:p w:rsidR="006014ED" w:rsidRPr="009C5807" w:rsidRDefault="006014ED" w:rsidP="006014ED">
                  <w:pPr>
                    <w:pStyle w:val="TAH"/>
                  </w:pPr>
                  <w:r w:rsidRPr="009C5807">
                    <w:t>(</w:t>
                  </w:r>
                  <w:proofErr w:type="spellStart"/>
                  <w:r w:rsidRPr="009C5807">
                    <w:t>ms</w:t>
                  </w:r>
                  <w:proofErr w:type="spellEnd"/>
                  <w:r w:rsidRPr="009C5807">
                    <w:t>)</w:t>
                  </w:r>
                </w:p>
              </w:tc>
              <w:tc>
                <w:tcPr>
                  <w:tcW w:w="1969" w:type="dxa"/>
                </w:tcPr>
                <w:p w:rsidR="006014ED" w:rsidRPr="009C5807" w:rsidRDefault="006014ED" w:rsidP="006014ED">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rsidR="006014ED" w:rsidRPr="009C5807" w:rsidRDefault="006014ED" w:rsidP="006014ED">
                  <w:pPr>
                    <w:pStyle w:val="TAH"/>
                    <w:rPr>
                      <w:vertAlign w:val="superscript"/>
                      <w:lang w:eastAsia="zh-CN"/>
                    </w:rPr>
                  </w:pPr>
                  <w:r w:rsidRPr="009C5807">
                    <w:rPr>
                      <w:lang w:eastAsia="zh-CN"/>
                    </w:rPr>
                    <w:t>Type 2</w:t>
                  </w:r>
                  <w:r w:rsidRPr="009C5807">
                    <w:rPr>
                      <w:vertAlign w:val="superscript"/>
                      <w:lang w:eastAsia="zh-CN"/>
                    </w:rPr>
                    <w:t>Note 1</w:t>
                  </w:r>
                </w:p>
              </w:tc>
            </w:tr>
            <w:tr w:rsidR="006014ED" w:rsidRPr="009C5807" w:rsidDel="00FC0501" w:rsidTr="00E16040">
              <w:trPr>
                <w:jc w:val="center"/>
              </w:trPr>
              <w:tc>
                <w:tcPr>
                  <w:tcW w:w="649" w:type="dxa"/>
                  <w:shd w:val="clear" w:color="auto" w:fill="auto"/>
                </w:tcPr>
                <w:p w:rsidR="006014ED" w:rsidRPr="009C5807" w:rsidRDefault="006014ED" w:rsidP="006014ED">
                  <w:pPr>
                    <w:pStyle w:val="TAC"/>
                  </w:pPr>
                  <w:r w:rsidRPr="009C5807">
                    <w:t>0</w:t>
                  </w:r>
                </w:p>
              </w:tc>
              <w:tc>
                <w:tcPr>
                  <w:tcW w:w="992" w:type="dxa"/>
                </w:tcPr>
                <w:p w:rsidR="006014ED" w:rsidRPr="009C5807" w:rsidRDefault="006014ED" w:rsidP="006014ED">
                  <w:pPr>
                    <w:pStyle w:val="TAC"/>
                  </w:pPr>
                  <w:r w:rsidRPr="009C5807">
                    <w:t>1</w:t>
                  </w:r>
                </w:p>
              </w:tc>
              <w:tc>
                <w:tcPr>
                  <w:tcW w:w="1969" w:type="dxa"/>
                  <w:shd w:val="clear" w:color="auto" w:fill="auto"/>
                </w:tcPr>
                <w:p w:rsidR="006014ED" w:rsidRPr="009C5807" w:rsidRDefault="006014ED" w:rsidP="006014ED">
                  <w:pPr>
                    <w:pStyle w:val="TAC"/>
                  </w:pPr>
                  <w:r w:rsidRPr="009C5807">
                    <w:t>1</w:t>
                  </w:r>
                </w:p>
              </w:tc>
              <w:tc>
                <w:tcPr>
                  <w:tcW w:w="1969" w:type="dxa"/>
                </w:tcPr>
                <w:p w:rsidR="006014ED" w:rsidRPr="009C5807" w:rsidRDefault="006014ED" w:rsidP="006014ED">
                  <w:pPr>
                    <w:pStyle w:val="TAC"/>
                  </w:pPr>
                  <w:r w:rsidRPr="009C5807">
                    <w:t>3</w:t>
                  </w:r>
                </w:p>
              </w:tc>
            </w:tr>
            <w:tr w:rsidR="006014ED" w:rsidRPr="009C5807" w:rsidDel="00FC0501" w:rsidTr="00E16040">
              <w:trPr>
                <w:jc w:val="center"/>
              </w:trPr>
              <w:tc>
                <w:tcPr>
                  <w:tcW w:w="649" w:type="dxa"/>
                  <w:shd w:val="clear" w:color="auto" w:fill="auto"/>
                </w:tcPr>
                <w:p w:rsidR="006014ED" w:rsidRPr="009C5807" w:rsidRDefault="006014ED" w:rsidP="006014ED">
                  <w:pPr>
                    <w:pStyle w:val="TAC"/>
                  </w:pPr>
                  <w:r w:rsidRPr="009C5807">
                    <w:t>1</w:t>
                  </w:r>
                </w:p>
              </w:tc>
              <w:tc>
                <w:tcPr>
                  <w:tcW w:w="992" w:type="dxa"/>
                </w:tcPr>
                <w:p w:rsidR="006014ED" w:rsidRPr="009C5807" w:rsidRDefault="006014ED" w:rsidP="006014ED">
                  <w:pPr>
                    <w:pStyle w:val="TAC"/>
                  </w:pPr>
                  <w:r w:rsidRPr="009C5807">
                    <w:t>0.5</w:t>
                  </w:r>
                </w:p>
              </w:tc>
              <w:tc>
                <w:tcPr>
                  <w:tcW w:w="1969" w:type="dxa"/>
                  <w:shd w:val="clear" w:color="auto" w:fill="auto"/>
                </w:tcPr>
                <w:p w:rsidR="006014ED" w:rsidRPr="009C5807" w:rsidRDefault="006014ED" w:rsidP="006014ED">
                  <w:pPr>
                    <w:pStyle w:val="TAC"/>
                  </w:pPr>
                  <w:r w:rsidRPr="009C5807">
                    <w:t>2</w:t>
                  </w:r>
                </w:p>
              </w:tc>
              <w:tc>
                <w:tcPr>
                  <w:tcW w:w="1969" w:type="dxa"/>
                </w:tcPr>
                <w:p w:rsidR="006014ED" w:rsidRPr="009C5807" w:rsidRDefault="006014ED" w:rsidP="006014ED">
                  <w:pPr>
                    <w:pStyle w:val="TAC"/>
                  </w:pPr>
                  <w:r w:rsidRPr="009C5807">
                    <w:t>5</w:t>
                  </w:r>
                </w:p>
              </w:tc>
            </w:tr>
            <w:tr w:rsidR="006014ED" w:rsidRPr="009C5807" w:rsidDel="00FC0501" w:rsidTr="00E16040">
              <w:trPr>
                <w:jc w:val="center"/>
              </w:trPr>
              <w:tc>
                <w:tcPr>
                  <w:tcW w:w="649" w:type="dxa"/>
                  <w:shd w:val="clear" w:color="auto" w:fill="auto"/>
                </w:tcPr>
                <w:p w:rsidR="006014ED" w:rsidRPr="009C5807" w:rsidRDefault="006014ED" w:rsidP="006014ED">
                  <w:pPr>
                    <w:pStyle w:val="TAC"/>
                  </w:pPr>
                  <w:r w:rsidRPr="009C5807">
                    <w:t>2</w:t>
                  </w:r>
                </w:p>
              </w:tc>
              <w:tc>
                <w:tcPr>
                  <w:tcW w:w="992" w:type="dxa"/>
                </w:tcPr>
                <w:p w:rsidR="006014ED" w:rsidRPr="009C5807" w:rsidRDefault="006014ED" w:rsidP="006014ED">
                  <w:pPr>
                    <w:pStyle w:val="TAC"/>
                  </w:pPr>
                  <w:r w:rsidRPr="009C5807">
                    <w:t>0.25</w:t>
                  </w:r>
                </w:p>
              </w:tc>
              <w:tc>
                <w:tcPr>
                  <w:tcW w:w="1969" w:type="dxa"/>
                  <w:shd w:val="clear" w:color="auto" w:fill="auto"/>
                </w:tcPr>
                <w:p w:rsidR="006014ED" w:rsidRPr="009C5807" w:rsidRDefault="006014ED" w:rsidP="006014ED">
                  <w:pPr>
                    <w:pStyle w:val="TAC"/>
                  </w:pPr>
                  <w:r w:rsidRPr="009C5807">
                    <w:t>3</w:t>
                  </w:r>
                </w:p>
              </w:tc>
              <w:tc>
                <w:tcPr>
                  <w:tcW w:w="1969" w:type="dxa"/>
                </w:tcPr>
                <w:p w:rsidR="006014ED" w:rsidRPr="009C5807" w:rsidRDefault="006014ED" w:rsidP="006014ED">
                  <w:pPr>
                    <w:pStyle w:val="TAC"/>
                  </w:pPr>
                  <w:r w:rsidRPr="009C5807">
                    <w:t>9</w:t>
                  </w:r>
                </w:p>
              </w:tc>
            </w:tr>
            <w:tr w:rsidR="006014ED" w:rsidRPr="009C5807" w:rsidDel="00FC0501" w:rsidTr="00E16040">
              <w:trPr>
                <w:jc w:val="center"/>
              </w:trPr>
              <w:tc>
                <w:tcPr>
                  <w:tcW w:w="649" w:type="dxa"/>
                  <w:shd w:val="clear" w:color="auto" w:fill="auto"/>
                </w:tcPr>
                <w:p w:rsidR="006014ED" w:rsidRPr="009C5807" w:rsidRDefault="006014ED" w:rsidP="006014ED">
                  <w:pPr>
                    <w:pStyle w:val="TAC"/>
                  </w:pPr>
                  <w:r w:rsidRPr="009C5807">
                    <w:t>3</w:t>
                  </w:r>
                </w:p>
              </w:tc>
              <w:tc>
                <w:tcPr>
                  <w:tcW w:w="992" w:type="dxa"/>
                </w:tcPr>
                <w:p w:rsidR="006014ED" w:rsidRPr="009C5807" w:rsidRDefault="006014ED" w:rsidP="006014ED">
                  <w:pPr>
                    <w:pStyle w:val="TAC"/>
                  </w:pPr>
                  <w:r w:rsidRPr="009C5807">
                    <w:t>0.125</w:t>
                  </w:r>
                </w:p>
              </w:tc>
              <w:tc>
                <w:tcPr>
                  <w:tcW w:w="1969" w:type="dxa"/>
                  <w:shd w:val="clear" w:color="auto" w:fill="auto"/>
                </w:tcPr>
                <w:p w:rsidR="006014ED" w:rsidRPr="009C5807" w:rsidRDefault="006014ED" w:rsidP="006014ED">
                  <w:pPr>
                    <w:pStyle w:val="TAC"/>
                  </w:pPr>
                  <w:r w:rsidRPr="009C5807">
                    <w:t>6</w:t>
                  </w:r>
                </w:p>
              </w:tc>
              <w:tc>
                <w:tcPr>
                  <w:tcW w:w="1969" w:type="dxa"/>
                </w:tcPr>
                <w:p w:rsidR="006014ED" w:rsidRPr="009C5807" w:rsidRDefault="006014ED" w:rsidP="006014ED">
                  <w:pPr>
                    <w:pStyle w:val="TAC"/>
                  </w:pPr>
                  <w:r w:rsidRPr="009C5807">
                    <w:t>18</w:t>
                  </w:r>
                </w:p>
              </w:tc>
            </w:tr>
            <w:tr w:rsidR="006014ED" w:rsidRPr="009C5807" w:rsidDel="00FC0501" w:rsidTr="00E16040">
              <w:trPr>
                <w:jc w:val="center"/>
              </w:trPr>
              <w:tc>
                <w:tcPr>
                  <w:tcW w:w="649" w:type="dxa"/>
                  <w:shd w:val="clear" w:color="auto" w:fill="auto"/>
                </w:tcPr>
                <w:p w:rsidR="006014ED" w:rsidRPr="009C5807" w:rsidRDefault="006014ED" w:rsidP="006014ED">
                  <w:pPr>
                    <w:pStyle w:val="TAC"/>
                  </w:pPr>
                  <w:r w:rsidRPr="00161806">
                    <w:rPr>
                      <w:highlight w:val="yellow"/>
                    </w:rPr>
                    <w:t>4</w:t>
                  </w:r>
                </w:p>
              </w:tc>
              <w:tc>
                <w:tcPr>
                  <w:tcW w:w="992" w:type="dxa"/>
                </w:tcPr>
                <w:p w:rsidR="006014ED" w:rsidRPr="009C5807" w:rsidRDefault="006014ED" w:rsidP="006014ED">
                  <w:pPr>
                    <w:pStyle w:val="TAC"/>
                  </w:pPr>
                  <w:r w:rsidRPr="00161806">
                    <w:rPr>
                      <w:highlight w:val="yellow"/>
                    </w:rPr>
                    <w:t>0.03125</w:t>
                  </w:r>
                </w:p>
              </w:tc>
              <w:tc>
                <w:tcPr>
                  <w:tcW w:w="1969" w:type="dxa"/>
                  <w:shd w:val="clear" w:color="auto" w:fill="auto"/>
                </w:tcPr>
                <w:p w:rsidR="006014ED" w:rsidRPr="00373D73" w:rsidRDefault="006014ED" w:rsidP="006014ED">
                  <w:pPr>
                    <w:pStyle w:val="TAC"/>
                    <w:rPr>
                      <w:highlight w:val="yellow"/>
                    </w:rPr>
                  </w:pPr>
                  <w:r w:rsidRPr="00373D73">
                    <w:rPr>
                      <w:highlight w:val="yellow"/>
                    </w:rPr>
                    <w:t>[20]</w:t>
                  </w:r>
                </w:p>
              </w:tc>
              <w:tc>
                <w:tcPr>
                  <w:tcW w:w="1969" w:type="dxa"/>
                </w:tcPr>
                <w:p w:rsidR="006014ED" w:rsidRPr="00373D73" w:rsidRDefault="006014ED" w:rsidP="006014ED">
                  <w:pPr>
                    <w:pStyle w:val="TAC"/>
                    <w:rPr>
                      <w:highlight w:val="yellow"/>
                    </w:rPr>
                  </w:pPr>
                  <w:r w:rsidRPr="00373D73">
                    <w:rPr>
                      <w:highlight w:val="yellow"/>
                    </w:rPr>
                    <w:t>[65]</w:t>
                  </w:r>
                </w:p>
              </w:tc>
            </w:tr>
            <w:tr w:rsidR="006014ED" w:rsidRPr="009C5807" w:rsidDel="00FC0501" w:rsidTr="00E16040">
              <w:trPr>
                <w:jc w:val="center"/>
              </w:trPr>
              <w:tc>
                <w:tcPr>
                  <w:tcW w:w="649" w:type="dxa"/>
                  <w:shd w:val="clear" w:color="auto" w:fill="auto"/>
                </w:tcPr>
                <w:p w:rsidR="006014ED" w:rsidRPr="009C5807" w:rsidRDefault="006014ED" w:rsidP="006014ED">
                  <w:pPr>
                    <w:pStyle w:val="TAC"/>
                  </w:pPr>
                  <w:r w:rsidRPr="00161806">
                    <w:rPr>
                      <w:highlight w:val="yellow"/>
                    </w:rPr>
                    <w:t>5</w:t>
                  </w:r>
                </w:p>
              </w:tc>
              <w:tc>
                <w:tcPr>
                  <w:tcW w:w="992" w:type="dxa"/>
                </w:tcPr>
                <w:p w:rsidR="006014ED" w:rsidRPr="009C5807" w:rsidRDefault="006014ED" w:rsidP="006014ED">
                  <w:pPr>
                    <w:pStyle w:val="TAC"/>
                  </w:pPr>
                  <w:r w:rsidRPr="00161806">
                    <w:rPr>
                      <w:highlight w:val="yellow"/>
                    </w:rPr>
                    <w:t>0.015625</w:t>
                  </w:r>
                </w:p>
              </w:tc>
              <w:tc>
                <w:tcPr>
                  <w:tcW w:w="1969" w:type="dxa"/>
                  <w:shd w:val="clear" w:color="auto" w:fill="auto"/>
                </w:tcPr>
                <w:p w:rsidR="006014ED" w:rsidRPr="00373D73" w:rsidRDefault="006014ED" w:rsidP="006014ED">
                  <w:pPr>
                    <w:pStyle w:val="TAC"/>
                    <w:rPr>
                      <w:highlight w:val="yellow"/>
                    </w:rPr>
                  </w:pPr>
                  <w:r w:rsidRPr="00373D73">
                    <w:rPr>
                      <w:highlight w:val="yellow"/>
                    </w:rPr>
                    <w:t>[39]</w:t>
                  </w:r>
                </w:p>
              </w:tc>
              <w:tc>
                <w:tcPr>
                  <w:tcW w:w="1969" w:type="dxa"/>
                </w:tcPr>
                <w:p w:rsidR="006014ED" w:rsidRPr="00373D73" w:rsidRDefault="006014ED" w:rsidP="006014ED">
                  <w:pPr>
                    <w:pStyle w:val="TAC"/>
                    <w:rPr>
                      <w:highlight w:val="yellow"/>
                    </w:rPr>
                  </w:pPr>
                  <w:r w:rsidRPr="00373D73">
                    <w:rPr>
                      <w:highlight w:val="yellow"/>
                    </w:rPr>
                    <w:t>[129]</w:t>
                  </w:r>
                </w:p>
              </w:tc>
            </w:tr>
            <w:tr w:rsidR="006014ED" w:rsidRPr="009C5807" w:rsidDel="00FC0501" w:rsidTr="00E16040">
              <w:trPr>
                <w:jc w:val="center"/>
              </w:trPr>
              <w:tc>
                <w:tcPr>
                  <w:tcW w:w="5579" w:type="dxa"/>
                  <w:gridSpan w:val="4"/>
                  <w:shd w:val="clear" w:color="auto" w:fill="auto"/>
                </w:tcPr>
                <w:p w:rsidR="006014ED" w:rsidRPr="009C5807" w:rsidRDefault="006014ED" w:rsidP="006014ED">
                  <w:pPr>
                    <w:pStyle w:val="TAN"/>
                  </w:pPr>
                  <w:r w:rsidRPr="009C5807">
                    <w:t>Note 1:</w:t>
                  </w:r>
                  <w:r w:rsidRPr="009C5807">
                    <w:tab/>
                    <w:t>Depends on UE capability.</w:t>
                  </w:r>
                </w:p>
                <w:p w:rsidR="006014ED" w:rsidRPr="009C5807" w:rsidRDefault="006014ED" w:rsidP="006014ED">
                  <w:pPr>
                    <w:pStyle w:val="TAN"/>
                  </w:pPr>
                  <w:r w:rsidRPr="009C5807">
                    <w:t>Note 2:</w:t>
                  </w:r>
                  <w:r w:rsidRPr="009C5807">
                    <w:tab/>
                    <w:t>If the BWP switch involves changing of SCS, the BWP switch delay is determined by the smaller SCS between the SCS before BWP switch and the SCS after BWP switch.</w:t>
                  </w:r>
                </w:p>
              </w:tc>
            </w:tr>
          </w:tbl>
          <w:p w:rsidR="006014ED" w:rsidRDefault="006014ED" w:rsidP="006014ED">
            <w:pPr>
              <w:pStyle w:val="ListParagraph"/>
              <w:spacing w:after="240"/>
              <w:ind w:left="1434" w:firstLine="400"/>
              <w:rPr>
                <w:rFonts w:ascii="TimesNewRomanPSMT" w:hAnsi="TimesNewRomanPSMT" w:hint="eastAsia"/>
                <w:color w:val="000000"/>
              </w:rPr>
            </w:pPr>
            <w:r>
              <w:rPr>
                <w:rFonts w:ascii="TimesNewRomanPSMT" w:hAnsi="TimesNewRomanPSMT"/>
                <w:color w:val="000000"/>
              </w:rPr>
              <w:t xml:space="preserve">Note: </w:t>
            </w:r>
            <w:proofErr w:type="spellStart"/>
            <w:r w:rsidRPr="005F3EFC">
              <w:rPr>
                <w:rFonts w:ascii="TimesNewRomanPSMT" w:hAnsi="TimesNewRomanPSMT"/>
                <w:color w:val="000000"/>
              </w:rPr>
              <w:t>T</w:t>
            </w:r>
            <w:r w:rsidRPr="005F3EFC">
              <w:rPr>
                <w:rFonts w:ascii="TimesNewRomanPSMT" w:hAnsi="TimesNewRomanPSMT"/>
                <w:color w:val="000000"/>
                <w:sz w:val="14"/>
                <w:szCs w:val="14"/>
              </w:rPr>
              <w:t>BWPswitchDelay</w:t>
            </w:r>
            <w:proofErr w:type="spellEnd"/>
            <w:r w:rsidRPr="005F3EFC">
              <w:rPr>
                <w:rFonts w:ascii="TimesNewRomanPSMT" w:hAnsi="TimesNewRomanPSMT"/>
                <w:color w:val="000000"/>
                <w:sz w:val="14"/>
                <w:szCs w:val="14"/>
              </w:rPr>
              <w:t xml:space="preserve"> </w:t>
            </w:r>
            <w:r w:rsidRPr="005F3EFC">
              <w:rPr>
                <w:rFonts w:ascii="TimesNewRomanPSMT" w:hAnsi="TimesNewRomanPSMT"/>
                <w:color w:val="000000"/>
              </w:rPr>
              <w:t>is the BWP switching delay on single CC</w:t>
            </w:r>
          </w:p>
          <w:p w:rsidR="006014ED" w:rsidRPr="003A5433" w:rsidRDefault="006014ED" w:rsidP="006014ED">
            <w:pPr>
              <w:pStyle w:val="ListParagraph"/>
              <w:spacing w:after="240"/>
              <w:ind w:left="1434" w:firstLine="400"/>
              <w:rPr>
                <w:highlight w:val="yellow"/>
              </w:rPr>
            </w:pPr>
          </w:p>
          <w:p w:rsidR="006014ED" w:rsidRPr="00C84F59" w:rsidRDefault="006014ED" w:rsidP="006014ED">
            <w:pPr>
              <w:pStyle w:val="ListParagraph"/>
              <w:numPr>
                <w:ilvl w:val="0"/>
                <w:numId w:val="24"/>
              </w:numPr>
              <w:overflowPunct w:val="0"/>
              <w:autoSpaceDE w:val="0"/>
              <w:autoSpaceDN w:val="0"/>
              <w:adjustRightInd w:val="0"/>
              <w:spacing w:before="240" w:after="120" w:line="480" w:lineRule="auto"/>
              <w:ind w:left="714" w:firstLineChars="0" w:hanging="357"/>
              <w:contextualSpacing/>
              <w:textAlignment w:val="baseline"/>
            </w:pPr>
            <w:r w:rsidRPr="00C84F59">
              <w:t>RRC-based BWP switch</w:t>
            </w:r>
          </w:p>
          <w:p w:rsidR="006014ED" w:rsidRDefault="006014ED" w:rsidP="006014ED">
            <w:pPr>
              <w:pStyle w:val="ListParagraph"/>
              <w:numPr>
                <w:ilvl w:val="1"/>
                <w:numId w:val="24"/>
              </w:numPr>
              <w:overflowPunct w:val="0"/>
              <w:autoSpaceDE w:val="0"/>
              <w:autoSpaceDN w:val="0"/>
              <w:adjustRightInd w:val="0"/>
              <w:spacing w:before="120" w:after="120" w:line="480" w:lineRule="auto"/>
              <w:ind w:firstLineChars="0"/>
              <w:contextualSpacing/>
              <w:textAlignment w:val="baseline"/>
            </w:pPr>
            <w:r w:rsidRPr="00C84F59">
              <w:t>Reuse the existing requirements for RRC-based BWP switch</w:t>
            </w:r>
          </w:p>
          <w:p w:rsidR="006014ED" w:rsidRDefault="006014ED" w:rsidP="006014ED">
            <w:pPr>
              <w:pStyle w:val="ListParagraph"/>
              <w:numPr>
                <w:ilvl w:val="0"/>
                <w:numId w:val="24"/>
              </w:numPr>
              <w:overflowPunct w:val="0"/>
              <w:autoSpaceDE w:val="0"/>
              <w:autoSpaceDN w:val="0"/>
              <w:adjustRightInd w:val="0"/>
              <w:spacing w:before="120" w:after="120" w:line="480" w:lineRule="auto"/>
              <w:ind w:firstLineChars="0"/>
              <w:contextualSpacing/>
              <w:textAlignment w:val="baseline"/>
            </w:pPr>
            <w:r w:rsidRPr="00C84F59">
              <w:t>BWP Switching on Multiple CCs</w:t>
            </w:r>
          </w:p>
          <w:p w:rsidR="006014ED" w:rsidRPr="00C84F59" w:rsidRDefault="006014ED" w:rsidP="006014ED">
            <w:pPr>
              <w:pStyle w:val="ListParagraph"/>
              <w:numPr>
                <w:ilvl w:val="1"/>
                <w:numId w:val="24"/>
              </w:numPr>
              <w:overflowPunct w:val="0"/>
              <w:autoSpaceDE w:val="0"/>
              <w:autoSpaceDN w:val="0"/>
              <w:adjustRightInd w:val="0"/>
              <w:spacing w:before="120" w:after="120" w:line="480" w:lineRule="auto"/>
              <w:ind w:firstLineChars="0"/>
              <w:contextualSpacing/>
              <w:textAlignment w:val="baseline"/>
            </w:pPr>
            <w:r w:rsidRPr="00C84F59">
              <w:lastRenderedPageBreak/>
              <w:t>Postpone the discussion for the later stage</w:t>
            </w:r>
            <w:r>
              <w:t xml:space="preserve"> after requirements for </w:t>
            </w:r>
            <w:r w:rsidRPr="00C97AE6">
              <w:t>one BWP</w:t>
            </w:r>
            <w:r>
              <w:t xml:space="preserve"> will be agreed</w:t>
            </w:r>
          </w:p>
          <w:p w:rsidR="006014ED" w:rsidRPr="006014ED" w:rsidRDefault="006014ED" w:rsidP="004F344B">
            <w:pPr>
              <w:rPr>
                <w:rFonts w:eastAsiaTheme="minorEastAsia"/>
                <w:lang w:eastAsia="zh-CN"/>
              </w:rPr>
            </w:pPr>
          </w:p>
        </w:tc>
      </w:tr>
    </w:tbl>
    <w:p w:rsidR="006014ED" w:rsidRDefault="006014ED" w:rsidP="004F344B">
      <w:pPr>
        <w:rPr>
          <w:rFonts w:eastAsiaTheme="minorEastAsia"/>
          <w:lang w:val="en-US" w:eastAsia="zh-CN"/>
        </w:rPr>
      </w:pPr>
    </w:p>
    <w:p w:rsidR="00E16040" w:rsidRDefault="006014ED" w:rsidP="004F344B">
      <w:r>
        <w:rPr>
          <w:rFonts w:eastAsiaTheme="minorEastAsia" w:hint="eastAsia"/>
          <w:lang w:val="en-US" w:eastAsia="zh-CN"/>
        </w:rPr>
        <w:t>F</w:t>
      </w:r>
      <w:r>
        <w:rPr>
          <w:rFonts w:eastAsiaTheme="minorEastAsia"/>
          <w:lang w:val="en-US" w:eastAsia="zh-CN"/>
        </w:rPr>
        <w:t>or DCI and timer based BWP switching, it was agreed to follow the same assumptions as FR1 and FR2-1 that 600us for type 1 UE and 2000 us for type 2 UE. And it is also the general principle when defining the requirements on FR2-2 that scale the existing requirements based on the same assumptions. For active BWP switching, it may contain RF tuning, baseband adjustment</w:t>
      </w:r>
      <w:r w:rsidR="00BA5DCF">
        <w:rPr>
          <w:rFonts w:eastAsiaTheme="minorEastAsia"/>
          <w:lang w:val="en-US" w:eastAsia="zh-CN"/>
        </w:rPr>
        <w:t>.</w:t>
      </w:r>
      <w:r>
        <w:rPr>
          <w:rFonts w:eastAsiaTheme="minorEastAsia"/>
          <w:lang w:val="en-US" w:eastAsia="zh-CN"/>
        </w:rPr>
        <w:t xml:space="preserve"> </w:t>
      </w:r>
      <w:r w:rsidR="00BA5DCF">
        <w:rPr>
          <w:rFonts w:eastAsiaTheme="minorEastAsia"/>
          <w:lang w:val="en-US" w:eastAsia="zh-CN"/>
        </w:rPr>
        <w:t>W</w:t>
      </w:r>
      <w:r w:rsidR="00E16040">
        <w:rPr>
          <w:rFonts w:eastAsiaTheme="minorEastAsia"/>
          <w:lang w:val="en-US" w:eastAsia="zh-CN"/>
        </w:rPr>
        <w:t>hen</w:t>
      </w:r>
      <w:r>
        <w:rPr>
          <w:rFonts w:eastAsiaTheme="minorEastAsia"/>
          <w:lang w:val="en-US" w:eastAsia="zh-CN"/>
        </w:rPr>
        <w:t xml:space="preserve"> operating on higher frequency range with larger SCS (480 KHz and 960 KHz), it is </w:t>
      </w:r>
      <w:r w:rsidR="00E16040">
        <w:rPr>
          <w:rFonts w:eastAsiaTheme="minorEastAsia"/>
          <w:lang w:val="en-US" w:eastAsia="zh-CN"/>
        </w:rPr>
        <w:t>assumed</w:t>
      </w:r>
      <w:r>
        <w:rPr>
          <w:rFonts w:eastAsiaTheme="minorEastAsia"/>
          <w:lang w:val="en-US" w:eastAsia="zh-CN"/>
        </w:rPr>
        <w:t xml:space="preserve"> that the absolute time </w:t>
      </w:r>
      <w:r w:rsidR="00E16040">
        <w:rPr>
          <w:rFonts w:eastAsiaTheme="minorEastAsia"/>
          <w:lang w:val="en-US" w:eastAsia="zh-CN"/>
        </w:rPr>
        <w:t>that</w:t>
      </w:r>
      <w:r>
        <w:rPr>
          <w:rFonts w:eastAsiaTheme="minorEastAsia"/>
          <w:lang w:val="en-US" w:eastAsia="zh-CN"/>
        </w:rPr>
        <w:t xml:space="preserve"> UE to perform certain action will not change much</w:t>
      </w:r>
      <w:r w:rsidR="00E16040">
        <w:rPr>
          <w:rFonts w:eastAsiaTheme="minorEastAsia"/>
          <w:lang w:val="en-US" w:eastAsia="zh-CN"/>
        </w:rPr>
        <w:t xml:space="preserve">. Based on assumption, the BWP switching requirements, and some of interruption requirements are updated accordingly by scaling the existing values. One of the remaining issues about BWP switching is whether delay reduction is possible for </w:t>
      </w:r>
      <w:r w:rsidR="00E16040">
        <w:t xml:space="preserve">operation on 480 and 960 kHz SCS. Based on working assumptions for creating new FR2-2 RRM requirements in [2], </w:t>
      </w:r>
      <w:r w:rsidR="00751E52">
        <w:t xml:space="preserve">the involved procedures of active BWP switching delay is </w:t>
      </w:r>
      <w:r w:rsidR="00751E52" w:rsidRPr="00751E52">
        <w:t>irrelevant</w:t>
      </w:r>
      <w:r w:rsidR="00751E52">
        <w:t xml:space="preserve"> to the SCS. Thus, it is suggested not to consider the BWP switch delay reduction in Rel-17 for type 1 and type 2 BWP switching delay.</w:t>
      </w:r>
    </w:p>
    <w:tbl>
      <w:tblPr>
        <w:tblStyle w:val="TableGrid"/>
        <w:tblW w:w="0" w:type="auto"/>
        <w:tblLook w:val="04A0" w:firstRow="1" w:lastRow="0" w:firstColumn="1" w:lastColumn="0" w:noHBand="0" w:noVBand="1"/>
      </w:tblPr>
      <w:tblGrid>
        <w:gridCol w:w="9562"/>
      </w:tblGrid>
      <w:tr w:rsidR="00E16040" w:rsidTr="00E16040">
        <w:tc>
          <w:tcPr>
            <w:tcW w:w="9562" w:type="dxa"/>
          </w:tcPr>
          <w:p w:rsidR="00E16040" w:rsidRPr="003D3CD4" w:rsidRDefault="00E16040" w:rsidP="00E16040">
            <w:pPr>
              <w:spacing w:after="120"/>
              <w:rPr>
                <w:i/>
                <w:u w:val="single"/>
                <w:lang w:eastAsia="zh-CN"/>
              </w:rPr>
            </w:pPr>
            <w:r w:rsidRPr="003D3CD4">
              <w:rPr>
                <w:i/>
                <w:u w:val="single"/>
                <w:lang w:eastAsia="zh-CN"/>
              </w:rPr>
              <w:t>Working assumptions:</w:t>
            </w:r>
          </w:p>
          <w:p w:rsidR="00E16040" w:rsidRDefault="00E16040" w:rsidP="00E16040">
            <w:pPr>
              <w:pStyle w:val="ListParagraph"/>
              <w:numPr>
                <w:ilvl w:val="0"/>
                <w:numId w:val="25"/>
              </w:numPr>
              <w:overflowPunct w:val="0"/>
              <w:autoSpaceDE w:val="0"/>
              <w:autoSpaceDN w:val="0"/>
              <w:adjustRightInd w:val="0"/>
              <w:spacing w:after="120"/>
              <w:ind w:firstLineChars="0"/>
              <w:textAlignment w:val="baseline"/>
              <w:rPr>
                <w:iCs/>
                <w:highlight w:val="green"/>
                <w:lang w:eastAsia="zh-CN"/>
              </w:rPr>
            </w:pPr>
            <w:r w:rsidRPr="00C44559">
              <w:rPr>
                <w:iCs/>
                <w:highlight w:val="green"/>
                <w:lang w:eastAsia="zh-CN"/>
              </w:rPr>
              <w:t>FR2 RRM requirements apply for the operation in FR2-2, unless there is technical justification for a revision of the FR2 requirements.</w:t>
            </w:r>
          </w:p>
          <w:p w:rsidR="00E16040" w:rsidRPr="00E16040" w:rsidRDefault="00E16040" w:rsidP="004F344B">
            <w:pPr>
              <w:pStyle w:val="ListParagraph"/>
              <w:numPr>
                <w:ilvl w:val="0"/>
                <w:numId w:val="25"/>
              </w:numPr>
              <w:overflowPunct w:val="0"/>
              <w:autoSpaceDE w:val="0"/>
              <w:autoSpaceDN w:val="0"/>
              <w:adjustRightInd w:val="0"/>
              <w:spacing w:after="120"/>
              <w:ind w:firstLineChars="0"/>
              <w:textAlignment w:val="baseline"/>
              <w:rPr>
                <w:iCs/>
                <w:highlight w:val="green"/>
                <w:lang w:eastAsia="zh-CN"/>
              </w:rPr>
            </w:pPr>
            <w:r w:rsidRPr="00C44559">
              <w:rPr>
                <w:iCs/>
                <w:highlight w:val="green"/>
                <w:lang w:eastAsia="zh-CN"/>
              </w:rPr>
              <w:t>For RRM requirements defined with SCS already, higher SCS (e.g., 480 kHz and 960 kHz) applicable for 52.6 – 71 GHz can be defined (if needed) as function of SCS within FR2; For RRM requirements defined with FR2, it needs check if involvements of new SCS’s, division of FR2-1/FR2-2 or FR2 already can cover it.</w:t>
            </w:r>
          </w:p>
        </w:tc>
      </w:tr>
    </w:tbl>
    <w:p w:rsidR="006014ED" w:rsidRDefault="00E16040" w:rsidP="004F344B">
      <w:r>
        <w:t xml:space="preserve"> </w:t>
      </w:r>
    </w:p>
    <w:p w:rsidR="00751E52" w:rsidRPr="00BA5DCF" w:rsidRDefault="00BA5DCF" w:rsidP="004F344B">
      <w:pPr>
        <w:rPr>
          <w:b/>
        </w:rPr>
      </w:pPr>
      <w:r w:rsidRPr="00BA5DCF">
        <w:rPr>
          <w:b/>
        </w:rPr>
        <w:t>Observation 1: Same assumption of BWP switch delay should be considered for type 1 and type 2 BWP switching delay</w:t>
      </w:r>
    </w:p>
    <w:p w:rsidR="00751E52" w:rsidRDefault="00EF0E4A" w:rsidP="004F344B">
      <w:r>
        <w:t>Another</w:t>
      </w:r>
      <w:r w:rsidR="00751E52">
        <w:t xml:space="preserve"> issue is about how to handle the cross carrier scheduled BWP switching delay for the operation on 480 KHz and 960 KHz. The cross carrier scheduling BWP switching issues was identified in Rel-16 </w:t>
      </w:r>
      <w:proofErr w:type="spellStart"/>
      <w:r w:rsidR="00751E52">
        <w:t>SCell</w:t>
      </w:r>
      <w:proofErr w:type="spellEnd"/>
      <w:r w:rsidR="00751E52">
        <w:t xml:space="preserve"> dormancy</w:t>
      </w:r>
      <w:r>
        <w:t xml:space="preserve"> [3]</w:t>
      </w:r>
      <w:r w:rsidR="006A7B70">
        <w:t xml:space="preserve">, and one addition slot is relaxed for the cross carrier scheduling. The corresponding requirements are shown as below: </w:t>
      </w:r>
    </w:p>
    <w:tbl>
      <w:tblPr>
        <w:tblStyle w:val="TableGrid"/>
        <w:tblW w:w="0" w:type="auto"/>
        <w:tblLook w:val="04A0" w:firstRow="1" w:lastRow="0" w:firstColumn="1" w:lastColumn="0" w:noHBand="0" w:noVBand="1"/>
      </w:tblPr>
      <w:tblGrid>
        <w:gridCol w:w="9562"/>
      </w:tblGrid>
      <w:tr w:rsidR="00086874" w:rsidTr="00086874">
        <w:tc>
          <w:tcPr>
            <w:tcW w:w="9562" w:type="dxa"/>
          </w:tcPr>
          <w:p w:rsidR="00086874" w:rsidRPr="009C5807" w:rsidRDefault="00086874" w:rsidP="00086874">
            <w:pPr>
              <w:pStyle w:val="Heading3"/>
              <w:rPr>
                <w:lang w:val="en-US" w:eastAsia="zh-CN"/>
              </w:rPr>
            </w:pPr>
            <w:bookmarkStart w:id="0" w:name="_Toc535475993"/>
            <w:r w:rsidRPr="009C5807">
              <w:rPr>
                <w:lang w:val="en-US" w:eastAsia="zh-CN"/>
              </w:rPr>
              <w:t>8.6.2</w:t>
            </w:r>
            <w:r w:rsidRPr="009C5807">
              <w:rPr>
                <w:lang w:val="en-US" w:eastAsia="zh-CN"/>
              </w:rPr>
              <w:tab/>
              <w:t>DCI and timer based BWP switch delay</w:t>
            </w:r>
            <w:bookmarkEnd w:id="0"/>
            <w:r>
              <w:rPr>
                <w:lang w:val="en-US" w:eastAsia="zh-CN"/>
              </w:rPr>
              <w:t xml:space="preserve"> on a single CC</w:t>
            </w:r>
          </w:p>
          <w:p w:rsidR="00086874" w:rsidRPr="009C5807" w:rsidRDefault="00086874" w:rsidP="00086874">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rsidR="00086874" w:rsidRDefault="00086874" w:rsidP="00086874">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roofErr w:type="spellStart"/>
            <w:r w:rsidRPr="009C5807">
              <w:t>T</w:t>
            </w:r>
            <w:r w:rsidRPr="009C5807">
              <w:rPr>
                <w:vertAlign w:val="subscript"/>
              </w:rPr>
              <w:t>BWPswitchDelay</w:t>
            </w:r>
            <w:proofErr w:type="spellEnd"/>
            <w:r w:rsidRPr="009C5807">
              <w:t xml:space="preserve"> </w:t>
            </w:r>
            <w:r>
              <w:t xml:space="preserve">+ Y </w:t>
            </w:r>
            <w:r w:rsidRPr="009C5807">
              <w:t>which starts from the beginning of DL slot n.</w:t>
            </w:r>
            <w:r>
              <w:t xml:space="preserve"> Where,</w:t>
            </w:r>
          </w:p>
          <w:p w:rsidR="00086874" w:rsidRPr="00FC4650" w:rsidRDefault="00086874" w:rsidP="00086874">
            <w:pPr>
              <w:pStyle w:val="B1"/>
            </w:pPr>
            <w:r>
              <w:t>-</w:t>
            </w:r>
            <w:r>
              <w:tab/>
            </w:r>
            <w:r w:rsidRPr="00FC4650">
              <w:t>Y=0</w:t>
            </w:r>
            <w:r>
              <w:t>,</w:t>
            </w:r>
            <w:r w:rsidRPr="00FC4650">
              <w:t xml:space="preserve"> if the serving cell where UE receives DCI for BWP switch request is same as the serving cell on which BWP switch occurs.</w:t>
            </w:r>
          </w:p>
          <w:p w:rsidR="00086874" w:rsidRPr="005B6EBB" w:rsidRDefault="00086874" w:rsidP="00086874">
            <w:pPr>
              <w:pStyle w:val="B1"/>
              <w:rPr>
                <w:lang w:val="en-US" w:eastAsia="zh-CN"/>
              </w:rPr>
            </w:pPr>
            <w:r>
              <w:t>-</w:t>
            </w:r>
            <w:r>
              <w:tab/>
            </w:r>
            <w:r w:rsidRPr="00086874">
              <w:rPr>
                <w:highlight w:val="yellow"/>
              </w:rPr>
              <w:t>Y</w:t>
            </w:r>
            <w:r w:rsidRPr="00086874">
              <w:rPr>
                <w:highlight w:val="yellow"/>
                <w:lang w:val="en-US" w:eastAsia="zh-CN"/>
              </w:rPr>
              <w:t xml:space="preserve"> equals to the length of 1 slot</w:t>
            </w:r>
            <w:r w:rsidRPr="00086874">
              <w:rPr>
                <w:highlight w:val="yellow"/>
              </w:rPr>
              <w:t>, if the serving cell where UE receives DCI for BWP switch is different from the serving cell on which BWP switch occurs for any involved serving cell</w:t>
            </w:r>
            <w:r w:rsidRPr="00FC4650">
              <w:t xml:space="preserve">. In this scenario, </w:t>
            </w:r>
            <w:proofErr w:type="spellStart"/>
            <w:r w:rsidRPr="00FC4650">
              <w:t>T</w:t>
            </w:r>
            <w:r w:rsidRPr="00FC4650">
              <w:rPr>
                <w:vertAlign w:val="subscript"/>
              </w:rPr>
              <w:t>BWPswitchDelay</w:t>
            </w:r>
            <w:proofErr w:type="spellEnd"/>
            <w:r w:rsidRPr="00295B25">
              <w:t xml:space="preserve"> </w:t>
            </w:r>
            <w:r w:rsidRPr="004A168F">
              <w:t xml:space="preserve">+ </w:t>
            </w:r>
            <w:r w:rsidRPr="00FC4650">
              <w:t>Y shall follow the smaller SCS of scheduling cell, scheduled cells before and scheduled cells after active BWP change.</w:t>
            </w:r>
          </w:p>
          <w:p w:rsidR="00086874" w:rsidRPr="00086874" w:rsidRDefault="00086874" w:rsidP="004F344B">
            <w:pPr>
              <w:rPr>
                <w:rFonts w:eastAsiaTheme="minorEastAsia"/>
                <w:lang w:val="en-US" w:eastAsia="zh-CN"/>
              </w:rPr>
            </w:pPr>
          </w:p>
        </w:tc>
      </w:tr>
    </w:tbl>
    <w:p w:rsidR="00086874" w:rsidRDefault="00086874" w:rsidP="004F344B">
      <w:pPr>
        <w:rPr>
          <w:rFonts w:eastAsiaTheme="minorEastAsia"/>
          <w:lang w:val="en-US" w:eastAsia="zh-CN"/>
        </w:rPr>
      </w:pPr>
    </w:p>
    <w:p w:rsidR="00086874" w:rsidRDefault="00086874" w:rsidP="004F344B">
      <w:pPr>
        <w:rPr>
          <w:rFonts w:eastAsiaTheme="minorEastAsia"/>
          <w:lang w:val="en-US" w:eastAsia="zh-CN"/>
        </w:rPr>
      </w:pPr>
      <w:r>
        <w:rPr>
          <w:rFonts w:eastAsiaTheme="minorEastAsia"/>
          <w:lang w:val="en-US" w:eastAsia="zh-CN"/>
        </w:rPr>
        <w:t>F</w:t>
      </w:r>
      <w:r>
        <w:rPr>
          <w:rFonts w:eastAsiaTheme="minorEastAsia" w:hint="eastAsia"/>
          <w:lang w:val="en-US" w:eastAsia="zh-CN"/>
        </w:rPr>
        <w:t>or example</w:t>
      </w:r>
      <w:r>
        <w:rPr>
          <w:rFonts w:eastAsiaTheme="minorEastAsia"/>
          <w:lang w:val="en-US" w:eastAsia="zh-CN"/>
        </w:rPr>
        <w:t xml:space="preserve"> for type 1 UE</w:t>
      </w:r>
      <w:r>
        <w:rPr>
          <w:rFonts w:eastAsiaTheme="minorEastAsia" w:hint="eastAsia"/>
          <w:lang w:val="en-US" w:eastAsia="zh-CN"/>
        </w:rPr>
        <w:t xml:space="preserve">, </w:t>
      </w:r>
      <w:r>
        <w:rPr>
          <w:rFonts w:eastAsiaTheme="minorEastAsia"/>
          <w:lang w:val="en-US" w:eastAsia="zh-CN"/>
        </w:rPr>
        <w:t xml:space="preserve">when the SCS of the carrier where BWP switch occurs is 120 KHz, </w:t>
      </w:r>
      <w:r>
        <w:rPr>
          <w:rFonts w:eastAsiaTheme="minorEastAsia" w:hint="eastAsia"/>
          <w:lang w:val="en-US" w:eastAsia="zh-CN"/>
        </w:rPr>
        <w:t xml:space="preserve">the extended BWP switching delay is </w:t>
      </w:r>
      <w:r>
        <w:rPr>
          <w:rFonts w:eastAsiaTheme="minorEastAsia"/>
          <w:lang w:val="en-US" w:eastAsia="zh-CN"/>
        </w:rPr>
        <w:t>shown</w:t>
      </w:r>
      <w:r>
        <w:rPr>
          <w:rFonts w:eastAsiaTheme="minorEastAsia" w:hint="eastAsia"/>
          <w:lang w:val="en-US" w:eastAsia="zh-CN"/>
        </w:rPr>
        <w:t xml:space="preserve"> </w:t>
      </w:r>
      <w:r>
        <w:rPr>
          <w:rFonts w:eastAsiaTheme="minorEastAsia"/>
          <w:lang w:val="en-US" w:eastAsia="zh-CN"/>
        </w:rPr>
        <w:t>in the following table:</w:t>
      </w:r>
    </w:p>
    <w:p w:rsidR="00A63AF5" w:rsidRDefault="00A63AF5" w:rsidP="004F344B">
      <w:pPr>
        <w:rPr>
          <w:rFonts w:eastAsiaTheme="minorEastAsia"/>
          <w:lang w:val="en-US" w:eastAsia="zh-CN"/>
        </w:rPr>
      </w:pPr>
      <w:r>
        <w:rPr>
          <w:rFonts w:eastAsiaTheme="minorEastAsia"/>
          <w:lang w:val="en-US" w:eastAsia="zh-CN"/>
        </w:rPr>
        <w:t>Table I. Delay extension for cross carrier scheduling when the SCS of scheduled CC is 120 KHz</w:t>
      </w:r>
    </w:p>
    <w:tbl>
      <w:tblPr>
        <w:tblStyle w:val="TableGrid"/>
        <w:tblW w:w="0" w:type="auto"/>
        <w:tblLook w:val="04A0" w:firstRow="1" w:lastRow="0" w:firstColumn="1" w:lastColumn="0" w:noHBand="0" w:noVBand="1"/>
      </w:tblPr>
      <w:tblGrid>
        <w:gridCol w:w="1912"/>
        <w:gridCol w:w="1912"/>
        <w:gridCol w:w="1912"/>
        <w:gridCol w:w="1913"/>
      </w:tblGrid>
      <w:tr w:rsidR="006901CA" w:rsidTr="00086874">
        <w:tc>
          <w:tcPr>
            <w:tcW w:w="1912" w:type="dxa"/>
          </w:tcPr>
          <w:p w:rsidR="006901CA" w:rsidRPr="006901CA" w:rsidRDefault="006901CA" w:rsidP="004F344B">
            <w:pPr>
              <w:rPr>
                <w:rFonts w:eastAsiaTheme="minorEastAsia"/>
                <w:b/>
                <w:lang w:val="en-US" w:eastAsia="zh-CN"/>
              </w:rPr>
            </w:pPr>
            <w:r w:rsidRPr="006901CA">
              <w:rPr>
                <w:rFonts w:eastAsiaTheme="minorEastAsia" w:hint="eastAsia"/>
                <w:b/>
                <w:lang w:val="en-US" w:eastAsia="zh-CN"/>
              </w:rPr>
              <w:t>SCS of scheduling CC</w:t>
            </w:r>
          </w:p>
        </w:tc>
        <w:tc>
          <w:tcPr>
            <w:tcW w:w="1912" w:type="dxa"/>
          </w:tcPr>
          <w:p w:rsidR="006901CA" w:rsidRPr="006901CA" w:rsidRDefault="006901CA" w:rsidP="004F344B">
            <w:pPr>
              <w:rPr>
                <w:rFonts w:eastAsiaTheme="minorEastAsia"/>
                <w:b/>
                <w:lang w:val="en-US" w:eastAsia="zh-CN"/>
              </w:rPr>
            </w:pPr>
            <w:r w:rsidRPr="006901CA">
              <w:rPr>
                <w:rFonts w:eastAsiaTheme="minorEastAsia" w:hint="eastAsia"/>
                <w:b/>
                <w:lang w:val="en-US" w:eastAsia="zh-CN"/>
              </w:rPr>
              <w:t xml:space="preserve">BWP </w:t>
            </w:r>
            <w:r w:rsidRPr="006901CA">
              <w:rPr>
                <w:rFonts w:eastAsiaTheme="minorEastAsia"/>
                <w:b/>
                <w:lang w:val="en-US" w:eastAsia="zh-CN"/>
              </w:rPr>
              <w:t>switching</w:t>
            </w:r>
            <w:r w:rsidRPr="006901CA">
              <w:rPr>
                <w:rFonts w:eastAsiaTheme="minorEastAsia" w:hint="eastAsia"/>
                <w:b/>
                <w:lang w:val="en-US" w:eastAsia="zh-CN"/>
              </w:rPr>
              <w:t xml:space="preserve"> </w:t>
            </w:r>
            <w:r w:rsidRPr="006901CA">
              <w:rPr>
                <w:rFonts w:eastAsiaTheme="minorEastAsia"/>
                <w:b/>
                <w:lang w:val="en-US" w:eastAsia="zh-CN"/>
              </w:rPr>
              <w:t xml:space="preserve">delay on single CC </w:t>
            </w:r>
            <w:r w:rsidRPr="006901CA">
              <w:rPr>
                <w:rFonts w:eastAsiaTheme="minorEastAsia"/>
                <w:b/>
                <w:lang w:val="en-US" w:eastAsia="zh-CN"/>
              </w:rPr>
              <w:lastRenderedPageBreak/>
              <w:t>(in slots of 120 KHz)</w:t>
            </w:r>
          </w:p>
        </w:tc>
        <w:tc>
          <w:tcPr>
            <w:tcW w:w="1912" w:type="dxa"/>
          </w:tcPr>
          <w:p w:rsidR="006901CA" w:rsidRPr="006901CA" w:rsidRDefault="006901CA" w:rsidP="004F344B">
            <w:pPr>
              <w:rPr>
                <w:rFonts w:eastAsiaTheme="minorEastAsia"/>
                <w:b/>
                <w:lang w:val="en-US" w:eastAsia="zh-CN"/>
              </w:rPr>
            </w:pPr>
            <w:r w:rsidRPr="006901CA">
              <w:rPr>
                <w:rFonts w:eastAsiaTheme="minorEastAsia"/>
                <w:b/>
                <w:lang w:val="en-US" w:eastAsia="zh-CN"/>
              </w:rPr>
              <w:lastRenderedPageBreak/>
              <w:t>Y (in slots of 120 KHz)</w:t>
            </w:r>
          </w:p>
        </w:tc>
        <w:tc>
          <w:tcPr>
            <w:tcW w:w="1913" w:type="dxa"/>
          </w:tcPr>
          <w:p w:rsidR="006901CA" w:rsidRPr="006901CA" w:rsidRDefault="006901CA" w:rsidP="00086874">
            <w:pPr>
              <w:rPr>
                <w:rFonts w:eastAsiaTheme="minorEastAsia"/>
                <w:b/>
                <w:lang w:val="en-US" w:eastAsia="zh-CN"/>
              </w:rPr>
            </w:pPr>
            <w:r w:rsidRPr="006901CA">
              <w:rPr>
                <w:rFonts w:eastAsiaTheme="minorEastAsia"/>
                <w:b/>
                <w:lang w:val="en-US" w:eastAsia="zh-CN"/>
              </w:rPr>
              <w:t>P</w:t>
            </w:r>
            <w:r w:rsidRPr="006901CA">
              <w:rPr>
                <w:rFonts w:eastAsiaTheme="minorEastAsia" w:hint="eastAsia"/>
                <w:b/>
                <w:lang w:val="en-US" w:eastAsia="zh-CN"/>
              </w:rPr>
              <w:t xml:space="preserve">ercentage </w:t>
            </w:r>
            <w:r w:rsidRPr="006901CA">
              <w:rPr>
                <w:rFonts w:eastAsiaTheme="minorEastAsia"/>
                <w:b/>
                <w:lang w:val="en-US" w:eastAsia="zh-CN"/>
              </w:rPr>
              <w:t>of delay extension</w:t>
            </w:r>
          </w:p>
        </w:tc>
      </w:tr>
      <w:tr w:rsidR="006901CA" w:rsidTr="00086874">
        <w:tc>
          <w:tcPr>
            <w:tcW w:w="1912" w:type="dxa"/>
          </w:tcPr>
          <w:p w:rsidR="006901CA" w:rsidRDefault="006901CA" w:rsidP="004F344B">
            <w:pPr>
              <w:rPr>
                <w:rFonts w:eastAsiaTheme="minorEastAsia"/>
                <w:lang w:val="en-US" w:eastAsia="zh-CN"/>
              </w:rPr>
            </w:pPr>
            <w:r>
              <w:rPr>
                <w:rFonts w:eastAsiaTheme="minorEastAsia" w:hint="eastAsia"/>
                <w:lang w:val="en-US" w:eastAsia="zh-CN"/>
              </w:rPr>
              <w:t>15 KHz</w:t>
            </w:r>
          </w:p>
        </w:tc>
        <w:tc>
          <w:tcPr>
            <w:tcW w:w="1912" w:type="dxa"/>
          </w:tcPr>
          <w:p w:rsidR="006901CA" w:rsidRDefault="006901CA" w:rsidP="004F344B">
            <w:pPr>
              <w:rPr>
                <w:rFonts w:eastAsiaTheme="minorEastAsia"/>
                <w:lang w:val="en-US" w:eastAsia="zh-CN"/>
              </w:rPr>
            </w:pPr>
            <w:r>
              <w:rPr>
                <w:rFonts w:eastAsiaTheme="minorEastAsia" w:hint="eastAsia"/>
                <w:lang w:val="en-US" w:eastAsia="zh-CN"/>
              </w:rPr>
              <w:t>6</w:t>
            </w:r>
          </w:p>
        </w:tc>
        <w:tc>
          <w:tcPr>
            <w:tcW w:w="1912" w:type="dxa"/>
          </w:tcPr>
          <w:p w:rsidR="006901CA" w:rsidRDefault="006901CA" w:rsidP="004F344B">
            <w:pPr>
              <w:rPr>
                <w:rFonts w:eastAsiaTheme="minorEastAsia"/>
                <w:lang w:val="en-US" w:eastAsia="zh-CN"/>
              </w:rPr>
            </w:pPr>
            <w:r>
              <w:rPr>
                <w:rFonts w:eastAsiaTheme="minorEastAsia" w:hint="eastAsia"/>
                <w:lang w:val="en-US" w:eastAsia="zh-CN"/>
              </w:rPr>
              <w:t>8</w:t>
            </w:r>
          </w:p>
        </w:tc>
        <w:tc>
          <w:tcPr>
            <w:tcW w:w="1913" w:type="dxa"/>
          </w:tcPr>
          <w:p w:rsidR="006901CA" w:rsidRDefault="006901CA" w:rsidP="004F344B">
            <w:pPr>
              <w:rPr>
                <w:rFonts w:eastAsiaTheme="minorEastAsia"/>
                <w:lang w:val="en-US" w:eastAsia="zh-CN"/>
              </w:rPr>
            </w:pPr>
            <w:r>
              <w:rPr>
                <w:rFonts w:eastAsiaTheme="minorEastAsia" w:hint="eastAsia"/>
                <w:lang w:val="en-US" w:eastAsia="zh-CN"/>
              </w:rPr>
              <w:t>57%</w:t>
            </w:r>
          </w:p>
        </w:tc>
      </w:tr>
      <w:tr w:rsidR="006901CA" w:rsidTr="00086874">
        <w:tc>
          <w:tcPr>
            <w:tcW w:w="1912" w:type="dxa"/>
          </w:tcPr>
          <w:p w:rsidR="006901CA" w:rsidRDefault="006901CA" w:rsidP="004F344B">
            <w:pPr>
              <w:rPr>
                <w:rFonts w:eastAsiaTheme="minorEastAsia"/>
                <w:lang w:val="en-US" w:eastAsia="zh-CN"/>
              </w:rPr>
            </w:pPr>
            <w:r>
              <w:rPr>
                <w:rFonts w:eastAsiaTheme="minorEastAsia" w:hint="eastAsia"/>
                <w:lang w:val="en-US" w:eastAsia="zh-CN"/>
              </w:rPr>
              <w:t>30 KHz</w:t>
            </w:r>
          </w:p>
        </w:tc>
        <w:tc>
          <w:tcPr>
            <w:tcW w:w="1912" w:type="dxa"/>
          </w:tcPr>
          <w:p w:rsidR="006901CA" w:rsidRDefault="006901CA" w:rsidP="004F344B">
            <w:pPr>
              <w:rPr>
                <w:rFonts w:eastAsiaTheme="minorEastAsia"/>
                <w:lang w:val="en-US" w:eastAsia="zh-CN"/>
              </w:rPr>
            </w:pPr>
            <w:r>
              <w:rPr>
                <w:rFonts w:eastAsiaTheme="minorEastAsia" w:hint="eastAsia"/>
                <w:lang w:val="en-US" w:eastAsia="zh-CN"/>
              </w:rPr>
              <w:t>6</w:t>
            </w:r>
          </w:p>
        </w:tc>
        <w:tc>
          <w:tcPr>
            <w:tcW w:w="1912" w:type="dxa"/>
          </w:tcPr>
          <w:p w:rsidR="006901CA" w:rsidRDefault="006901CA" w:rsidP="004F344B">
            <w:pPr>
              <w:rPr>
                <w:rFonts w:eastAsiaTheme="minorEastAsia"/>
                <w:lang w:val="en-US" w:eastAsia="zh-CN"/>
              </w:rPr>
            </w:pPr>
            <w:r>
              <w:rPr>
                <w:rFonts w:eastAsiaTheme="minorEastAsia" w:hint="eastAsia"/>
                <w:lang w:val="en-US" w:eastAsia="zh-CN"/>
              </w:rPr>
              <w:t>4</w:t>
            </w:r>
          </w:p>
        </w:tc>
        <w:tc>
          <w:tcPr>
            <w:tcW w:w="1913" w:type="dxa"/>
          </w:tcPr>
          <w:p w:rsidR="006901CA" w:rsidRDefault="006901CA" w:rsidP="004F344B">
            <w:pPr>
              <w:rPr>
                <w:rFonts w:eastAsiaTheme="minorEastAsia"/>
                <w:lang w:val="en-US" w:eastAsia="zh-CN"/>
              </w:rPr>
            </w:pPr>
            <w:r>
              <w:rPr>
                <w:rFonts w:eastAsiaTheme="minorEastAsia" w:hint="eastAsia"/>
                <w:lang w:val="en-US" w:eastAsia="zh-CN"/>
              </w:rPr>
              <w:t>40%</w:t>
            </w:r>
          </w:p>
        </w:tc>
      </w:tr>
      <w:tr w:rsidR="006901CA" w:rsidTr="00086874">
        <w:tc>
          <w:tcPr>
            <w:tcW w:w="1912" w:type="dxa"/>
          </w:tcPr>
          <w:p w:rsidR="006901CA" w:rsidRDefault="006901CA" w:rsidP="004F344B">
            <w:pPr>
              <w:rPr>
                <w:rFonts w:eastAsiaTheme="minorEastAsia"/>
                <w:lang w:val="en-US" w:eastAsia="zh-CN"/>
              </w:rPr>
            </w:pPr>
            <w:r>
              <w:rPr>
                <w:rFonts w:eastAsiaTheme="minorEastAsia" w:hint="eastAsia"/>
                <w:lang w:val="en-US" w:eastAsia="zh-CN"/>
              </w:rPr>
              <w:t>60 KHz</w:t>
            </w:r>
          </w:p>
        </w:tc>
        <w:tc>
          <w:tcPr>
            <w:tcW w:w="1912" w:type="dxa"/>
          </w:tcPr>
          <w:p w:rsidR="006901CA" w:rsidRDefault="006901CA" w:rsidP="004F344B">
            <w:pPr>
              <w:rPr>
                <w:rFonts w:eastAsiaTheme="minorEastAsia"/>
                <w:lang w:val="en-US" w:eastAsia="zh-CN"/>
              </w:rPr>
            </w:pPr>
            <w:r>
              <w:rPr>
                <w:rFonts w:eastAsiaTheme="minorEastAsia" w:hint="eastAsia"/>
                <w:lang w:val="en-US" w:eastAsia="zh-CN"/>
              </w:rPr>
              <w:t>6</w:t>
            </w:r>
          </w:p>
        </w:tc>
        <w:tc>
          <w:tcPr>
            <w:tcW w:w="1912" w:type="dxa"/>
          </w:tcPr>
          <w:p w:rsidR="006901CA" w:rsidRDefault="006901CA" w:rsidP="004F344B">
            <w:pPr>
              <w:rPr>
                <w:rFonts w:eastAsiaTheme="minorEastAsia"/>
                <w:lang w:val="en-US" w:eastAsia="zh-CN"/>
              </w:rPr>
            </w:pPr>
            <w:r>
              <w:rPr>
                <w:rFonts w:eastAsiaTheme="minorEastAsia" w:hint="eastAsia"/>
                <w:lang w:val="en-US" w:eastAsia="zh-CN"/>
              </w:rPr>
              <w:t>2</w:t>
            </w:r>
          </w:p>
        </w:tc>
        <w:tc>
          <w:tcPr>
            <w:tcW w:w="1913" w:type="dxa"/>
          </w:tcPr>
          <w:p w:rsidR="006901CA" w:rsidRDefault="006901CA" w:rsidP="004F344B">
            <w:pPr>
              <w:rPr>
                <w:rFonts w:eastAsiaTheme="minorEastAsia"/>
                <w:lang w:val="en-US" w:eastAsia="zh-CN"/>
              </w:rPr>
            </w:pPr>
            <w:r>
              <w:rPr>
                <w:rFonts w:eastAsiaTheme="minorEastAsia" w:hint="eastAsia"/>
                <w:lang w:val="en-US" w:eastAsia="zh-CN"/>
              </w:rPr>
              <w:t>25%</w:t>
            </w:r>
          </w:p>
        </w:tc>
      </w:tr>
      <w:tr w:rsidR="006901CA" w:rsidTr="00086874">
        <w:tc>
          <w:tcPr>
            <w:tcW w:w="1912" w:type="dxa"/>
          </w:tcPr>
          <w:p w:rsidR="006901CA" w:rsidRDefault="006901CA" w:rsidP="004F344B">
            <w:pPr>
              <w:rPr>
                <w:rFonts w:eastAsiaTheme="minorEastAsia"/>
                <w:lang w:val="en-US" w:eastAsia="zh-CN"/>
              </w:rPr>
            </w:pPr>
            <w:r>
              <w:rPr>
                <w:rFonts w:eastAsiaTheme="minorEastAsia" w:hint="eastAsia"/>
                <w:lang w:val="en-US" w:eastAsia="zh-CN"/>
              </w:rPr>
              <w:t>120 KHz</w:t>
            </w:r>
          </w:p>
        </w:tc>
        <w:tc>
          <w:tcPr>
            <w:tcW w:w="1912" w:type="dxa"/>
          </w:tcPr>
          <w:p w:rsidR="006901CA" w:rsidRDefault="006901CA" w:rsidP="004F344B">
            <w:pPr>
              <w:rPr>
                <w:rFonts w:eastAsiaTheme="minorEastAsia"/>
                <w:lang w:val="en-US" w:eastAsia="zh-CN"/>
              </w:rPr>
            </w:pPr>
            <w:r>
              <w:rPr>
                <w:rFonts w:eastAsiaTheme="minorEastAsia" w:hint="eastAsia"/>
                <w:lang w:val="en-US" w:eastAsia="zh-CN"/>
              </w:rPr>
              <w:t>6</w:t>
            </w:r>
          </w:p>
        </w:tc>
        <w:tc>
          <w:tcPr>
            <w:tcW w:w="1912" w:type="dxa"/>
          </w:tcPr>
          <w:p w:rsidR="006901CA" w:rsidRDefault="006901CA" w:rsidP="004F344B">
            <w:pPr>
              <w:rPr>
                <w:rFonts w:eastAsiaTheme="minorEastAsia"/>
                <w:lang w:val="en-US" w:eastAsia="zh-CN"/>
              </w:rPr>
            </w:pPr>
            <w:r>
              <w:rPr>
                <w:rFonts w:eastAsiaTheme="minorEastAsia"/>
                <w:lang w:val="en-US" w:eastAsia="zh-CN"/>
              </w:rPr>
              <w:t>1</w:t>
            </w:r>
          </w:p>
        </w:tc>
        <w:tc>
          <w:tcPr>
            <w:tcW w:w="1913" w:type="dxa"/>
          </w:tcPr>
          <w:p w:rsidR="006901CA" w:rsidRDefault="006901CA" w:rsidP="004F344B">
            <w:pPr>
              <w:rPr>
                <w:rFonts w:eastAsiaTheme="minorEastAsia"/>
                <w:lang w:val="en-US" w:eastAsia="zh-CN"/>
              </w:rPr>
            </w:pPr>
            <w:r>
              <w:rPr>
                <w:rFonts w:eastAsiaTheme="minorEastAsia" w:hint="eastAsia"/>
                <w:lang w:val="en-US" w:eastAsia="zh-CN"/>
              </w:rPr>
              <w:t>14.3%</w:t>
            </w:r>
          </w:p>
        </w:tc>
      </w:tr>
    </w:tbl>
    <w:p w:rsidR="00086874" w:rsidRDefault="00086874" w:rsidP="004F344B">
      <w:pPr>
        <w:rPr>
          <w:rFonts w:eastAsiaTheme="minorEastAsia"/>
          <w:lang w:val="en-US" w:eastAsia="zh-CN"/>
        </w:rPr>
      </w:pPr>
    </w:p>
    <w:p w:rsidR="00A63AF5" w:rsidRDefault="00A63AF5" w:rsidP="004F344B">
      <w:pPr>
        <w:rPr>
          <w:rFonts w:eastAsiaTheme="minorEastAsia"/>
          <w:lang w:val="en-US" w:eastAsia="zh-CN"/>
        </w:rPr>
      </w:pPr>
      <w:r>
        <w:rPr>
          <w:rFonts w:eastAsiaTheme="minorEastAsia" w:hint="eastAsia"/>
          <w:lang w:val="en-US" w:eastAsia="zh-CN"/>
        </w:rPr>
        <w:t xml:space="preserve">When RAN4 discussing the relaxation of delay requirements for BWP switching involving cross carrier scheduling, the MRTD, inter-CC </w:t>
      </w:r>
      <w:r>
        <w:rPr>
          <w:rFonts w:eastAsiaTheme="minorEastAsia"/>
          <w:lang w:val="en-US" w:eastAsia="zh-CN"/>
        </w:rPr>
        <w:t>scheduling</w:t>
      </w:r>
      <w:r>
        <w:rPr>
          <w:rFonts w:eastAsiaTheme="minorEastAsia" w:hint="eastAsia"/>
          <w:lang w:val="en-US" w:eastAsia="zh-CN"/>
        </w:rPr>
        <w:t xml:space="preserve"> </w:t>
      </w:r>
      <w:r>
        <w:rPr>
          <w:rFonts w:eastAsiaTheme="minorEastAsia"/>
          <w:lang w:val="en-US" w:eastAsia="zh-CN"/>
        </w:rPr>
        <w:t>and PDCCH decoding were considered. If the current requirement apply directly without updating for operation with 480/960 KHz, we take the worst case for example when the SCS of scheduled CC is 960 KHz and the SCS of scheduling CC is 480 KHz and 960 KHz, then extended BWP switching delay for type 1 UE are shown in the following table:</w:t>
      </w:r>
    </w:p>
    <w:p w:rsidR="00A63AF5" w:rsidRPr="00A63AF5" w:rsidRDefault="00A63AF5" w:rsidP="004F344B">
      <w:pPr>
        <w:rPr>
          <w:rFonts w:eastAsiaTheme="minorEastAsia"/>
          <w:lang w:val="en-US" w:eastAsia="zh-CN"/>
        </w:rPr>
      </w:pPr>
      <w:r>
        <w:rPr>
          <w:rFonts w:eastAsiaTheme="minorEastAsia"/>
          <w:lang w:val="en-US" w:eastAsia="zh-CN"/>
        </w:rPr>
        <w:t>Table II. Delay extension for cross carrier scheduling when the SCS of scheduled CC is 960 KHz</w:t>
      </w:r>
    </w:p>
    <w:tbl>
      <w:tblPr>
        <w:tblStyle w:val="TableGrid"/>
        <w:tblW w:w="0" w:type="auto"/>
        <w:tblLook w:val="04A0" w:firstRow="1" w:lastRow="0" w:firstColumn="1" w:lastColumn="0" w:noHBand="0" w:noVBand="1"/>
      </w:tblPr>
      <w:tblGrid>
        <w:gridCol w:w="1912"/>
        <w:gridCol w:w="1912"/>
        <w:gridCol w:w="1912"/>
        <w:gridCol w:w="1913"/>
      </w:tblGrid>
      <w:tr w:rsidR="00A63AF5" w:rsidTr="001C5480">
        <w:tc>
          <w:tcPr>
            <w:tcW w:w="1912" w:type="dxa"/>
          </w:tcPr>
          <w:p w:rsidR="00A63AF5" w:rsidRPr="006901CA" w:rsidRDefault="00A63AF5" w:rsidP="001C5480">
            <w:pPr>
              <w:rPr>
                <w:rFonts w:eastAsiaTheme="minorEastAsia"/>
                <w:b/>
                <w:lang w:val="en-US" w:eastAsia="zh-CN"/>
              </w:rPr>
            </w:pPr>
            <w:r w:rsidRPr="006901CA">
              <w:rPr>
                <w:rFonts w:eastAsiaTheme="minorEastAsia" w:hint="eastAsia"/>
                <w:b/>
                <w:lang w:val="en-US" w:eastAsia="zh-CN"/>
              </w:rPr>
              <w:t>SCS of scheduling CC</w:t>
            </w:r>
          </w:p>
        </w:tc>
        <w:tc>
          <w:tcPr>
            <w:tcW w:w="1912" w:type="dxa"/>
          </w:tcPr>
          <w:p w:rsidR="00A63AF5" w:rsidRPr="006901CA" w:rsidRDefault="00A63AF5" w:rsidP="00A63AF5">
            <w:pPr>
              <w:rPr>
                <w:rFonts w:eastAsiaTheme="minorEastAsia"/>
                <w:b/>
                <w:lang w:val="en-US" w:eastAsia="zh-CN"/>
              </w:rPr>
            </w:pPr>
            <w:r w:rsidRPr="006901CA">
              <w:rPr>
                <w:rFonts w:eastAsiaTheme="minorEastAsia" w:hint="eastAsia"/>
                <w:b/>
                <w:lang w:val="en-US" w:eastAsia="zh-CN"/>
              </w:rPr>
              <w:t xml:space="preserve">BWP </w:t>
            </w:r>
            <w:r w:rsidRPr="006901CA">
              <w:rPr>
                <w:rFonts w:eastAsiaTheme="minorEastAsia"/>
                <w:b/>
                <w:lang w:val="en-US" w:eastAsia="zh-CN"/>
              </w:rPr>
              <w:t>switching</w:t>
            </w:r>
            <w:r w:rsidRPr="006901CA">
              <w:rPr>
                <w:rFonts w:eastAsiaTheme="minorEastAsia" w:hint="eastAsia"/>
                <w:b/>
                <w:lang w:val="en-US" w:eastAsia="zh-CN"/>
              </w:rPr>
              <w:t xml:space="preserve"> </w:t>
            </w:r>
            <w:r w:rsidRPr="006901CA">
              <w:rPr>
                <w:rFonts w:eastAsiaTheme="minorEastAsia"/>
                <w:b/>
                <w:lang w:val="en-US" w:eastAsia="zh-CN"/>
              </w:rPr>
              <w:t xml:space="preserve">delay on single CC (in slots of </w:t>
            </w:r>
            <w:r>
              <w:rPr>
                <w:rFonts w:eastAsiaTheme="minorEastAsia"/>
                <w:b/>
                <w:lang w:val="en-US" w:eastAsia="zh-CN"/>
              </w:rPr>
              <w:t>960</w:t>
            </w:r>
            <w:r w:rsidRPr="006901CA">
              <w:rPr>
                <w:rFonts w:eastAsiaTheme="minorEastAsia"/>
                <w:b/>
                <w:lang w:val="en-US" w:eastAsia="zh-CN"/>
              </w:rPr>
              <w:t xml:space="preserve"> KHz)</w:t>
            </w:r>
          </w:p>
        </w:tc>
        <w:tc>
          <w:tcPr>
            <w:tcW w:w="1912" w:type="dxa"/>
          </w:tcPr>
          <w:p w:rsidR="00A63AF5" w:rsidRPr="006901CA" w:rsidRDefault="00A63AF5" w:rsidP="00A63AF5">
            <w:pPr>
              <w:rPr>
                <w:rFonts w:eastAsiaTheme="minorEastAsia"/>
                <w:b/>
                <w:lang w:val="en-US" w:eastAsia="zh-CN"/>
              </w:rPr>
            </w:pPr>
            <w:r w:rsidRPr="006901CA">
              <w:rPr>
                <w:rFonts w:eastAsiaTheme="minorEastAsia"/>
                <w:b/>
                <w:lang w:val="en-US" w:eastAsia="zh-CN"/>
              </w:rPr>
              <w:t xml:space="preserve">Y (in slots of </w:t>
            </w:r>
            <w:r>
              <w:rPr>
                <w:rFonts w:eastAsiaTheme="minorEastAsia"/>
                <w:b/>
                <w:lang w:val="en-US" w:eastAsia="zh-CN"/>
              </w:rPr>
              <w:t>960</w:t>
            </w:r>
            <w:r w:rsidRPr="006901CA">
              <w:rPr>
                <w:rFonts w:eastAsiaTheme="minorEastAsia"/>
                <w:b/>
                <w:lang w:val="en-US" w:eastAsia="zh-CN"/>
              </w:rPr>
              <w:t xml:space="preserve"> KHz)</w:t>
            </w:r>
          </w:p>
        </w:tc>
        <w:tc>
          <w:tcPr>
            <w:tcW w:w="1913" w:type="dxa"/>
          </w:tcPr>
          <w:p w:rsidR="00A63AF5" w:rsidRPr="006901CA" w:rsidRDefault="00A63AF5" w:rsidP="001C5480">
            <w:pPr>
              <w:rPr>
                <w:rFonts w:eastAsiaTheme="minorEastAsia"/>
                <w:b/>
                <w:lang w:val="en-US" w:eastAsia="zh-CN"/>
              </w:rPr>
            </w:pPr>
            <w:r w:rsidRPr="006901CA">
              <w:rPr>
                <w:rFonts w:eastAsiaTheme="minorEastAsia"/>
                <w:b/>
                <w:lang w:val="en-US" w:eastAsia="zh-CN"/>
              </w:rPr>
              <w:t>P</w:t>
            </w:r>
            <w:r w:rsidRPr="006901CA">
              <w:rPr>
                <w:rFonts w:eastAsiaTheme="minorEastAsia" w:hint="eastAsia"/>
                <w:b/>
                <w:lang w:val="en-US" w:eastAsia="zh-CN"/>
              </w:rPr>
              <w:t xml:space="preserve">ercentage </w:t>
            </w:r>
            <w:r w:rsidRPr="006901CA">
              <w:rPr>
                <w:rFonts w:eastAsiaTheme="minorEastAsia"/>
                <w:b/>
                <w:lang w:val="en-US" w:eastAsia="zh-CN"/>
              </w:rPr>
              <w:t>of delay extension</w:t>
            </w:r>
          </w:p>
        </w:tc>
      </w:tr>
      <w:tr w:rsidR="00A63AF5" w:rsidTr="001C5480">
        <w:tc>
          <w:tcPr>
            <w:tcW w:w="1912" w:type="dxa"/>
          </w:tcPr>
          <w:p w:rsidR="00A63AF5" w:rsidRDefault="00A63AF5" w:rsidP="001C5480">
            <w:pPr>
              <w:rPr>
                <w:rFonts w:eastAsiaTheme="minorEastAsia"/>
                <w:lang w:val="en-US" w:eastAsia="zh-CN"/>
              </w:rPr>
            </w:pPr>
            <w:r>
              <w:rPr>
                <w:rFonts w:eastAsiaTheme="minorEastAsia"/>
                <w:lang w:val="en-US" w:eastAsia="zh-CN"/>
              </w:rPr>
              <w:t>480</w:t>
            </w:r>
            <w:r>
              <w:rPr>
                <w:rFonts w:eastAsiaTheme="minorEastAsia" w:hint="eastAsia"/>
                <w:lang w:val="en-US" w:eastAsia="zh-CN"/>
              </w:rPr>
              <w:t xml:space="preserve"> KHz</w:t>
            </w:r>
          </w:p>
        </w:tc>
        <w:tc>
          <w:tcPr>
            <w:tcW w:w="1912" w:type="dxa"/>
          </w:tcPr>
          <w:p w:rsidR="00A63AF5" w:rsidRDefault="00A63AF5" w:rsidP="001C5480">
            <w:pPr>
              <w:rPr>
                <w:rFonts w:eastAsiaTheme="minorEastAsia"/>
                <w:lang w:val="en-US" w:eastAsia="zh-CN"/>
              </w:rPr>
            </w:pPr>
            <w:r>
              <w:rPr>
                <w:rFonts w:eastAsiaTheme="minorEastAsia"/>
                <w:lang w:val="en-US" w:eastAsia="zh-CN"/>
              </w:rPr>
              <w:t>[39]</w:t>
            </w:r>
          </w:p>
        </w:tc>
        <w:tc>
          <w:tcPr>
            <w:tcW w:w="1912" w:type="dxa"/>
          </w:tcPr>
          <w:p w:rsidR="00A63AF5" w:rsidRDefault="00A63AF5" w:rsidP="001C5480">
            <w:pPr>
              <w:rPr>
                <w:rFonts w:eastAsiaTheme="minorEastAsia"/>
                <w:lang w:val="en-US" w:eastAsia="zh-CN"/>
              </w:rPr>
            </w:pPr>
            <w:r>
              <w:rPr>
                <w:rFonts w:eastAsiaTheme="minorEastAsia"/>
                <w:lang w:val="en-US" w:eastAsia="zh-CN"/>
              </w:rPr>
              <w:t>2</w:t>
            </w:r>
          </w:p>
        </w:tc>
        <w:tc>
          <w:tcPr>
            <w:tcW w:w="1913" w:type="dxa"/>
          </w:tcPr>
          <w:p w:rsidR="00A63AF5" w:rsidRDefault="00A63AF5" w:rsidP="001C5480">
            <w:pPr>
              <w:rPr>
                <w:rFonts w:eastAsiaTheme="minorEastAsia"/>
                <w:lang w:val="en-US" w:eastAsia="zh-CN"/>
              </w:rPr>
            </w:pPr>
            <w:r>
              <w:rPr>
                <w:rFonts w:eastAsiaTheme="minorEastAsia"/>
                <w:lang w:val="en-US" w:eastAsia="zh-CN"/>
              </w:rPr>
              <w:t>4.9%</w:t>
            </w:r>
          </w:p>
        </w:tc>
      </w:tr>
      <w:tr w:rsidR="00A63AF5" w:rsidTr="001C5480">
        <w:tc>
          <w:tcPr>
            <w:tcW w:w="1912" w:type="dxa"/>
          </w:tcPr>
          <w:p w:rsidR="00A63AF5" w:rsidRDefault="00A63AF5" w:rsidP="001C5480">
            <w:pPr>
              <w:rPr>
                <w:rFonts w:eastAsiaTheme="minorEastAsia"/>
                <w:lang w:val="en-US" w:eastAsia="zh-CN"/>
              </w:rPr>
            </w:pPr>
            <w:r>
              <w:rPr>
                <w:rFonts w:eastAsiaTheme="minorEastAsia"/>
                <w:lang w:val="en-US" w:eastAsia="zh-CN"/>
              </w:rPr>
              <w:t>960</w:t>
            </w:r>
            <w:r>
              <w:rPr>
                <w:rFonts w:eastAsiaTheme="minorEastAsia" w:hint="eastAsia"/>
                <w:lang w:val="en-US" w:eastAsia="zh-CN"/>
              </w:rPr>
              <w:t xml:space="preserve"> KHz</w:t>
            </w:r>
          </w:p>
        </w:tc>
        <w:tc>
          <w:tcPr>
            <w:tcW w:w="1912" w:type="dxa"/>
          </w:tcPr>
          <w:p w:rsidR="00A63AF5" w:rsidRDefault="00A63AF5" w:rsidP="001C5480">
            <w:pPr>
              <w:rPr>
                <w:rFonts w:eastAsiaTheme="minorEastAsia"/>
                <w:lang w:val="en-US" w:eastAsia="zh-CN"/>
              </w:rPr>
            </w:pPr>
            <w:r>
              <w:rPr>
                <w:rFonts w:eastAsiaTheme="minorEastAsia" w:hint="eastAsia"/>
                <w:lang w:val="en-US" w:eastAsia="zh-CN"/>
              </w:rPr>
              <w:t>[</w:t>
            </w:r>
            <w:r>
              <w:rPr>
                <w:rFonts w:eastAsiaTheme="minorEastAsia"/>
                <w:lang w:val="en-US" w:eastAsia="zh-CN"/>
              </w:rPr>
              <w:t>39</w:t>
            </w:r>
            <w:r>
              <w:rPr>
                <w:rFonts w:eastAsiaTheme="minorEastAsia" w:hint="eastAsia"/>
                <w:lang w:val="en-US" w:eastAsia="zh-CN"/>
              </w:rPr>
              <w:t>]</w:t>
            </w:r>
          </w:p>
        </w:tc>
        <w:tc>
          <w:tcPr>
            <w:tcW w:w="1912" w:type="dxa"/>
          </w:tcPr>
          <w:p w:rsidR="00A63AF5" w:rsidRDefault="00A63AF5" w:rsidP="001C5480">
            <w:pPr>
              <w:rPr>
                <w:rFonts w:eastAsiaTheme="minorEastAsia"/>
                <w:lang w:val="en-US" w:eastAsia="zh-CN"/>
              </w:rPr>
            </w:pPr>
            <w:r>
              <w:rPr>
                <w:rFonts w:eastAsiaTheme="minorEastAsia"/>
                <w:lang w:val="en-US" w:eastAsia="zh-CN"/>
              </w:rPr>
              <w:t>1</w:t>
            </w:r>
          </w:p>
        </w:tc>
        <w:tc>
          <w:tcPr>
            <w:tcW w:w="1913" w:type="dxa"/>
          </w:tcPr>
          <w:p w:rsidR="00A63AF5" w:rsidRDefault="00A63AF5" w:rsidP="001C5480">
            <w:pPr>
              <w:rPr>
                <w:rFonts w:eastAsiaTheme="minorEastAsia"/>
                <w:lang w:val="en-US" w:eastAsia="zh-CN"/>
              </w:rPr>
            </w:pPr>
            <w:r>
              <w:rPr>
                <w:rFonts w:eastAsiaTheme="minorEastAsia"/>
                <w:lang w:val="en-US" w:eastAsia="zh-CN"/>
              </w:rPr>
              <w:t>2.5%</w:t>
            </w:r>
          </w:p>
        </w:tc>
      </w:tr>
    </w:tbl>
    <w:p w:rsidR="00A63AF5" w:rsidRDefault="00A63AF5" w:rsidP="004F344B">
      <w:pPr>
        <w:rPr>
          <w:rFonts w:eastAsiaTheme="minorEastAsia"/>
          <w:lang w:val="en-US" w:eastAsia="zh-CN"/>
        </w:rPr>
      </w:pPr>
    </w:p>
    <w:p w:rsidR="0065634B" w:rsidRDefault="0065634B" w:rsidP="004F344B">
      <w:pPr>
        <w:rPr>
          <w:rFonts w:eastAsiaTheme="minorEastAsia"/>
          <w:lang w:val="en-US" w:eastAsia="zh-CN"/>
        </w:rPr>
      </w:pPr>
      <w:r>
        <w:rPr>
          <w:rFonts w:eastAsiaTheme="minorEastAsia" w:hint="eastAsia"/>
          <w:lang w:val="en-US" w:eastAsia="zh-CN"/>
        </w:rPr>
        <w:t xml:space="preserve">It could be observed </w:t>
      </w:r>
      <w:r>
        <w:rPr>
          <w:rFonts w:eastAsiaTheme="minorEastAsia"/>
          <w:lang w:val="en-US" w:eastAsia="zh-CN"/>
        </w:rPr>
        <w:t>that</w:t>
      </w:r>
      <w:r>
        <w:rPr>
          <w:rFonts w:eastAsiaTheme="minorEastAsia" w:hint="eastAsia"/>
          <w:lang w:val="en-US" w:eastAsia="zh-CN"/>
        </w:rPr>
        <w:t xml:space="preserve"> </w:t>
      </w:r>
      <w:r>
        <w:rPr>
          <w:rFonts w:eastAsiaTheme="minorEastAsia"/>
          <w:lang w:val="en-US" w:eastAsia="zh-CN"/>
        </w:rPr>
        <w:t>for the worst case, the delay extension is very limited compared with legacy requirements. It means the time for the procedures of the cross carrier scheduling shall be shrunk in proportion with higher SCS. However, it is conflict with the assumption agreed in the last meeting that the BWP switching delay on single CC is based on the same absolute time as legacy requirements (600/2000us). The delay extension for cross carrier scheduling BWP switching for operation in FR2-2 should be reconsidered.</w:t>
      </w:r>
    </w:p>
    <w:p w:rsidR="0065634B" w:rsidRPr="00BD0D7C" w:rsidRDefault="0065634B" w:rsidP="004F344B">
      <w:pPr>
        <w:rPr>
          <w:rFonts w:eastAsiaTheme="minorEastAsia"/>
          <w:b/>
          <w:lang w:val="en-US" w:eastAsia="zh-CN"/>
        </w:rPr>
      </w:pPr>
      <w:r w:rsidRPr="00BD0D7C">
        <w:rPr>
          <w:rFonts w:eastAsiaTheme="minorEastAsia"/>
          <w:b/>
          <w:lang w:val="en-US" w:eastAsia="zh-CN"/>
        </w:rPr>
        <w:t xml:space="preserve">Observation </w:t>
      </w:r>
      <w:r w:rsidR="00BA5DCF">
        <w:rPr>
          <w:rFonts w:eastAsiaTheme="minorEastAsia"/>
          <w:b/>
          <w:lang w:val="en-US" w:eastAsia="zh-CN"/>
        </w:rPr>
        <w:t>2</w:t>
      </w:r>
      <w:r w:rsidRPr="00BD0D7C">
        <w:rPr>
          <w:rFonts w:eastAsiaTheme="minorEastAsia"/>
          <w:b/>
          <w:lang w:val="en-US" w:eastAsia="zh-CN"/>
        </w:rPr>
        <w:t>: The BWP switching delay on single CC for FR2-2 is defined based on the same assumptions of absolute processing time (600/2000us).</w:t>
      </w:r>
    </w:p>
    <w:p w:rsidR="0065634B" w:rsidRPr="00BD0D7C" w:rsidRDefault="0065634B" w:rsidP="004F344B">
      <w:pPr>
        <w:rPr>
          <w:rFonts w:eastAsiaTheme="minorEastAsia"/>
          <w:b/>
          <w:lang w:val="en-US" w:eastAsia="zh-CN"/>
        </w:rPr>
      </w:pPr>
      <w:r w:rsidRPr="00BD0D7C">
        <w:rPr>
          <w:rFonts w:eastAsiaTheme="minorEastAsia"/>
          <w:b/>
          <w:lang w:val="en-US" w:eastAsia="zh-CN"/>
        </w:rPr>
        <w:t xml:space="preserve">Observation </w:t>
      </w:r>
      <w:r w:rsidR="00BA5DCF">
        <w:rPr>
          <w:rFonts w:eastAsiaTheme="minorEastAsia"/>
          <w:b/>
          <w:lang w:val="en-US" w:eastAsia="zh-CN"/>
        </w:rPr>
        <w:t>3</w:t>
      </w:r>
      <w:r w:rsidRPr="00BD0D7C">
        <w:rPr>
          <w:rFonts w:eastAsiaTheme="minorEastAsia"/>
          <w:b/>
          <w:lang w:val="en-US" w:eastAsia="zh-CN"/>
        </w:rPr>
        <w:t>: The processing time of procedures involved the cross carrier scheduling will not decrease in proportion with larger SCS.</w:t>
      </w:r>
    </w:p>
    <w:p w:rsidR="0065634B" w:rsidRPr="00BD0D7C" w:rsidRDefault="0065634B" w:rsidP="004F344B">
      <w:pPr>
        <w:rPr>
          <w:rFonts w:eastAsiaTheme="minorEastAsia"/>
          <w:b/>
          <w:lang w:val="en-US" w:eastAsia="zh-CN"/>
        </w:rPr>
      </w:pPr>
      <w:r w:rsidRPr="00BD0D7C">
        <w:rPr>
          <w:rFonts w:eastAsiaTheme="minorEastAsia"/>
          <w:b/>
          <w:lang w:val="en-US" w:eastAsia="zh-CN"/>
        </w:rPr>
        <w:t xml:space="preserve">Observation </w:t>
      </w:r>
      <w:r w:rsidR="00BA5DCF">
        <w:rPr>
          <w:rFonts w:eastAsiaTheme="minorEastAsia"/>
          <w:b/>
          <w:lang w:val="en-US" w:eastAsia="zh-CN"/>
        </w:rPr>
        <w:t>4</w:t>
      </w:r>
      <w:r w:rsidRPr="00BD0D7C">
        <w:rPr>
          <w:rFonts w:eastAsiaTheme="minorEastAsia"/>
          <w:b/>
          <w:lang w:val="en-US" w:eastAsia="zh-CN"/>
        </w:rPr>
        <w:t>: The delay extension for cross carrier scheduling BWP switching for operation in FR2-2 should be reconsidered.</w:t>
      </w:r>
    </w:p>
    <w:p w:rsidR="0065634B" w:rsidRDefault="001734E7" w:rsidP="004F344B">
      <w:pPr>
        <w:rPr>
          <w:rFonts w:eastAsiaTheme="minorEastAsia"/>
          <w:lang w:val="en-US" w:eastAsia="zh-CN"/>
        </w:rPr>
      </w:pPr>
      <w:r w:rsidRPr="00BD0D7C">
        <w:rPr>
          <w:rFonts w:eastAsiaTheme="minorEastAsia"/>
          <w:lang w:val="en-US" w:eastAsia="zh-CN"/>
        </w:rPr>
        <w:t xml:space="preserve">To minimize the impact to existing spec, it is suggested to consider additional delay extension for carrier scheduling BWP switching when the scheduling </w:t>
      </w:r>
      <w:r w:rsidR="00BD0D7C">
        <w:rPr>
          <w:rFonts w:eastAsiaTheme="minorEastAsia"/>
          <w:lang w:val="en-US" w:eastAsia="zh-CN"/>
        </w:rPr>
        <w:t>CC and scheduled CC are both in FR2-2. Thus, it is suggested to extent the BWP switching delay by Y, which is the length of 1 slot of 120 KHz when both scheduling carrier and scheduled carrier are in FR2-2 for cross carrier scheduling active BWP switching.</w:t>
      </w:r>
    </w:p>
    <w:p w:rsidR="00BD0D7C" w:rsidRPr="00BD0D7C" w:rsidRDefault="00BD0D7C" w:rsidP="004F344B">
      <w:pPr>
        <w:rPr>
          <w:rFonts w:eastAsiaTheme="minorEastAsia"/>
          <w:b/>
          <w:lang w:val="en-US" w:eastAsia="zh-CN"/>
        </w:rPr>
      </w:pPr>
      <w:r w:rsidRPr="00BD0D7C">
        <w:rPr>
          <w:rFonts w:eastAsiaTheme="minorEastAsia"/>
          <w:b/>
          <w:lang w:val="en-US" w:eastAsia="zh-CN"/>
        </w:rPr>
        <w:t>Proposal 2: Extent the BWP switching delay by Y, which is the length of 1 slot of 120 KHz when both scheduling carrier and scheduled carrier are in FR2-2 for cross carrier scheduling active BWP switching.</w:t>
      </w:r>
    </w:p>
    <w:p w:rsidR="00DF0231" w:rsidRDefault="00DF0231" w:rsidP="00DF0231">
      <w:pPr>
        <w:pStyle w:val="Heading1"/>
        <w:numPr>
          <w:ilvl w:val="0"/>
          <w:numId w:val="1"/>
        </w:numPr>
        <w:rPr>
          <w:lang w:val="en-US"/>
        </w:rPr>
      </w:pPr>
      <w:r w:rsidRPr="002D2977">
        <w:rPr>
          <w:lang w:val="en-US"/>
        </w:rPr>
        <w:t>Conclusions</w:t>
      </w:r>
    </w:p>
    <w:p w:rsidR="00BA5DCF" w:rsidRPr="00BA5DCF" w:rsidRDefault="00BA5DCF" w:rsidP="00BA5DCF">
      <w:pPr>
        <w:rPr>
          <w:b/>
        </w:rPr>
      </w:pPr>
      <w:r w:rsidRPr="00BA5DCF">
        <w:rPr>
          <w:b/>
        </w:rPr>
        <w:t>Observation 1: Same assumption of BWP switch delay should be considered for type 1 and type 2 BWP switching delay</w:t>
      </w:r>
    </w:p>
    <w:p w:rsidR="00BD0D7C" w:rsidRPr="00BD0D7C" w:rsidRDefault="00BD0D7C" w:rsidP="00BD0D7C">
      <w:pPr>
        <w:rPr>
          <w:rFonts w:eastAsiaTheme="minorEastAsia"/>
          <w:b/>
          <w:lang w:val="en-US" w:eastAsia="zh-CN"/>
        </w:rPr>
      </w:pPr>
      <w:r w:rsidRPr="00BD0D7C">
        <w:rPr>
          <w:rFonts w:eastAsiaTheme="minorEastAsia"/>
          <w:b/>
          <w:lang w:val="en-US" w:eastAsia="zh-CN"/>
        </w:rPr>
        <w:t xml:space="preserve">Observation </w:t>
      </w:r>
      <w:r w:rsidR="00BA5DCF">
        <w:rPr>
          <w:rFonts w:eastAsiaTheme="minorEastAsia"/>
          <w:b/>
          <w:lang w:val="en-US" w:eastAsia="zh-CN"/>
        </w:rPr>
        <w:t>2</w:t>
      </w:r>
      <w:r w:rsidRPr="00BD0D7C">
        <w:rPr>
          <w:rFonts w:eastAsiaTheme="minorEastAsia"/>
          <w:b/>
          <w:lang w:val="en-US" w:eastAsia="zh-CN"/>
        </w:rPr>
        <w:t>: The BWP switching delay on single CC for FR2-2 is defined based on the same assumptions of absolute processing time (600/2000us).</w:t>
      </w:r>
    </w:p>
    <w:p w:rsidR="00BD0D7C" w:rsidRPr="00BD0D7C" w:rsidRDefault="00BD0D7C" w:rsidP="00BD0D7C">
      <w:pPr>
        <w:rPr>
          <w:rFonts w:eastAsiaTheme="minorEastAsia"/>
          <w:b/>
          <w:lang w:val="en-US" w:eastAsia="zh-CN"/>
        </w:rPr>
      </w:pPr>
      <w:r w:rsidRPr="00BD0D7C">
        <w:rPr>
          <w:rFonts w:eastAsiaTheme="minorEastAsia"/>
          <w:b/>
          <w:lang w:val="en-US" w:eastAsia="zh-CN"/>
        </w:rPr>
        <w:lastRenderedPageBreak/>
        <w:t xml:space="preserve">Observation </w:t>
      </w:r>
      <w:r w:rsidR="00BA5DCF">
        <w:rPr>
          <w:rFonts w:eastAsiaTheme="minorEastAsia"/>
          <w:b/>
          <w:lang w:val="en-US" w:eastAsia="zh-CN"/>
        </w:rPr>
        <w:t>3</w:t>
      </w:r>
      <w:r w:rsidRPr="00BD0D7C">
        <w:rPr>
          <w:rFonts w:eastAsiaTheme="minorEastAsia"/>
          <w:b/>
          <w:lang w:val="en-US" w:eastAsia="zh-CN"/>
        </w:rPr>
        <w:t>: The processing time of procedures involved the cross carrier scheduling will not decrease in proportion with larger SCS.</w:t>
      </w:r>
    </w:p>
    <w:p w:rsidR="00BD0D7C" w:rsidRPr="00BD0D7C" w:rsidRDefault="00BD0D7C" w:rsidP="00BD0D7C">
      <w:pPr>
        <w:rPr>
          <w:rFonts w:eastAsiaTheme="minorEastAsia"/>
          <w:b/>
          <w:lang w:val="en-US" w:eastAsia="zh-CN"/>
        </w:rPr>
      </w:pPr>
      <w:r w:rsidRPr="00BD0D7C">
        <w:rPr>
          <w:rFonts w:eastAsiaTheme="minorEastAsia"/>
          <w:b/>
          <w:lang w:val="en-US" w:eastAsia="zh-CN"/>
        </w:rPr>
        <w:t xml:space="preserve">Observation </w:t>
      </w:r>
      <w:r w:rsidR="00BA5DCF">
        <w:rPr>
          <w:rFonts w:eastAsiaTheme="minorEastAsia"/>
          <w:b/>
          <w:lang w:val="en-US" w:eastAsia="zh-CN"/>
        </w:rPr>
        <w:t>4</w:t>
      </w:r>
      <w:r w:rsidRPr="00BD0D7C">
        <w:rPr>
          <w:rFonts w:eastAsiaTheme="minorEastAsia"/>
          <w:b/>
          <w:lang w:val="en-US" w:eastAsia="zh-CN"/>
        </w:rPr>
        <w:t>: The delay extension for cross carrier scheduling BWP switching for operation in FR2-2 should be reconsidered.</w:t>
      </w:r>
    </w:p>
    <w:p w:rsidR="003C6DC4" w:rsidRPr="00BD0D7C" w:rsidRDefault="00BD0D7C" w:rsidP="00BE194F">
      <w:pPr>
        <w:rPr>
          <w:rFonts w:eastAsiaTheme="minorEastAsia"/>
          <w:b/>
          <w:lang w:val="en-US" w:eastAsia="zh-CN"/>
        </w:rPr>
      </w:pPr>
      <w:r w:rsidRPr="00BD0D7C">
        <w:rPr>
          <w:rFonts w:eastAsiaTheme="minorEastAsia"/>
          <w:b/>
          <w:lang w:val="en-US" w:eastAsia="zh-CN"/>
        </w:rPr>
        <w:t>Proposal 2: Extent the BWP switching delay by Y, which is the length of 1 slot of 120 KHz when both scheduling carrier and scheduled carrier are in FR2-2 for cross carrier scheduling active BWP switching.</w:t>
      </w:r>
    </w:p>
    <w:p w:rsidR="00DF0231" w:rsidRPr="002D2977" w:rsidRDefault="00DF0231" w:rsidP="00DF0231">
      <w:pPr>
        <w:pStyle w:val="Heading1"/>
        <w:tabs>
          <w:tab w:val="clear" w:pos="432"/>
        </w:tabs>
        <w:ind w:left="0" w:firstLine="0"/>
        <w:rPr>
          <w:lang w:val="en-US"/>
        </w:rPr>
      </w:pPr>
      <w:bookmarkStart w:id="1" w:name="_GoBack"/>
      <w:bookmarkEnd w:id="1"/>
      <w:r w:rsidRPr="002D2977">
        <w:rPr>
          <w:lang w:val="en-US"/>
        </w:rPr>
        <w:t>References</w:t>
      </w:r>
    </w:p>
    <w:p w:rsidR="00637A49" w:rsidRDefault="00637A49" w:rsidP="00637A49">
      <w:r>
        <w:rPr>
          <w:lang w:val="en-US"/>
        </w:rPr>
        <w:t xml:space="preserve">[1] </w:t>
      </w:r>
      <w:r w:rsidR="006014ED" w:rsidRPr="006014ED">
        <w:t>R4-2115352</w:t>
      </w:r>
      <w:r>
        <w:rPr>
          <w:lang w:val="en-US"/>
        </w:rPr>
        <w:t xml:space="preserve"> </w:t>
      </w:r>
      <w:r w:rsidR="006014ED" w:rsidRPr="006014ED">
        <w:t>WF on NR extension to 71 GHz – RRM - Part 2</w:t>
      </w:r>
      <w:r>
        <w:rPr>
          <w:lang w:val="en-US"/>
        </w:rPr>
        <w:t xml:space="preserve">, </w:t>
      </w:r>
      <w:r w:rsidR="006014ED" w:rsidRPr="006014ED">
        <w:t>Intel Corporation</w:t>
      </w:r>
    </w:p>
    <w:p w:rsidR="00E16040" w:rsidRDefault="00E16040" w:rsidP="00637A49">
      <w:r>
        <w:t xml:space="preserve">[2] </w:t>
      </w:r>
      <w:r w:rsidRPr="00E16040">
        <w:t>R4-2115351</w:t>
      </w:r>
      <w:r>
        <w:t xml:space="preserve"> </w:t>
      </w:r>
      <w:r w:rsidRPr="00E16040">
        <w:t>WF on R17 NR_ext_to_71GHz_RRM_1</w:t>
      </w:r>
      <w:r>
        <w:t xml:space="preserve">, </w:t>
      </w:r>
      <w:r w:rsidRPr="00E16040">
        <w:t>Qualcomm</w:t>
      </w:r>
    </w:p>
    <w:p w:rsidR="00EF0E4A" w:rsidRDefault="00EF0E4A" w:rsidP="00637A49">
      <w:pPr>
        <w:rPr>
          <w:lang w:val="en-US"/>
        </w:rPr>
      </w:pPr>
      <w:r>
        <w:t xml:space="preserve">[3] </w:t>
      </w:r>
      <w:r w:rsidRPr="00EF0E4A">
        <w:t>R4-2012278</w:t>
      </w:r>
      <w:r>
        <w:t xml:space="preserve"> </w:t>
      </w:r>
      <w:r w:rsidRPr="00EF0E4A">
        <w:rPr>
          <w:lang w:val="sv-SE"/>
        </w:rPr>
        <w:t>Way Forward on SCell Dormancy</w:t>
      </w:r>
      <w:r>
        <w:rPr>
          <w:lang w:val="sv-SE"/>
        </w:rPr>
        <w:t>, Ericsson</w:t>
      </w:r>
    </w:p>
    <w:p w:rsidR="00637A49" w:rsidRPr="00637A49" w:rsidRDefault="00637A49" w:rsidP="00637A49">
      <w:pPr>
        <w:rPr>
          <w:rFonts w:eastAsiaTheme="minorEastAsia"/>
        </w:rPr>
      </w:pPr>
    </w:p>
    <w:p w:rsidR="00BA4C0A" w:rsidRPr="00637A49" w:rsidRDefault="00BA4C0A">
      <w:pPr>
        <w:rPr>
          <w:rFonts w:eastAsiaTheme="minorEastAsia"/>
          <w:lang w:val="en-US" w:eastAsia="zh-CN"/>
        </w:rPr>
      </w:pPr>
    </w:p>
    <w:sectPr w:rsidR="00BA4C0A" w:rsidRPr="00637A49"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896" w:rsidRDefault="00340896">
      <w:pPr>
        <w:spacing w:after="0"/>
      </w:pPr>
      <w:r>
        <w:separator/>
      </w:r>
    </w:p>
  </w:endnote>
  <w:endnote w:type="continuationSeparator" w:id="0">
    <w:p w:rsidR="00340896" w:rsidRDefault="003408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040" w:rsidRDefault="00E160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E16040" w:rsidRDefault="00E160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040" w:rsidRDefault="00E160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C1263">
      <w:rPr>
        <w:rStyle w:val="PageNumber"/>
      </w:rPr>
      <w:t>4</w:t>
    </w:r>
    <w:r>
      <w:rPr>
        <w:rStyle w:val="PageNumber"/>
      </w:rPr>
      <w:fldChar w:fldCharType="end"/>
    </w:r>
  </w:p>
  <w:p w:rsidR="00E16040" w:rsidRDefault="00E1604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896" w:rsidRDefault="00340896">
      <w:pPr>
        <w:spacing w:after="0"/>
      </w:pPr>
      <w:r>
        <w:separator/>
      </w:r>
    </w:p>
  </w:footnote>
  <w:footnote w:type="continuationSeparator" w:id="0">
    <w:p w:rsidR="00340896" w:rsidRDefault="003408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24"/>
  </w:num>
  <w:num w:numId="4">
    <w:abstractNumId w:val="23"/>
  </w:num>
  <w:num w:numId="5">
    <w:abstractNumId w:val="0"/>
  </w:num>
  <w:num w:numId="6">
    <w:abstractNumId w:val="9"/>
  </w:num>
  <w:num w:numId="7">
    <w:abstractNumId w:val="3"/>
  </w:num>
  <w:num w:numId="8">
    <w:abstractNumId w:val="14"/>
  </w:num>
  <w:num w:numId="9">
    <w:abstractNumId w:val="17"/>
  </w:num>
  <w:num w:numId="10">
    <w:abstractNumId w:val="10"/>
  </w:num>
  <w:num w:numId="11">
    <w:abstractNumId w:val="11"/>
  </w:num>
  <w:num w:numId="12">
    <w:abstractNumId w:val="2"/>
  </w:num>
  <w:num w:numId="13">
    <w:abstractNumId w:val="5"/>
  </w:num>
  <w:num w:numId="1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20"/>
  </w:num>
  <w:num w:numId="18">
    <w:abstractNumId w:val="7"/>
  </w:num>
  <w:num w:numId="19">
    <w:abstractNumId w:val="1"/>
  </w:num>
  <w:num w:numId="20">
    <w:abstractNumId w:val="6"/>
  </w:num>
  <w:num w:numId="21">
    <w:abstractNumId w:val="18"/>
  </w:num>
  <w:num w:numId="22">
    <w:abstractNumId w:val="13"/>
  </w:num>
  <w:num w:numId="23">
    <w:abstractNumId w:val="12"/>
  </w:num>
  <w:num w:numId="24">
    <w:abstractNumId w:val="15"/>
  </w:num>
  <w:num w:numId="2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35B7C"/>
    <w:rsid w:val="00040779"/>
    <w:rsid w:val="0004356B"/>
    <w:rsid w:val="0004558E"/>
    <w:rsid w:val="00055B5D"/>
    <w:rsid w:val="00063E08"/>
    <w:rsid w:val="000676A1"/>
    <w:rsid w:val="00067A48"/>
    <w:rsid w:val="00067B89"/>
    <w:rsid w:val="00076C0A"/>
    <w:rsid w:val="00086874"/>
    <w:rsid w:val="00087858"/>
    <w:rsid w:val="000903D2"/>
    <w:rsid w:val="00096503"/>
    <w:rsid w:val="00097E39"/>
    <w:rsid w:val="000A1878"/>
    <w:rsid w:val="000A2ED7"/>
    <w:rsid w:val="000A4BCB"/>
    <w:rsid w:val="000A5097"/>
    <w:rsid w:val="000A7A19"/>
    <w:rsid w:val="000B15EC"/>
    <w:rsid w:val="000C2147"/>
    <w:rsid w:val="000D2930"/>
    <w:rsid w:val="000D59F6"/>
    <w:rsid w:val="000D6B9B"/>
    <w:rsid w:val="000E0A8A"/>
    <w:rsid w:val="000E2C03"/>
    <w:rsid w:val="000F04C6"/>
    <w:rsid w:val="000F7DE7"/>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531EC"/>
    <w:rsid w:val="00161981"/>
    <w:rsid w:val="001734E7"/>
    <w:rsid w:val="00175B04"/>
    <w:rsid w:val="0017747E"/>
    <w:rsid w:val="0018314E"/>
    <w:rsid w:val="00184719"/>
    <w:rsid w:val="00197964"/>
    <w:rsid w:val="001A0A8D"/>
    <w:rsid w:val="001A1E7C"/>
    <w:rsid w:val="001C4240"/>
    <w:rsid w:val="001C5D98"/>
    <w:rsid w:val="001D3006"/>
    <w:rsid w:val="001E7174"/>
    <w:rsid w:val="0020033A"/>
    <w:rsid w:val="00216AAB"/>
    <w:rsid w:val="00217770"/>
    <w:rsid w:val="002204E2"/>
    <w:rsid w:val="002221AC"/>
    <w:rsid w:val="00222A85"/>
    <w:rsid w:val="00222AF7"/>
    <w:rsid w:val="00232120"/>
    <w:rsid w:val="002328DD"/>
    <w:rsid w:val="00234AA1"/>
    <w:rsid w:val="00243552"/>
    <w:rsid w:val="00243BFC"/>
    <w:rsid w:val="00245810"/>
    <w:rsid w:val="00254F38"/>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21181"/>
    <w:rsid w:val="00323702"/>
    <w:rsid w:val="003356E3"/>
    <w:rsid w:val="00336939"/>
    <w:rsid w:val="00340896"/>
    <w:rsid w:val="003422A4"/>
    <w:rsid w:val="00352697"/>
    <w:rsid w:val="00356FB6"/>
    <w:rsid w:val="003622B2"/>
    <w:rsid w:val="00362F43"/>
    <w:rsid w:val="003664ED"/>
    <w:rsid w:val="00377D59"/>
    <w:rsid w:val="0038462A"/>
    <w:rsid w:val="0038557C"/>
    <w:rsid w:val="003A5CBC"/>
    <w:rsid w:val="003A5E2B"/>
    <w:rsid w:val="003C092B"/>
    <w:rsid w:val="003C6DC4"/>
    <w:rsid w:val="003D6F09"/>
    <w:rsid w:val="003E7C96"/>
    <w:rsid w:val="003F762D"/>
    <w:rsid w:val="00401473"/>
    <w:rsid w:val="00415933"/>
    <w:rsid w:val="00430F24"/>
    <w:rsid w:val="00435D65"/>
    <w:rsid w:val="00435EBD"/>
    <w:rsid w:val="00451B80"/>
    <w:rsid w:val="00455FD0"/>
    <w:rsid w:val="00466D02"/>
    <w:rsid w:val="00477263"/>
    <w:rsid w:val="00485549"/>
    <w:rsid w:val="0049501A"/>
    <w:rsid w:val="004A0F19"/>
    <w:rsid w:val="004A29B2"/>
    <w:rsid w:val="004A678E"/>
    <w:rsid w:val="004A7CF2"/>
    <w:rsid w:val="004B1ECE"/>
    <w:rsid w:val="004B4633"/>
    <w:rsid w:val="004C11F4"/>
    <w:rsid w:val="004C4868"/>
    <w:rsid w:val="004D3C97"/>
    <w:rsid w:val="004D5EAE"/>
    <w:rsid w:val="004E3732"/>
    <w:rsid w:val="004E5D51"/>
    <w:rsid w:val="004F0167"/>
    <w:rsid w:val="004F344B"/>
    <w:rsid w:val="00502991"/>
    <w:rsid w:val="00514A5F"/>
    <w:rsid w:val="0052002B"/>
    <w:rsid w:val="005235DB"/>
    <w:rsid w:val="00527DD4"/>
    <w:rsid w:val="00530EB0"/>
    <w:rsid w:val="00533C4E"/>
    <w:rsid w:val="005375AA"/>
    <w:rsid w:val="005409B9"/>
    <w:rsid w:val="00545EC2"/>
    <w:rsid w:val="0054734A"/>
    <w:rsid w:val="005546D8"/>
    <w:rsid w:val="00557527"/>
    <w:rsid w:val="005755A4"/>
    <w:rsid w:val="005763DF"/>
    <w:rsid w:val="00582652"/>
    <w:rsid w:val="005906DB"/>
    <w:rsid w:val="005A2C70"/>
    <w:rsid w:val="005A456B"/>
    <w:rsid w:val="005B0D68"/>
    <w:rsid w:val="005B6053"/>
    <w:rsid w:val="005C337F"/>
    <w:rsid w:val="005D15A2"/>
    <w:rsid w:val="005D231A"/>
    <w:rsid w:val="005D3DC0"/>
    <w:rsid w:val="005D6BEF"/>
    <w:rsid w:val="005E29AA"/>
    <w:rsid w:val="005E4CCD"/>
    <w:rsid w:val="005F5231"/>
    <w:rsid w:val="006014ED"/>
    <w:rsid w:val="00604490"/>
    <w:rsid w:val="0060650F"/>
    <w:rsid w:val="00607CE8"/>
    <w:rsid w:val="0061679F"/>
    <w:rsid w:val="00625728"/>
    <w:rsid w:val="00637A49"/>
    <w:rsid w:val="0065634B"/>
    <w:rsid w:val="0066186B"/>
    <w:rsid w:val="00672FCE"/>
    <w:rsid w:val="00681F59"/>
    <w:rsid w:val="006901CA"/>
    <w:rsid w:val="006A68E5"/>
    <w:rsid w:val="006A7936"/>
    <w:rsid w:val="006A7B70"/>
    <w:rsid w:val="006C3D21"/>
    <w:rsid w:val="006C4BDB"/>
    <w:rsid w:val="006D43CD"/>
    <w:rsid w:val="006D7325"/>
    <w:rsid w:val="006E2BAB"/>
    <w:rsid w:val="006F1BAF"/>
    <w:rsid w:val="006F27CD"/>
    <w:rsid w:val="006F5874"/>
    <w:rsid w:val="00701598"/>
    <w:rsid w:val="007028B4"/>
    <w:rsid w:val="00702FA5"/>
    <w:rsid w:val="00712395"/>
    <w:rsid w:val="00712608"/>
    <w:rsid w:val="00714064"/>
    <w:rsid w:val="007166C4"/>
    <w:rsid w:val="007200C7"/>
    <w:rsid w:val="00723883"/>
    <w:rsid w:val="00732D90"/>
    <w:rsid w:val="007334B6"/>
    <w:rsid w:val="00734B34"/>
    <w:rsid w:val="00736D84"/>
    <w:rsid w:val="00751E52"/>
    <w:rsid w:val="00763EF7"/>
    <w:rsid w:val="00766048"/>
    <w:rsid w:val="007711B8"/>
    <w:rsid w:val="0077159B"/>
    <w:rsid w:val="00782C5D"/>
    <w:rsid w:val="00784099"/>
    <w:rsid w:val="00786C50"/>
    <w:rsid w:val="007902A8"/>
    <w:rsid w:val="007A336E"/>
    <w:rsid w:val="007A37DA"/>
    <w:rsid w:val="007A52D1"/>
    <w:rsid w:val="007A6ED4"/>
    <w:rsid w:val="007B119C"/>
    <w:rsid w:val="007B18BC"/>
    <w:rsid w:val="007B3DC0"/>
    <w:rsid w:val="007B57F3"/>
    <w:rsid w:val="007B7B6A"/>
    <w:rsid w:val="007C0D2E"/>
    <w:rsid w:val="007C5B24"/>
    <w:rsid w:val="007D0DF7"/>
    <w:rsid w:val="007D3409"/>
    <w:rsid w:val="007D58F5"/>
    <w:rsid w:val="007E2057"/>
    <w:rsid w:val="007E2E8A"/>
    <w:rsid w:val="007E5F97"/>
    <w:rsid w:val="007E67EC"/>
    <w:rsid w:val="007F045C"/>
    <w:rsid w:val="007F2371"/>
    <w:rsid w:val="007F2E6A"/>
    <w:rsid w:val="007F7E14"/>
    <w:rsid w:val="008001CA"/>
    <w:rsid w:val="00804945"/>
    <w:rsid w:val="00814B83"/>
    <w:rsid w:val="00821B76"/>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67CF"/>
    <w:rsid w:val="00904C87"/>
    <w:rsid w:val="009118FA"/>
    <w:rsid w:val="00914A03"/>
    <w:rsid w:val="00915DEA"/>
    <w:rsid w:val="0092386A"/>
    <w:rsid w:val="00923CC3"/>
    <w:rsid w:val="00931830"/>
    <w:rsid w:val="009333B5"/>
    <w:rsid w:val="009450D8"/>
    <w:rsid w:val="009524AD"/>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34913"/>
    <w:rsid w:val="00A35F07"/>
    <w:rsid w:val="00A36D03"/>
    <w:rsid w:val="00A42E3A"/>
    <w:rsid w:val="00A63AF5"/>
    <w:rsid w:val="00A657C7"/>
    <w:rsid w:val="00A7739E"/>
    <w:rsid w:val="00A848D0"/>
    <w:rsid w:val="00A87084"/>
    <w:rsid w:val="00A93E0D"/>
    <w:rsid w:val="00AC2317"/>
    <w:rsid w:val="00AC2C97"/>
    <w:rsid w:val="00AC2CD4"/>
    <w:rsid w:val="00AC7A7B"/>
    <w:rsid w:val="00AD65F4"/>
    <w:rsid w:val="00AD69AA"/>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A5DCF"/>
    <w:rsid w:val="00BB2A32"/>
    <w:rsid w:val="00BB6484"/>
    <w:rsid w:val="00BC1263"/>
    <w:rsid w:val="00BC24F8"/>
    <w:rsid w:val="00BC3920"/>
    <w:rsid w:val="00BC47AB"/>
    <w:rsid w:val="00BD0D7C"/>
    <w:rsid w:val="00BD2AB1"/>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4442"/>
    <w:rsid w:val="00C76E52"/>
    <w:rsid w:val="00C83525"/>
    <w:rsid w:val="00CA1729"/>
    <w:rsid w:val="00CA1984"/>
    <w:rsid w:val="00CA1DAE"/>
    <w:rsid w:val="00CA234E"/>
    <w:rsid w:val="00CA7429"/>
    <w:rsid w:val="00CB6216"/>
    <w:rsid w:val="00CC3973"/>
    <w:rsid w:val="00CC4578"/>
    <w:rsid w:val="00CD0284"/>
    <w:rsid w:val="00CD0A91"/>
    <w:rsid w:val="00CD160F"/>
    <w:rsid w:val="00CE0DA0"/>
    <w:rsid w:val="00CF030B"/>
    <w:rsid w:val="00CF1DFC"/>
    <w:rsid w:val="00CF2856"/>
    <w:rsid w:val="00CF5CE7"/>
    <w:rsid w:val="00CF5EF5"/>
    <w:rsid w:val="00CF7481"/>
    <w:rsid w:val="00CF7EE3"/>
    <w:rsid w:val="00D13FC8"/>
    <w:rsid w:val="00D3442D"/>
    <w:rsid w:val="00D34F1B"/>
    <w:rsid w:val="00D36F4F"/>
    <w:rsid w:val="00D41D2D"/>
    <w:rsid w:val="00D463A3"/>
    <w:rsid w:val="00D51833"/>
    <w:rsid w:val="00D57BE5"/>
    <w:rsid w:val="00D67ABE"/>
    <w:rsid w:val="00D73373"/>
    <w:rsid w:val="00D828E1"/>
    <w:rsid w:val="00D8441F"/>
    <w:rsid w:val="00D94E39"/>
    <w:rsid w:val="00D9789C"/>
    <w:rsid w:val="00DB10D2"/>
    <w:rsid w:val="00DB1DD4"/>
    <w:rsid w:val="00DB61B3"/>
    <w:rsid w:val="00DD0915"/>
    <w:rsid w:val="00DD1DFF"/>
    <w:rsid w:val="00DE3896"/>
    <w:rsid w:val="00DF0231"/>
    <w:rsid w:val="00DF6E96"/>
    <w:rsid w:val="00E04C43"/>
    <w:rsid w:val="00E11FA9"/>
    <w:rsid w:val="00E13E91"/>
    <w:rsid w:val="00E16040"/>
    <w:rsid w:val="00E16D37"/>
    <w:rsid w:val="00E17E17"/>
    <w:rsid w:val="00E17F78"/>
    <w:rsid w:val="00E21B03"/>
    <w:rsid w:val="00E222F0"/>
    <w:rsid w:val="00E22D0F"/>
    <w:rsid w:val="00E31284"/>
    <w:rsid w:val="00E406F2"/>
    <w:rsid w:val="00E415BA"/>
    <w:rsid w:val="00E470EC"/>
    <w:rsid w:val="00E5666B"/>
    <w:rsid w:val="00E577DD"/>
    <w:rsid w:val="00E60952"/>
    <w:rsid w:val="00E72064"/>
    <w:rsid w:val="00E76A71"/>
    <w:rsid w:val="00E82ED7"/>
    <w:rsid w:val="00E85BF2"/>
    <w:rsid w:val="00E91110"/>
    <w:rsid w:val="00E9184C"/>
    <w:rsid w:val="00E94DD3"/>
    <w:rsid w:val="00EA49BA"/>
    <w:rsid w:val="00EA4E79"/>
    <w:rsid w:val="00EA5149"/>
    <w:rsid w:val="00EB02DF"/>
    <w:rsid w:val="00EB2795"/>
    <w:rsid w:val="00EE1CF7"/>
    <w:rsid w:val="00EE6F45"/>
    <w:rsid w:val="00EF0E38"/>
    <w:rsid w:val="00EF0E4A"/>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52FE8"/>
    <w:rsid w:val="00F543C6"/>
    <w:rsid w:val="00F5790A"/>
    <w:rsid w:val="00F609CD"/>
    <w:rsid w:val="00F76B81"/>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18D9B-A043-4687-BC7C-806919C20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10725</TotalTime>
  <Pages>4</Pages>
  <Words>1251</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170</cp:revision>
  <dcterms:created xsi:type="dcterms:W3CDTF">2019-09-18T02:52:00Z</dcterms:created>
  <dcterms:modified xsi:type="dcterms:W3CDTF">2021-10-22T13:49:00Z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(3)JXrkGCP62Z4rFq9wq6P553xtLHcrTrx+WRkAM8/xbpQJN+zdfKHhwxI+JEHBZF/8izcKszMf
H6QbccrvaWoPgtDWSMDtU7p9lA3JQ2gPlEOorE19npDLfoEVte5gJZ4GYa98xHBiToNqYPjL
yPLoNU4TOiV6wCMxf5PHppO+XcwUT3ZxNaXRg931v/Xl3qCwzqcZNWcF1s2LHb1g+RX1y8GX
Sd8pvuleMyCi6Ya+BT</vt:lpwstr>
  </property>
  <property fmtid="{D5CDD505-2E9C-101B-9397-08002B2CF9AE}" pid="3" name="_2015_ms_pID_7253431">
    <vt:lpwstr>XfzkdJ130WawhterMJzxotyyBi/XSJ0y+EVIiPSdCJCB49M0/OO/7J
E1t7NQ26HtBykYi2SVgDLKSca5OJC9aignStISeb0Q/4XVPuPKfDpoGVOnta6o03H1/BzflN
0v85lvdTZ0oZ57HU6BEGNrzmv3GjTs6UktYi28UXnHfVVIE6SRGQazjy906cV/Kh3cdTpev1
pqeFjGLJJAT1gISmEdCK17CsUmVAj2bSdsPr</vt:lpwstr>
  </property>
  <property fmtid="{D5CDD505-2E9C-101B-9397-08002B2CF9AE}" pid="4" name="_2015_ms_pID_7253432">
    <vt:lpwstr>DXhEEsyfPGOIqmCKFP7t7x0=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