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6C5B32C9"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w:t>
      </w:r>
      <w:r w:rsidR="009A6436">
        <w:rPr>
          <w:rFonts w:eastAsia="宋体" w:cs="Arial"/>
          <w:lang w:eastAsia="zh-CN"/>
        </w:rPr>
        <w:t>1</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A81997">
        <w:rPr>
          <w:rFonts w:eastAsia="宋体" w:cs="Arial"/>
          <w:lang w:eastAsia="zh-CN"/>
        </w:rPr>
        <w:t>1</w:t>
      </w:r>
      <w:r w:rsidR="006308B8">
        <w:rPr>
          <w:rFonts w:eastAsia="宋体" w:cs="Arial"/>
          <w:lang w:eastAsia="zh-CN"/>
        </w:rPr>
        <w:t>8233</w:t>
      </w:r>
      <w:r w:rsidRPr="00C94DBE">
        <w:rPr>
          <w:rFonts w:eastAsia="宋体" w:cs="Arial"/>
          <w:lang w:eastAsia="zh-CN"/>
        </w:rPr>
        <w:t xml:space="preserve">                                     </w:t>
      </w:r>
      <w:r>
        <w:rPr>
          <w:rFonts w:eastAsia="宋体" w:cs="Arial"/>
          <w:lang w:eastAsia="zh-CN"/>
        </w:rPr>
        <w:t xml:space="preserve">                             </w:t>
      </w:r>
    </w:p>
    <w:p w14:paraId="4D5D8709" w14:textId="4BE7EC9D"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9A6436">
        <w:rPr>
          <w:rFonts w:cs="Arial"/>
        </w:rPr>
        <w:t>1</w:t>
      </w:r>
      <w:r w:rsidR="009A6436">
        <w:rPr>
          <w:rFonts w:cs="Arial"/>
          <w:vertAlign w:val="superscript"/>
        </w:rPr>
        <w:t>st</w:t>
      </w:r>
      <w:r w:rsidRPr="00051CD8">
        <w:rPr>
          <w:rFonts w:cs="Arial"/>
        </w:rPr>
        <w:t>–</w:t>
      </w:r>
      <w:r w:rsidRPr="00051CD8">
        <w:rPr>
          <w:rFonts w:cs="Arial" w:hint="eastAsia"/>
        </w:rPr>
        <w:t xml:space="preserve"> </w:t>
      </w:r>
      <w:r w:rsidR="009A6436">
        <w:rPr>
          <w:rFonts w:cs="Arial"/>
        </w:rPr>
        <w:t>1</w:t>
      </w:r>
      <w:r w:rsidR="009A6436">
        <w:rPr>
          <w:rFonts w:eastAsiaTheme="minorEastAsia" w:cs="Arial"/>
          <w:lang w:eastAsia="zh-CN"/>
        </w:rPr>
        <w:t>2</w:t>
      </w:r>
      <w:r w:rsidRPr="00F51A98">
        <w:rPr>
          <w:rFonts w:eastAsiaTheme="minorEastAsia" w:cs="Arial" w:hint="eastAsia"/>
          <w:vertAlign w:val="superscript"/>
          <w:lang w:eastAsia="zh-CN"/>
        </w:rPr>
        <w:t>th</w:t>
      </w:r>
      <w:r>
        <w:rPr>
          <w:rFonts w:eastAsiaTheme="minorEastAsia" w:cs="Arial"/>
          <w:lang w:eastAsia="zh-CN"/>
        </w:rPr>
        <w:t xml:space="preserve"> </w:t>
      </w:r>
      <w:r w:rsidR="009A6436">
        <w:rPr>
          <w:rFonts w:eastAsiaTheme="minorEastAsia" w:cs="Arial"/>
          <w:lang w:eastAsia="zh-CN"/>
        </w:rPr>
        <w:t>Nov</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442D4CB8"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9A6436">
        <w:rPr>
          <w:rFonts w:ascii="Arial" w:eastAsia="宋体" w:hAnsi="Arial" w:cs="Arial"/>
          <w:b/>
          <w:noProof/>
          <w:kern w:val="0"/>
          <w:sz w:val="22"/>
          <w:szCs w:val="22"/>
          <w:lang w:val="en-GB"/>
        </w:rPr>
        <w:t>8</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750155">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07CBB030"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750155">
        <w:rPr>
          <w:rFonts w:ascii="Arial" w:eastAsia="宋体" w:hAnsi="Arial" w:cs="Arial"/>
          <w:b/>
          <w:noProof/>
          <w:kern w:val="0"/>
          <w:sz w:val="22"/>
          <w:lang w:val="en-GB"/>
        </w:rPr>
        <w:t>Timing enhancement on Rel-17 IAB</w:t>
      </w:r>
      <w:r>
        <w:rPr>
          <w:rFonts w:ascii="Arial" w:eastAsia="宋体" w:hAnsi="Arial" w:cs="Arial"/>
          <w:b/>
          <w:noProof/>
          <w:kern w:val="0"/>
          <w:sz w:val="22"/>
          <w:lang w:val="en-GB"/>
        </w:rPr>
        <w:t xml:space="preserve">  </w:t>
      </w:r>
    </w:p>
    <w:p w14:paraId="460F64DD" w14:textId="17BCEEA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805A5C">
        <w:rPr>
          <w:rFonts w:ascii="Arial" w:eastAsia="宋体" w:hAnsi="Arial" w:cs="Arial"/>
          <w:b/>
          <w:noProof/>
          <w:kern w:val="0"/>
          <w:sz w:val="22"/>
          <w:szCs w:val="22"/>
          <w:lang w:val="en-GB"/>
        </w:rPr>
        <w:t>Discussion</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7E19586B" w14:textId="77777777" w:rsidR="00533EC1" w:rsidRDefault="006C3751" w:rsidP="00750155">
      <w:pPr>
        <w:rPr>
          <w:sz w:val="20"/>
          <w:szCs w:val="20"/>
        </w:rPr>
      </w:pPr>
      <w:r w:rsidRPr="002A04B1">
        <w:rPr>
          <w:sz w:val="20"/>
          <w:szCs w:val="20"/>
        </w:rPr>
        <w:t>In RAN4#</w:t>
      </w:r>
      <w:r w:rsidR="00533EC1">
        <w:rPr>
          <w:sz w:val="20"/>
          <w:szCs w:val="20"/>
        </w:rPr>
        <w:t>100</w:t>
      </w:r>
      <w:r w:rsidRPr="002A04B1">
        <w:rPr>
          <w:sz w:val="20"/>
          <w:szCs w:val="20"/>
        </w:rPr>
        <w:t xml:space="preserve">e meeting </w:t>
      </w:r>
      <w:r w:rsidR="00533EC1">
        <w:rPr>
          <w:sz w:val="20"/>
          <w:szCs w:val="20"/>
        </w:rPr>
        <w:t>the WF on timing enhancement agreed as below</w:t>
      </w:r>
    </w:p>
    <w:tbl>
      <w:tblPr>
        <w:tblStyle w:val="a6"/>
        <w:tblW w:w="0" w:type="auto"/>
        <w:tblLook w:val="04A0" w:firstRow="1" w:lastRow="0" w:firstColumn="1" w:lastColumn="0" w:noHBand="0" w:noVBand="1"/>
      </w:tblPr>
      <w:tblGrid>
        <w:gridCol w:w="10456"/>
      </w:tblGrid>
      <w:tr w:rsidR="00533EC1" w14:paraId="40E79506" w14:textId="77777777" w:rsidTr="00533EC1">
        <w:tc>
          <w:tcPr>
            <w:tcW w:w="10456" w:type="dxa"/>
          </w:tcPr>
          <w:p w14:paraId="48DFBDFC" w14:textId="77777777" w:rsidR="00533EC1" w:rsidRPr="00533EC1" w:rsidRDefault="00533EC1" w:rsidP="00533EC1">
            <w:pPr>
              <w:spacing w:after="120"/>
              <w:rPr>
                <w:rFonts w:ascii="Times New Roman" w:eastAsia="Malgun Gothic" w:hAnsi="Times New Roman" w:cs="Times New Roman"/>
                <w:sz w:val="18"/>
                <w:szCs w:val="18"/>
                <w:u w:val="single"/>
                <w:lang w:eastAsia="ko-KR"/>
              </w:rPr>
            </w:pPr>
            <w:r w:rsidRPr="00533EC1">
              <w:rPr>
                <w:rFonts w:ascii="Times New Roman" w:hAnsi="Times New Roman" w:cs="Times New Roman"/>
                <w:sz w:val="18"/>
                <w:szCs w:val="18"/>
                <w:u w:val="single"/>
                <w:lang w:eastAsia="ko-KR"/>
              </w:rPr>
              <w:t>Timing error between IAB-DU and IAB-MT transmission within one node for timing case#6:</w:t>
            </w:r>
          </w:p>
          <w:p w14:paraId="4A884DBB" w14:textId="77777777" w:rsidR="00533EC1" w:rsidRPr="00533EC1" w:rsidRDefault="00533EC1" w:rsidP="00533EC1">
            <w:pPr>
              <w:pStyle w:val="a7"/>
              <w:numPr>
                <w:ilvl w:val="0"/>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Timing error between IAB-DU and IAB-MT simultaneous transmission is to be considered as new dedicated RAN4 requirement to be decided to capture it in which section in TS38.174.</w:t>
            </w:r>
          </w:p>
          <w:p w14:paraId="6A1AC8F6" w14:textId="77777777" w:rsidR="00533EC1" w:rsidRPr="00533EC1" w:rsidRDefault="00533EC1" w:rsidP="00533EC1">
            <w:pPr>
              <w:pStyle w:val="a7"/>
              <w:numPr>
                <w:ilvl w:val="0"/>
                <w:numId w:val="17"/>
              </w:numPr>
              <w:spacing w:after="120"/>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Study on associated test configuration and test model in performance part if the core requirement is agreed.</w:t>
            </w:r>
          </w:p>
          <w:p w14:paraId="209C70E4" w14:textId="77777777" w:rsidR="00533EC1" w:rsidRPr="00533EC1" w:rsidRDefault="00533EC1" w:rsidP="00533EC1">
            <w:pPr>
              <w:pStyle w:val="a7"/>
              <w:numPr>
                <w:ilvl w:val="0"/>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Take 3us as starting point for maximum Timing error between IAB-DU and IAB-MT simultaneous transmission</w:t>
            </w:r>
          </w:p>
          <w:p w14:paraId="2CA3A768" w14:textId="77777777" w:rsidR="00533EC1" w:rsidRPr="00533EC1" w:rsidRDefault="00533EC1" w:rsidP="00533EC1">
            <w:pPr>
              <w:pStyle w:val="a7"/>
              <w:numPr>
                <w:ilvl w:val="1"/>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To review this value if improvement needed dependent on RAN1 agreement</w:t>
            </w:r>
          </w:p>
          <w:p w14:paraId="1D5A0CB0" w14:textId="77777777" w:rsidR="00533EC1" w:rsidRPr="00533EC1" w:rsidRDefault="00533EC1" w:rsidP="00533EC1">
            <w:pPr>
              <w:spacing w:after="120"/>
              <w:rPr>
                <w:rFonts w:ascii="Times New Roman" w:hAnsi="Times New Roman" w:cs="Times New Roman"/>
                <w:sz w:val="18"/>
                <w:szCs w:val="18"/>
                <w:u w:val="single"/>
                <w:lang w:eastAsia="ko-KR"/>
              </w:rPr>
            </w:pPr>
            <w:r w:rsidRPr="00533EC1">
              <w:rPr>
                <w:rFonts w:ascii="Times New Roman" w:hAnsi="Times New Roman" w:cs="Times New Roman"/>
                <w:sz w:val="18"/>
                <w:szCs w:val="18"/>
                <w:u w:val="single"/>
                <w:lang w:eastAsia="ko-KR"/>
              </w:rPr>
              <w:t>Timing error between parent IAB-DU and child node IAB-DU transmission:</w:t>
            </w:r>
          </w:p>
          <w:p w14:paraId="22A56F7E" w14:textId="77777777" w:rsidR="00533EC1" w:rsidRPr="00533EC1" w:rsidRDefault="00533EC1" w:rsidP="00533EC1">
            <w:pPr>
              <w:pStyle w:val="a7"/>
              <w:numPr>
                <w:ilvl w:val="0"/>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It is acknowledged that for shared hardware architecture, the parent IAB node can tolerate the certain value of timing error uncertainty between its child IAB node and its own DL timing</w:t>
            </w:r>
          </w:p>
          <w:p w14:paraId="3FB2E70D" w14:textId="77777777" w:rsidR="00533EC1" w:rsidRPr="00533EC1" w:rsidRDefault="00533EC1" w:rsidP="00533EC1">
            <w:pPr>
              <w:pStyle w:val="a7"/>
              <w:numPr>
                <w:ilvl w:val="1"/>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hAnsi="Times New Roman" w:cs="Times New Roman"/>
                <w:color w:val="000000" w:themeColor="text1"/>
                <w:sz w:val="18"/>
                <w:szCs w:val="18"/>
              </w:rPr>
              <w:t xml:space="preserve">FFS on the value of time error tolerance on parent IAB node </w:t>
            </w:r>
          </w:p>
          <w:p w14:paraId="4D56B2FE" w14:textId="77777777" w:rsidR="00533EC1" w:rsidRPr="00533EC1" w:rsidRDefault="00533EC1" w:rsidP="00533EC1">
            <w:pPr>
              <w:pStyle w:val="a7"/>
              <w:numPr>
                <w:ilvl w:val="1"/>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eastAsiaTheme="minorEastAsia" w:hAnsi="Times New Roman" w:cs="Times New Roman"/>
                <w:color w:val="000000" w:themeColor="text1"/>
                <w:sz w:val="18"/>
                <w:szCs w:val="18"/>
              </w:rPr>
              <w:t>To investigate if this has already been covered in Rel-16 cell phase synch requirement and can be ensured in legacy release.</w:t>
            </w:r>
          </w:p>
          <w:p w14:paraId="121D88E0" w14:textId="77777777" w:rsidR="00533EC1" w:rsidRPr="00533EC1" w:rsidRDefault="00533EC1" w:rsidP="00533EC1">
            <w:pPr>
              <w:pStyle w:val="a7"/>
              <w:numPr>
                <w:ilvl w:val="1"/>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eastAsiaTheme="minorEastAsia" w:hAnsi="Times New Roman" w:cs="Times New Roman"/>
                <w:color w:val="000000" w:themeColor="text1"/>
                <w:sz w:val="18"/>
                <w:szCs w:val="18"/>
              </w:rPr>
              <w:t xml:space="preserve">No RAN4 RF requirement impact is expected due to this currently. </w:t>
            </w:r>
          </w:p>
          <w:p w14:paraId="08FF302B" w14:textId="5DF0A0ED" w:rsidR="00533EC1" w:rsidRPr="00533EC1" w:rsidRDefault="00533EC1" w:rsidP="00750155">
            <w:pPr>
              <w:pStyle w:val="a7"/>
              <w:numPr>
                <w:ilvl w:val="1"/>
                <w:numId w:val="17"/>
              </w:numPr>
              <w:spacing w:after="120" w:line="259" w:lineRule="auto"/>
              <w:ind w:firstLineChars="0"/>
              <w:contextualSpacing/>
              <w:jc w:val="both"/>
              <w:rPr>
                <w:rFonts w:ascii="Times New Roman" w:hAnsi="Times New Roman" w:cs="Times New Roman"/>
                <w:color w:val="000000" w:themeColor="text1"/>
                <w:sz w:val="18"/>
                <w:szCs w:val="18"/>
              </w:rPr>
            </w:pPr>
            <w:r w:rsidRPr="00533EC1">
              <w:rPr>
                <w:rFonts w:ascii="Times New Roman" w:eastAsiaTheme="minorEastAsia" w:hAnsi="Times New Roman" w:cs="Times New Roman"/>
                <w:color w:val="000000" w:themeColor="text1"/>
                <w:sz w:val="18"/>
                <w:szCs w:val="18"/>
              </w:rPr>
              <w:t>This can be reviewed if update needed due to further agreement in RAN1</w:t>
            </w:r>
          </w:p>
        </w:tc>
      </w:tr>
    </w:tbl>
    <w:p w14:paraId="216BF1D9" w14:textId="0604C319" w:rsidR="00533EC1" w:rsidRPr="00533EC1" w:rsidRDefault="00533EC1" w:rsidP="00533EC1">
      <w:pPr>
        <w:rPr>
          <w:sz w:val="20"/>
          <w:szCs w:val="20"/>
        </w:rPr>
      </w:pPr>
      <w:r w:rsidRPr="00533EC1">
        <w:rPr>
          <w:rFonts w:hint="eastAsia"/>
          <w:sz w:val="20"/>
          <w:szCs w:val="20"/>
        </w:rPr>
        <w:t>In RAN1#106-e</w:t>
      </w:r>
      <w:r w:rsidR="00A703FD" w:rsidRPr="00A703FD">
        <w:rPr>
          <w:sz w:val="20"/>
          <w:szCs w:val="20"/>
        </w:rPr>
        <w:t xml:space="preserve"> </w:t>
      </w:r>
      <w:r w:rsidR="00A703FD">
        <w:rPr>
          <w:sz w:val="20"/>
          <w:szCs w:val="20"/>
        </w:rPr>
        <w:t>and RAN1#106e</w:t>
      </w:r>
      <w:r w:rsidRPr="00533EC1">
        <w:rPr>
          <w:sz w:val="20"/>
          <w:szCs w:val="20"/>
        </w:rPr>
        <w:t xml:space="preserve">, </w:t>
      </w:r>
      <w:r w:rsidRPr="00533EC1">
        <w:rPr>
          <w:rFonts w:hint="eastAsia"/>
          <w:sz w:val="20"/>
          <w:szCs w:val="20"/>
        </w:rPr>
        <w:t>t</w:t>
      </w:r>
      <w:r w:rsidRPr="00533EC1">
        <w:rPr>
          <w:sz w:val="20"/>
          <w:szCs w:val="20"/>
        </w:rPr>
        <w:t xml:space="preserve">he following agreement was made </w:t>
      </w:r>
      <w:r w:rsidRPr="00533EC1">
        <w:rPr>
          <w:rFonts w:hint="eastAsia"/>
          <w:sz w:val="20"/>
          <w:szCs w:val="20"/>
        </w:rPr>
        <w:t>for</w:t>
      </w:r>
      <w:r w:rsidRPr="00533EC1">
        <w:rPr>
          <w:sz w:val="20"/>
          <w:szCs w:val="20"/>
        </w:rPr>
        <w:t xml:space="preserve"> </w:t>
      </w:r>
      <w:r w:rsidRPr="00533EC1">
        <w:rPr>
          <w:rFonts w:hint="eastAsia"/>
          <w:sz w:val="20"/>
          <w:szCs w:val="20"/>
        </w:rPr>
        <w:t>Case</w:t>
      </w:r>
      <w:r w:rsidRPr="00533EC1">
        <w:rPr>
          <w:sz w:val="20"/>
          <w:szCs w:val="20"/>
        </w:rPr>
        <w:t xml:space="preserve"> </w:t>
      </w:r>
      <w:r w:rsidRPr="00533EC1">
        <w:rPr>
          <w:rFonts w:hint="eastAsia"/>
          <w:sz w:val="20"/>
          <w:szCs w:val="20"/>
        </w:rPr>
        <w:t>6</w:t>
      </w:r>
      <w:r w:rsidRPr="00533EC1">
        <w:rPr>
          <w:sz w:val="20"/>
          <w:szCs w:val="20"/>
        </w:rPr>
        <w:t xml:space="preserve"> </w:t>
      </w:r>
      <w:r w:rsidRPr="00533EC1">
        <w:rPr>
          <w:rFonts w:hint="eastAsia"/>
          <w:sz w:val="20"/>
          <w:szCs w:val="20"/>
        </w:rPr>
        <w:t>timing</w:t>
      </w:r>
      <w:r w:rsidRPr="00533EC1">
        <w:rPr>
          <w:sz w:val="20"/>
          <w:szCs w:val="20"/>
        </w:rPr>
        <w:t>:</w:t>
      </w:r>
    </w:p>
    <w:tbl>
      <w:tblPr>
        <w:tblStyle w:val="a6"/>
        <w:tblW w:w="0" w:type="auto"/>
        <w:tblLook w:val="04A0" w:firstRow="1" w:lastRow="0" w:firstColumn="1" w:lastColumn="0" w:noHBand="0" w:noVBand="1"/>
      </w:tblPr>
      <w:tblGrid>
        <w:gridCol w:w="10456"/>
      </w:tblGrid>
      <w:tr w:rsidR="00533EC1" w14:paraId="1FB6C9E5" w14:textId="77777777" w:rsidTr="00533EC1">
        <w:tc>
          <w:tcPr>
            <w:tcW w:w="10456" w:type="dxa"/>
          </w:tcPr>
          <w:p w14:paraId="282F41B4" w14:textId="77777777" w:rsidR="00533EC1" w:rsidRPr="00533EC1" w:rsidRDefault="00533EC1" w:rsidP="00533EC1">
            <w:pPr>
              <w:rPr>
                <w:rFonts w:ascii="Times New Roman" w:hAnsi="Times New Roman" w:cs="Times New Roman"/>
                <w:b/>
                <w:bCs/>
                <w:sz w:val="18"/>
                <w:szCs w:val="18"/>
                <w:highlight w:val="green"/>
              </w:rPr>
            </w:pPr>
            <w:r w:rsidRPr="00533EC1">
              <w:rPr>
                <w:rFonts w:ascii="Times New Roman" w:hAnsi="Times New Roman" w:cs="Times New Roman"/>
                <w:b/>
                <w:bCs/>
                <w:sz w:val="18"/>
                <w:szCs w:val="18"/>
                <w:highlight w:val="green"/>
              </w:rPr>
              <w:t>Agreement</w:t>
            </w:r>
          </w:p>
          <w:p w14:paraId="37F8545B" w14:textId="77777777" w:rsidR="00533EC1" w:rsidRPr="00533EC1" w:rsidRDefault="00533EC1" w:rsidP="00533EC1">
            <w:pPr>
              <w:rPr>
                <w:rFonts w:ascii="Times New Roman" w:hAnsi="Times New Roman" w:cs="Times New Roman"/>
                <w:sz w:val="18"/>
                <w:szCs w:val="18"/>
              </w:rPr>
            </w:pPr>
            <w:r w:rsidRPr="00533EC1">
              <w:rPr>
                <w:rFonts w:ascii="Times New Roman" w:hAnsi="Times New Roman" w:cs="Times New Roman"/>
                <w:sz w:val="18"/>
                <w:szCs w:val="18"/>
              </w:rPr>
              <w:t>For Case 6 timing at a given IAB-node, the IAB-MT Tx timing is set by the node to the timing obtained for the node’s DL Tx.</w:t>
            </w:r>
          </w:p>
          <w:p w14:paraId="4D392D1A" w14:textId="77777777" w:rsidR="00533EC1" w:rsidRDefault="00533EC1" w:rsidP="00B11DCD">
            <w:pPr>
              <w:pStyle w:val="a7"/>
              <w:numPr>
                <w:ilvl w:val="0"/>
                <w:numId w:val="18"/>
              </w:numPr>
              <w:ind w:firstLineChars="0"/>
              <w:contextualSpacing/>
              <w:textAlignment w:val="baseline"/>
              <w:rPr>
                <w:rFonts w:ascii="Times New Roman" w:hAnsi="Times New Roman" w:cs="Times New Roman"/>
                <w:sz w:val="18"/>
                <w:szCs w:val="18"/>
              </w:rPr>
            </w:pPr>
            <w:r w:rsidRPr="00533EC1">
              <w:rPr>
                <w:rFonts w:ascii="Times New Roman" w:hAnsi="Times New Roman" w:cs="Times New Roman"/>
                <w:sz w:val="18"/>
                <w:szCs w:val="18"/>
              </w:rPr>
              <w:t>FFS: Need for additional details with reference to support of OTA synchronization (e.g. T_delta)</w:t>
            </w:r>
          </w:p>
          <w:p w14:paraId="0E33BA37" w14:textId="77777777" w:rsidR="00B11DCD" w:rsidRPr="00441B9B" w:rsidRDefault="00B11DCD" w:rsidP="00B11DCD">
            <w:pPr>
              <w:rPr>
                <w:rFonts w:ascii="Times New Roman" w:hAnsi="Times New Roman" w:cs="Times New Roman"/>
                <w:bCs/>
                <w:sz w:val="18"/>
                <w:szCs w:val="18"/>
                <w:highlight w:val="lightGray"/>
              </w:rPr>
            </w:pPr>
            <w:r w:rsidRPr="00B11DCD">
              <w:rPr>
                <w:rFonts w:ascii="Times New Roman" w:hAnsi="Times New Roman" w:cs="Times New Roman"/>
                <w:bCs/>
                <w:sz w:val="18"/>
                <w:szCs w:val="18"/>
                <w:highlight w:val="lightGray"/>
              </w:rPr>
              <w:t>RAN1 to downselect</w:t>
            </w:r>
            <w:r w:rsidRPr="00441B9B">
              <w:rPr>
                <w:rFonts w:ascii="Times New Roman" w:hAnsi="Times New Roman" w:cs="Times New Roman"/>
                <w:bCs/>
                <w:sz w:val="18"/>
                <w:szCs w:val="18"/>
                <w:highlight w:val="lightGray"/>
              </w:rPr>
              <w:t xml:space="preserve"> in RAN1#107-e one of the following for an OTA timing synchronization mechanism to enable/maintain Case 6 timing mode:</w:t>
            </w:r>
          </w:p>
          <w:p w14:paraId="717B851A" w14:textId="2B01367D" w:rsidR="00B11DCD" w:rsidRPr="00441B9B" w:rsidRDefault="00B11DCD" w:rsidP="00B11DCD">
            <w:pPr>
              <w:widowControl/>
              <w:numPr>
                <w:ilvl w:val="0"/>
                <w:numId w:val="18"/>
              </w:numPr>
              <w:jc w:val="left"/>
              <w:rPr>
                <w:rFonts w:ascii="Times New Roman" w:hAnsi="Times New Roman" w:cs="Times New Roman"/>
                <w:bCs/>
                <w:sz w:val="18"/>
                <w:szCs w:val="18"/>
                <w:highlight w:val="lightGray"/>
                <w:lang w:val="en-GB"/>
              </w:rPr>
            </w:pPr>
            <w:r w:rsidRPr="00441B9B">
              <w:rPr>
                <w:rFonts w:ascii="Times New Roman" w:hAnsi="Times New Roman" w:cs="Times New Roman"/>
                <w:bCs/>
                <w:sz w:val="18"/>
                <w:szCs w:val="18"/>
                <w:highlight w:val="lightGray"/>
                <w:lang w:val="en-GB"/>
              </w:rPr>
              <w:t>Alt 1: no change or enhancement to the Rel-16 OTA synchronization specification is supported in Rel-17 for Case 6 timing.</w:t>
            </w:r>
          </w:p>
          <w:p w14:paraId="2AAE2E55" w14:textId="2A481959" w:rsidR="00B11DCD" w:rsidRPr="00441B9B" w:rsidRDefault="00B11DCD" w:rsidP="00B11DCD">
            <w:pPr>
              <w:widowControl/>
              <w:numPr>
                <w:ilvl w:val="0"/>
                <w:numId w:val="18"/>
              </w:numPr>
              <w:jc w:val="left"/>
              <w:rPr>
                <w:rFonts w:ascii="Times New Roman" w:hAnsi="Times New Roman" w:cs="Times New Roman"/>
                <w:bCs/>
                <w:sz w:val="18"/>
                <w:szCs w:val="18"/>
                <w:highlight w:val="lightGray"/>
                <w:lang w:val="en-GB"/>
              </w:rPr>
            </w:pPr>
            <w:r w:rsidRPr="00441B9B">
              <w:rPr>
                <w:rFonts w:ascii="Times New Roman" w:hAnsi="Times New Roman" w:cs="Times New Roman"/>
                <w:bCs/>
                <w:sz w:val="18"/>
                <w:szCs w:val="18"/>
                <w:highlight w:val="lightGray"/>
                <w:lang w:val="en-GB"/>
              </w:rPr>
              <w:t>Alt 2: in Rel-17 the Rel-16 OTA synchronization specification is updated to support OTA synchronization for an IAB-node operating solely in Case 6 timing during IAB-MT Tx.</w:t>
            </w:r>
            <w:r w:rsidRPr="00441B9B">
              <w:rPr>
                <w:rFonts w:ascii="Times New Roman" w:hAnsi="Times New Roman" w:cs="Times New Roman"/>
                <w:sz w:val="18"/>
                <w:szCs w:val="18"/>
                <w:highlight w:val="lightGray"/>
                <w:lang w:val="en-GB"/>
              </w:rPr>
              <w:t xml:space="preserve"> </w:t>
            </w:r>
          </w:p>
          <w:p w14:paraId="21B7B566" w14:textId="73349F36" w:rsidR="00B11DCD" w:rsidRPr="00B11DCD" w:rsidRDefault="00B11DCD" w:rsidP="00B11DCD">
            <w:pPr>
              <w:widowControl/>
              <w:numPr>
                <w:ilvl w:val="1"/>
                <w:numId w:val="18"/>
              </w:numPr>
              <w:jc w:val="left"/>
              <w:rPr>
                <w:rFonts w:ascii="Arial" w:hAnsi="Arial" w:cs="Arial"/>
                <w:b/>
                <w:bCs/>
                <w:lang w:val="en-GB"/>
              </w:rPr>
            </w:pPr>
            <w:r w:rsidRPr="00B11DCD">
              <w:rPr>
                <w:rFonts w:ascii="Times New Roman" w:hAnsi="Times New Roman" w:cs="Times New Roman"/>
                <w:bCs/>
                <w:sz w:val="18"/>
                <w:szCs w:val="18"/>
                <w:highlight w:val="lightGray"/>
                <w:lang w:val="en-GB"/>
              </w:rPr>
              <w:t>FFS range of T_delta.</w:t>
            </w:r>
          </w:p>
        </w:tc>
      </w:tr>
    </w:tbl>
    <w:p w14:paraId="59BF140F" w14:textId="77777777" w:rsidR="00533EC1" w:rsidRDefault="00533EC1" w:rsidP="00533EC1">
      <w:pPr>
        <w:spacing w:after="120" w:line="276" w:lineRule="auto"/>
        <w:rPr>
          <w:rFonts w:eastAsia="Malgun Gothic"/>
        </w:rPr>
      </w:pPr>
    </w:p>
    <w:p w14:paraId="127176EB" w14:textId="713EE690" w:rsidR="00533EC1" w:rsidRDefault="00533EC1" w:rsidP="00533EC1">
      <w:pPr>
        <w:rPr>
          <w:sz w:val="20"/>
          <w:szCs w:val="20"/>
        </w:rPr>
      </w:pPr>
      <w:r w:rsidRPr="00533EC1">
        <w:rPr>
          <w:rFonts w:hint="eastAsia"/>
          <w:sz w:val="20"/>
          <w:szCs w:val="20"/>
        </w:rPr>
        <w:t>In</w:t>
      </w:r>
      <w:r w:rsidRPr="00533EC1">
        <w:rPr>
          <w:sz w:val="20"/>
          <w:szCs w:val="20"/>
        </w:rPr>
        <w:t xml:space="preserve"> </w:t>
      </w:r>
      <w:r w:rsidRPr="00533EC1">
        <w:rPr>
          <w:rFonts w:hint="eastAsia"/>
          <w:sz w:val="20"/>
          <w:szCs w:val="20"/>
        </w:rPr>
        <w:t>RAN1#106-e</w:t>
      </w:r>
      <w:r w:rsidR="00C4749E">
        <w:rPr>
          <w:sz w:val="20"/>
          <w:szCs w:val="20"/>
        </w:rPr>
        <w:t xml:space="preserve"> and RAN1#106</w:t>
      </w:r>
      <w:r w:rsidR="00833D23">
        <w:rPr>
          <w:sz w:val="20"/>
          <w:szCs w:val="20"/>
        </w:rPr>
        <w:t xml:space="preserve">bis </w:t>
      </w:r>
      <w:r w:rsidR="00C4749E">
        <w:rPr>
          <w:sz w:val="20"/>
          <w:szCs w:val="20"/>
        </w:rPr>
        <w:t>e</w:t>
      </w:r>
      <w:r w:rsidRPr="00533EC1">
        <w:rPr>
          <w:rFonts w:hint="eastAsia"/>
          <w:sz w:val="20"/>
          <w:szCs w:val="20"/>
        </w:rPr>
        <w:t>,</w:t>
      </w:r>
      <w:r w:rsidRPr="00533EC1">
        <w:rPr>
          <w:sz w:val="20"/>
          <w:szCs w:val="20"/>
        </w:rPr>
        <w:t xml:space="preserve"> </w:t>
      </w:r>
      <w:r w:rsidRPr="00533EC1">
        <w:rPr>
          <w:rFonts w:hint="eastAsia"/>
          <w:sz w:val="20"/>
          <w:szCs w:val="20"/>
        </w:rPr>
        <w:t>the</w:t>
      </w:r>
      <w:r w:rsidRPr="00533EC1">
        <w:rPr>
          <w:sz w:val="20"/>
          <w:szCs w:val="20"/>
        </w:rPr>
        <w:t xml:space="preserve"> </w:t>
      </w:r>
      <w:r w:rsidRPr="00533EC1">
        <w:rPr>
          <w:rFonts w:hint="eastAsia"/>
          <w:sz w:val="20"/>
          <w:szCs w:val="20"/>
        </w:rPr>
        <w:t>following</w:t>
      </w:r>
      <w:r w:rsidRPr="00533EC1">
        <w:rPr>
          <w:sz w:val="20"/>
          <w:szCs w:val="20"/>
        </w:rPr>
        <w:t xml:space="preserve"> </w:t>
      </w:r>
      <w:r w:rsidRPr="00533EC1">
        <w:rPr>
          <w:rFonts w:hint="eastAsia"/>
          <w:sz w:val="20"/>
          <w:szCs w:val="20"/>
        </w:rPr>
        <w:t>was</w:t>
      </w:r>
      <w:r w:rsidRPr="00533EC1">
        <w:rPr>
          <w:sz w:val="20"/>
          <w:szCs w:val="20"/>
        </w:rPr>
        <w:t xml:space="preserve"> </w:t>
      </w:r>
      <w:r w:rsidRPr="00533EC1">
        <w:rPr>
          <w:rFonts w:hint="eastAsia"/>
          <w:sz w:val="20"/>
          <w:szCs w:val="20"/>
        </w:rPr>
        <w:t>agreed</w:t>
      </w:r>
      <w:r w:rsidRPr="00533EC1">
        <w:rPr>
          <w:sz w:val="20"/>
          <w:szCs w:val="20"/>
        </w:rPr>
        <w:t xml:space="preserve"> </w:t>
      </w:r>
      <w:r w:rsidRPr="00533EC1">
        <w:rPr>
          <w:rFonts w:hint="eastAsia"/>
          <w:sz w:val="20"/>
          <w:szCs w:val="20"/>
        </w:rPr>
        <w:t>for</w:t>
      </w:r>
      <w:r w:rsidRPr="00533EC1">
        <w:rPr>
          <w:sz w:val="20"/>
          <w:szCs w:val="20"/>
        </w:rPr>
        <w:t xml:space="preserve"> </w:t>
      </w:r>
      <w:r w:rsidRPr="00533EC1">
        <w:rPr>
          <w:rFonts w:hint="eastAsia"/>
          <w:sz w:val="20"/>
          <w:szCs w:val="20"/>
        </w:rPr>
        <w:t>Case</w:t>
      </w:r>
      <w:r w:rsidRPr="00533EC1">
        <w:rPr>
          <w:sz w:val="20"/>
          <w:szCs w:val="20"/>
        </w:rPr>
        <w:t xml:space="preserve"> </w:t>
      </w:r>
      <w:r w:rsidRPr="00533EC1">
        <w:rPr>
          <w:rFonts w:hint="eastAsia"/>
          <w:sz w:val="20"/>
          <w:szCs w:val="20"/>
        </w:rPr>
        <w:t>7</w:t>
      </w:r>
      <w:r w:rsidRPr="00533EC1">
        <w:rPr>
          <w:sz w:val="20"/>
          <w:szCs w:val="20"/>
        </w:rPr>
        <w:t xml:space="preserve"> </w:t>
      </w:r>
      <w:r w:rsidRPr="00533EC1">
        <w:rPr>
          <w:rFonts w:hint="eastAsia"/>
          <w:sz w:val="20"/>
          <w:szCs w:val="20"/>
        </w:rPr>
        <w:t>timing</w:t>
      </w:r>
      <w:r w:rsidRPr="00533EC1">
        <w:rPr>
          <w:sz w:val="20"/>
          <w:szCs w:val="20"/>
        </w:rPr>
        <w:t xml:space="preserve"> </w:t>
      </w:r>
      <w:r w:rsidRPr="00533EC1">
        <w:rPr>
          <w:rFonts w:hint="eastAsia"/>
          <w:sz w:val="20"/>
          <w:szCs w:val="20"/>
        </w:rPr>
        <w:t>at</w:t>
      </w:r>
      <w:r w:rsidRPr="00533EC1">
        <w:rPr>
          <w:sz w:val="20"/>
          <w:szCs w:val="20"/>
        </w:rPr>
        <w:t xml:space="preserve"> </w:t>
      </w:r>
      <w:r w:rsidRPr="00533EC1">
        <w:rPr>
          <w:rFonts w:hint="eastAsia"/>
          <w:sz w:val="20"/>
          <w:szCs w:val="20"/>
        </w:rPr>
        <w:t>the</w:t>
      </w:r>
      <w:r w:rsidRPr="00533EC1">
        <w:rPr>
          <w:sz w:val="20"/>
          <w:szCs w:val="20"/>
        </w:rPr>
        <w:t xml:space="preserve"> </w:t>
      </w:r>
      <w:r w:rsidRPr="00533EC1">
        <w:rPr>
          <w:rFonts w:hint="eastAsia"/>
          <w:sz w:val="20"/>
          <w:szCs w:val="20"/>
        </w:rPr>
        <w:t>parent</w:t>
      </w:r>
      <w:r w:rsidRPr="00533EC1">
        <w:rPr>
          <w:sz w:val="20"/>
          <w:szCs w:val="20"/>
        </w:rPr>
        <w:t xml:space="preserve"> </w:t>
      </w:r>
      <w:r w:rsidRPr="00533EC1">
        <w:rPr>
          <w:rFonts w:hint="eastAsia"/>
          <w:sz w:val="20"/>
          <w:szCs w:val="20"/>
        </w:rPr>
        <w:t>node:</w:t>
      </w:r>
    </w:p>
    <w:tbl>
      <w:tblPr>
        <w:tblStyle w:val="a6"/>
        <w:tblW w:w="0" w:type="auto"/>
        <w:tblLook w:val="04A0" w:firstRow="1" w:lastRow="0" w:firstColumn="1" w:lastColumn="0" w:noHBand="0" w:noVBand="1"/>
      </w:tblPr>
      <w:tblGrid>
        <w:gridCol w:w="10456"/>
      </w:tblGrid>
      <w:tr w:rsidR="00533EC1" w14:paraId="7514A028" w14:textId="77777777" w:rsidTr="00533EC1">
        <w:tc>
          <w:tcPr>
            <w:tcW w:w="10456" w:type="dxa"/>
          </w:tcPr>
          <w:p w14:paraId="729D7E76" w14:textId="77777777" w:rsidR="00533EC1" w:rsidRPr="00533EC1" w:rsidRDefault="00533EC1" w:rsidP="00533EC1">
            <w:pPr>
              <w:rPr>
                <w:rFonts w:ascii="Times New Roman" w:hAnsi="Times New Roman" w:cs="Times New Roman"/>
                <w:b/>
                <w:bCs/>
                <w:sz w:val="18"/>
                <w:szCs w:val="18"/>
                <w:highlight w:val="green"/>
              </w:rPr>
            </w:pPr>
            <w:r w:rsidRPr="00533EC1">
              <w:rPr>
                <w:rFonts w:ascii="Times New Roman" w:hAnsi="Times New Roman" w:cs="Times New Roman"/>
                <w:b/>
                <w:bCs/>
                <w:sz w:val="18"/>
                <w:szCs w:val="18"/>
                <w:highlight w:val="green"/>
              </w:rPr>
              <w:t>Agreement</w:t>
            </w:r>
          </w:p>
          <w:p w14:paraId="1F09705A" w14:textId="77777777" w:rsidR="00533EC1" w:rsidRPr="00533EC1" w:rsidRDefault="00533EC1" w:rsidP="00533EC1">
            <w:pPr>
              <w:rPr>
                <w:rFonts w:ascii="Times New Roman" w:hAnsi="Times New Roman" w:cs="Times New Roman"/>
                <w:color w:val="000000"/>
                <w:sz w:val="18"/>
                <w:szCs w:val="18"/>
              </w:rPr>
            </w:pPr>
            <w:r w:rsidRPr="00533EC1">
              <w:rPr>
                <w:rFonts w:ascii="Times New Roman" w:hAnsi="Times New Roman" w:cs="Times New Roman"/>
                <w:color w:val="000000"/>
                <w:sz w:val="18"/>
                <w:szCs w:val="18"/>
              </w:rPr>
              <w:t>For Case 7 timing at a parent node, the IAB-MT Tx timing of the node is obtained via the legacy TA loop plus an offset from the parent node.</w:t>
            </w:r>
          </w:p>
          <w:p w14:paraId="5CBF2FA3" w14:textId="77777777" w:rsidR="00C4749E" w:rsidRPr="00C4749E" w:rsidRDefault="00C4749E" w:rsidP="00533EC1">
            <w:pPr>
              <w:pStyle w:val="a7"/>
              <w:numPr>
                <w:ilvl w:val="0"/>
                <w:numId w:val="20"/>
              </w:numPr>
              <w:ind w:firstLineChars="0"/>
              <w:contextualSpacing/>
              <w:rPr>
                <w:rFonts w:ascii="Times New Roman" w:hAnsi="Times New Roman" w:cs="Times New Roman"/>
                <w:sz w:val="18"/>
                <w:szCs w:val="18"/>
                <w:highlight w:val="lightGray"/>
              </w:rPr>
            </w:pPr>
            <w:r w:rsidRPr="00C4749E">
              <w:rPr>
                <w:rFonts w:ascii="Times New Roman" w:hAnsi="Times New Roman" w:cs="Times New Roman"/>
                <w:sz w:val="18"/>
                <w:szCs w:val="18"/>
                <w:highlight w:val="lightGray"/>
              </w:rPr>
              <w:t>Case 7 UL timing offset is indicated by the parent-node via MAC-CE</w:t>
            </w:r>
          </w:p>
          <w:p w14:paraId="13746299" w14:textId="77777777" w:rsidR="00C4749E" w:rsidRPr="00C4749E" w:rsidRDefault="00C4749E" w:rsidP="00533EC1">
            <w:pPr>
              <w:pStyle w:val="a7"/>
              <w:numPr>
                <w:ilvl w:val="0"/>
                <w:numId w:val="20"/>
              </w:numPr>
              <w:ind w:firstLineChars="0"/>
              <w:contextualSpacing/>
              <w:rPr>
                <w:rFonts w:ascii="Times New Roman" w:hAnsi="Times New Roman" w:cs="Times New Roman"/>
                <w:sz w:val="18"/>
                <w:szCs w:val="18"/>
                <w:highlight w:val="lightGray"/>
              </w:rPr>
            </w:pPr>
            <w:r w:rsidRPr="00C4749E">
              <w:rPr>
                <w:rFonts w:ascii="Times New Roman" w:hAnsi="Times New Roman" w:cs="Times New Roman"/>
                <w:sz w:val="18"/>
                <w:szCs w:val="18"/>
                <w:highlight w:val="lightGray"/>
              </w:rPr>
              <w:t>The granularity of Case 7 UL timing offset is the same as the UL TA granularity.</w:t>
            </w:r>
          </w:p>
          <w:p w14:paraId="38822D67" w14:textId="4ABB5BEC" w:rsidR="00C4749E" w:rsidRPr="00533EC1" w:rsidRDefault="00C4749E" w:rsidP="00D533F7">
            <w:pPr>
              <w:pStyle w:val="a7"/>
              <w:numPr>
                <w:ilvl w:val="1"/>
                <w:numId w:val="20"/>
              </w:numPr>
              <w:ind w:firstLineChars="0"/>
              <w:contextualSpacing/>
              <w:rPr>
                <w:rFonts w:ascii="Times New Roman" w:hAnsi="Times New Roman" w:cs="Times New Roman"/>
                <w:color w:val="000000"/>
                <w:sz w:val="18"/>
                <w:szCs w:val="18"/>
              </w:rPr>
            </w:pPr>
            <w:r w:rsidRPr="00C4749E">
              <w:rPr>
                <w:rFonts w:ascii="Times New Roman" w:hAnsi="Times New Roman" w:cs="Times New Roman"/>
                <w:sz w:val="18"/>
                <w:szCs w:val="18"/>
                <w:highlight w:val="lightGray"/>
              </w:rPr>
              <w:t>FFS on TA range</w:t>
            </w:r>
          </w:p>
        </w:tc>
      </w:tr>
    </w:tbl>
    <w:p w14:paraId="399438BC" w14:textId="77777777" w:rsidR="00A703FD" w:rsidRDefault="00A703FD" w:rsidP="00750155">
      <w:pPr>
        <w:rPr>
          <w:sz w:val="20"/>
          <w:szCs w:val="20"/>
        </w:rPr>
      </w:pPr>
    </w:p>
    <w:p w14:paraId="06515D2A" w14:textId="4B246D3E" w:rsidR="00A703FD" w:rsidRDefault="00A703FD" w:rsidP="00750155">
      <w:pPr>
        <w:rPr>
          <w:sz w:val="20"/>
          <w:szCs w:val="20"/>
        </w:rPr>
      </w:pPr>
      <w:r>
        <w:rPr>
          <w:rFonts w:hint="eastAsia"/>
          <w:sz w:val="20"/>
          <w:szCs w:val="20"/>
        </w:rPr>
        <w:t>F</w:t>
      </w:r>
      <w:r>
        <w:rPr>
          <w:sz w:val="20"/>
          <w:szCs w:val="20"/>
        </w:rPr>
        <w:t>or timing mode indication, it’s agreed that</w:t>
      </w:r>
    </w:p>
    <w:tbl>
      <w:tblPr>
        <w:tblStyle w:val="a6"/>
        <w:tblW w:w="0" w:type="auto"/>
        <w:tblLook w:val="04A0" w:firstRow="1" w:lastRow="0" w:firstColumn="1" w:lastColumn="0" w:noHBand="0" w:noVBand="1"/>
      </w:tblPr>
      <w:tblGrid>
        <w:gridCol w:w="10456"/>
      </w:tblGrid>
      <w:tr w:rsidR="00A703FD" w14:paraId="292B0AF7" w14:textId="77777777" w:rsidTr="00A703FD">
        <w:tc>
          <w:tcPr>
            <w:tcW w:w="10456" w:type="dxa"/>
          </w:tcPr>
          <w:p w14:paraId="7350603D" w14:textId="77777777" w:rsidR="00A703FD" w:rsidRPr="00533EC1" w:rsidRDefault="00A703FD" w:rsidP="00A703FD">
            <w:pPr>
              <w:rPr>
                <w:rFonts w:ascii="Times New Roman" w:hAnsi="Times New Roman" w:cs="Times New Roman"/>
                <w:b/>
                <w:bCs/>
                <w:sz w:val="18"/>
                <w:szCs w:val="18"/>
                <w:highlight w:val="green"/>
              </w:rPr>
            </w:pPr>
            <w:r w:rsidRPr="00533EC1">
              <w:rPr>
                <w:rFonts w:ascii="Times New Roman" w:hAnsi="Times New Roman" w:cs="Times New Roman"/>
                <w:b/>
                <w:bCs/>
                <w:sz w:val="18"/>
                <w:szCs w:val="18"/>
                <w:highlight w:val="green"/>
              </w:rPr>
              <w:t>Agreement</w:t>
            </w:r>
          </w:p>
          <w:p w14:paraId="6D88EFCB" w14:textId="77777777" w:rsidR="00A703FD" w:rsidRPr="00533EC1" w:rsidRDefault="00A703FD" w:rsidP="00A703FD">
            <w:pPr>
              <w:rPr>
                <w:rFonts w:ascii="Times New Roman" w:hAnsi="Times New Roman" w:cs="Times New Roman"/>
                <w:sz w:val="18"/>
                <w:szCs w:val="18"/>
                <w:lang w:eastAsia="ja-JP"/>
              </w:rPr>
            </w:pPr>
            <w:r w:rsidRPr="00533EC1">
              <w:rPr>
                <w:rFonts w:ascii="Times New Roman" w:hAnsi="Times New Roman" w:cs="Times New Roman"/>
                <w:sz w:val="18"/>
                <w:szCs w:val="18"/>
                <w:lang w:eastAsia="ja-JP"/>
              </w:rPr>
              <w:lastRenderedPageBreak/>
              <w:t>An IAB-node is explicitly indicated by the parent node when Case 6 timing is performed at</w:t>
            </w:r>
            <w:r w:rsidRPr="00533EC1">
              <w:rPr>
                <w:rStyle w:val="apple-converted-space"/>
                <w:rFonts w:ascii="Times New Roman" w:hAnsi="Times New Roman" w:cs="Times New Roman"/>
                <w:sz w:val="18"/>
                <w:szCs w:val="18"/>
                <w:lang w:eastAsia="ja-JP"/>
              </w:rPr>
              <w:t> </w:t>
            </w:r>
            <w:r w:rsidRPr="00533EC1">
              <w:rPr>
                <w:rFonts w:ascii="Times New Roman" w:hAnsi="Times New Roman" w:cs="Times New Roman"/>
                <w:sz w:val="18"/>
                <w:szCs w:val="18"/>
                <w:lang w:eastAsia="ja-JP"/>
              </w:rPr>
              <w:t>the IAB-node at least for</w:t>
            </w:r>
            <w:r w:rsidRPr="00533EC1">
              <w:rPr>
                <w:rStyle w:val="apple-converted-space"/>
                <w:rFonts w:ascii="Times New Roman" w:hAnsi="Times New Roman" w:cs="Times New Roman"/>
                <w:sz w:val="18"/>
                <w:szCs w:val="18"/>
                <w:lang w:eastAsia="ja-JP"/>
              </w:rPr>
              <w:t> </w:t>
            </w:r>
            <w:r w:rsidRPr="00533EC1">
              <w:rPr>
                <w:rFonts w:ascii="Times New Roman" w:hAnsi="Times New Roman" w:cs="Times New Roman"/>
                <w:sz w:val="18"/>
                <w:szCs w:val="18"/>
                <w:lang w:eastAsia="ja-JP"/>
              </w:rPr>
              <w:t>specific time</w:t>
            </w:r>
            <w:r w:rsidRPr="00533EC1">
              <w:rPr>
                <w:rStyle w:val="apple-converted-space"/>
                <w:rFonts w:ascii="Times New Roman" w:hAnsi="Times New Roman" w:cs="Times New Roman"/>
                <w:sz w:val="18"/>
                <w:szCs w:val="18"/>
                <w:lang w:eastAsia="ja-JP"/>
              </w:rPr>
              <w:t> </w:t>
            </w:r>
            <w:r w:rsidRPr="00533EC1">
              <w:rPr>
                <w:rFonts w:ascii="Times New Roman" w:hAnsi="Times New Roman" w:cs="Times New Roman"/>
                <w:sz w:val="18"/>
                <w:szCs w:val="18"/>
                <w:lang w:eastAsia="ja-JP"/>
              </w:rPr>
              <w:t>resources.</w:t>
            </w:r>
          </w:p>
          <w:p w14:paraId="6BC7F347" w14:textId="77777777" w:rsidR="00A703FD" w:rsidRDefault="00A703FD" w:rsidP="00A703FD">
            <w:pPr>
              <w:pStyle w:val="a7"/>
              <w:numPr>
                <w:ilvl w:val="0"/>
                <w:numId w:val="19"/>
              </w:numPr>
              <w:ind w:firstLineChars="0"/>
              <w:rPr>
                <w:rFonts w:ascii="Times New Roman" w:hAnsi="Times New Roman" w:cs="Times New Roman"/>
                <w:sz w:val="18"/>
                <w:szCs w:val="18"/>
                <w:lang w:eastAsia="ja-JP"/>
              </w:rPr>
            </w:pPr>
            <w:r w:rsidRPr="00533EC1">
              <w:rPr>
                <w:rFonts w:ascii="Times New Roman" w:hAnsi="Times New Roman" w:cs="Times New Roman"/>
                <w:sz w:val="18"/>
                <w:szCs w:val="18"/>
                <w:lang w:eastAsia="ja-JP"/>
              </w:rPr>
              <w:t>FFS: whether the indication should be associated with another dimensions, e.g. multiplexing cases</w:t>
            </w:r>
          </w:p>
          <w:p w14:paraId="0381E496" w14:textId="70CCE42D" w:rsidR="00A703FD" w:rsidRPr="00A703FD" w:rsidRDefault="00A703FD" w:rsidP="00A703FD">
            <w:pPr>
              <w:pStyle w:val="a7"/>
              <w:numPr>
                <w:ilvl w:val="0"/>
                <w:numId w:val="19"/>
              </w:numPr>
              <w:ind w:firstLineChars="0"/>
              <w:rPr>
                <w:rFonts w:ascii="Times New Roman" w:hAnsi="Times New Roman" w:cs="Times New Roman"/>
                <w:sz w:val="18"/>
                <w:szCs w:val="18"/>
                <w:lang w:eastAsia="ja-JP"/>
              </w:rPr>
            </w:pPr>
            <w:r w:rsidRPr="00A703FD">
              <w:rPr>
                <w:rFonts w:ascii="Times New Roman" w:hAnsi="Times New Roman" w:cs="Times New Roman"/>
                <w:sz w:val="18"/>
                <w:szCs w:val="18"/>
                <w:lang w:eastAsia="ja-JP"/>
              </w:rPr>
              <w:t>FFS whether an IAB-node is explicitly indicated by the parent node when Case 7 timing is performed at the IAB-node.</w:t>
            </w:r>
          </w:p>
        </w:tc>
      </w:tr>
    </w:tbl>
    <w:p w14:paraId="4F7FAF33" w14:textId="77777777" w:rsidR="00A703FD" w:rsidRDefault="00A703FD" w:rsidP="00750155">
      <w:pPr>
        <w:rPr>
          <w:sz w:val="20"/>
          <w:szCs w:val="20"/>
        </w:rPr>
      </w:pPr>
    </w:p>
    <w:p w14:paraId="2D8F3B05" w14:textId="527B4D9C" w:rsidR="004E338D" w:rsidRPr="002A04B1" w:rsidRDefault="009549A7" w:rsidP="00750155">
      <w:pPr>
        <w:rPr>
          <w:sz w:val="20"/>
          <w:szCs w:val="20"/>
        </w:rPr>
      </w:pPr>
      <w:r w:rsidRPr="002A04B1">
        <w:rPr>
          <w:sz w:val="20"/>
          <w:szCs w:val="20"/>
        </w:rPr>
        <w:t>This contribution discusses further on</w:t>
      </w:r>
      <w:r w:rsidR="00A81997">
        <w:rPr>
          <w:sz w:val="20"/>
          <w:szCs w:val="20"/>
        </w:rPr>
        <w:t xml:space="preserve"> timing related enhancement from RAN4 perspective</w:t>
      </w:r>
      <w:r w:rsidR="00750155" w:rsidRPr="002A04B1">
        <w:rPr>
          <w:sz w:val="20"/>
          <w:szCs w:val="20"/>
        </w:rPr>
        <w:t xml:space="preserve"> </w:t>
      </w:r>
      <w:r w:rsidRPr="002A04B1">
        <w:rPr>
          <w:sz w:val="20"/>
          <w:szCs w:val="20"/>
        </w:rPr>
        <w:t xml:space="preserve">based on </w:t>
      </w:r>
      <w:r w:rsidR="00533EC1">
        <w:rPr>
          <w:sz w:val="20"/>
          <w:szCs w:val="20"/>
        </w:rPr>
        <w:t xml:space="preserve">above </w:t>
      </w:r>
      <w:r w:rsidR="00C4749E">
        <w:rPr>
          <w:sz w:val="20"/>
          <w:szCs w:val="20"/>
        </w:rPr>
        <w:t xml:space="preserve">RAN4 agreement </w:t>
      </w:r>
      <w:r w:rsidR="00533EC1">
        <w:rPr>
          <w:sz w:val="20"/>
          <w:szCs w:val="20"/>
        </w:rPr>
        <w:t xml:space="preserve">and </w:t>
      </w:r>
      <w:r w:rsidR="00A81997">
        <w:rPr>
          <w:sz w:val="20"/>
          <w:szCs w:val="20"/>
        </w:rPr>
        <w:t>corresponding</w:t>
      </w:r>
      <w:r w:rsidRPr="002A04B1">
        <w:rPr>
          <w:sz w:val="20"/>
          <w:szCs w:val="20"/>
        </w:rPr>
        <w:t xml:space="preserve"> PHY</w:t>
      </w:r>
      <w:r w:rsidR="00533EC1">
        <w:rPr>
          <w:sz w:val="20"/>
          <w:szCs w:val="20"/>
        </w:rPr>
        <w:t xml:space="preserve"> layer</w:t>
      </w:r>
      <w:r w:rsidRPr="002A04B1">
        <w:rPr>
          <w:sz w:val="20"/>
          <w:szCs w:val="20"/>
        </w:rPr>
        <w:t xml:space="preserve"> progress. </w:t>
      </w:r>
    </w:p>
    <w:p w14:paraId="098BC1D4" w14:textId="26A46DF5" w:rsidR="00276C66" w:rsidRDefault="006C3751" w:rsidP="00276C66">
      <w:pPr>
        <w:pStyle w:val="1"/>
        <w:rPr>
          <w:rFonts w:cs="Arial"/>
          <w:lang w:eastAsia="zh-CN"/>
        </w:rPr>
      </w:pPr>
      <w:r>
        <w:rPr>
          <w:rFonts w:cs="Arial"/>
          <w:lang w:eastAsia="zh-CN"/>
        </w:rPr>
        <w:t>Discussion</w:t>
      </w:r>
      <w:r w:rsidR="00276C66">
        <w:rPr>
          <w:rFonts w:cs="Arial"/>
          <w:lang w:eastAsia="zh-CN"/>
        </w:rPr>
        <w:t xml:space="preserve">   </w:t>
      </w:r>
    </w:p>
    <w:p w14:paraId="7B49F025" w14:textId="78C3F61E" w:rsidR="00001787" w:rsidRPr="00001787" w:rsidRDefault="00001787" w:rsidP="00001787">
      <w:pPr>
        <w:rPr>
          <w:rFonts w:eastAsia="Malgun Gothic"/>
          <w:sz w:val="20"/>
          <w:szCs w:val="20"/>
          <w:u w:val="single"/>
        </w:rPr>
      </w:pPr>
      <w:r w:rsidRPr="00001787">
        <w:rPr>
          <w:rFonts w:eastAsia="Malgun Gothic"/>
          <w:sz w:val="20"/>
          <w:szCs w:val="20"/>
          <w:u w:val="single"/>
        </w:rPr>
        <w:t>Timing error between IAB-DU and IAB-MT transmission wi</w:t>
      </w:r>
      <w:r>
        <w:rPr>
          <w:rFonts w:eastAsia="Malgun Gothic"/>
          <w:sz w:val="20"/>
          <w:szCs w:val="20"/>
          <w:u w:val="single"/>
        </w:rPr>
        <w:t>thin one node for timing case#6</w:t>
      </w:r>
    </w:p>
    <w:p w14:paraId="19D39423" w14:textId="0C6534E0" w:rsidR="00542A09" w:rsidRDefault="00542A09" w:rsidP="00DC0964">
      <w:pPr>
        <w:spacing w:after="120" w:line="276" w:lineRule="auto"/>
        <w:rPr>
          <w:rFonts w:eastAsia="Malgun Gothic"/>
          <w:sz w:val="20"/>
          <w:szCs w:val="20"/>
        </w:rPr>
      </w:pPr>
      <w:r>
        <w:rPr>
          <w:rFonts w:eastAsia="Malgun Gothic"/>
          <w:sz w:val="20"/>
          <w:szCs w:val="20"/>
        </w:rPr>
        <w:t>According to RAN1 agreement on case 6 timing for simultaneous MT-TX/DU-TX, the discussion converges on Alt2 generated in RAN1#105. But there is still</w:t>
      </w:r>
      <w:r w:rsidRPr="00542A09">
        <w:rPr>
          <w:rFonts w:eastAsia="Malgun Gothic"/>
          <w:sz w:val="20"/>
          <w:szCs w:val="20"/>
        </w:rPr>
        <w:t xml:space="preserve"> a divergence of views on whether the Rel-16 OTA synchronization</w:t>
      </w:r>
      <w:r w:rsidR="00833D23">
        <w:rPr>
          <w:rFonts w:eastAsia="Malgun Gothic"/>
          <w:sz w:val="20"/>
          <w:szCs w:val="20"/>
        </w:rPr>
        <w:t xml:space="preserve"> mechanism should be updated for </w:t>
      </w:r>
      <w:r w:rsidRPr="00542A09">
        <w:rPr>
          <w:rFonts w:eastAsia="Malgun Gothic"/>
          <w:sz w:val="20"/>
          <w:szCs w:val="20"/>
        </w:rPr>
        <w:t>operation in Case 6</w:t>
      </w:r>
      <w:r w:rsidR="00833D23">
        <w:rPr>
          <w:rFonts w:eastAsia="Malgun Gothic"/>
          <w:sz w:val="20"/>
          <w:szCs w:val="20"/>
        </w:rPr>
        <w:t xml:space="preserve"> timing</w:t>
      </w:r>
      <w:r>
        <w:rPr>
          <w:rFonts w:eastAsia="Malgun Gothic"/>
          <w:sz w:val="20"/>
          <w:szCs w:val="20"/>
        </w:rPr>
        <w:t>. The controversial</w:t>
      </w:r>
      <w:r w:rsidR="00BC2AFB">
        <w:rPr>
          <w:rFonts w:eastAsia="Malgun Gothic"/>
          <w:sz w:val="20"/>
          <w:szCs w:val="20"/>
        </w:rPr>
        <w:t xml:space="preserve"> issues are such as whether </w:t>
      </w:r>
      <w:r w:rsidR="00BC2AFB" w:rsidRPr="00BC2AFB">
        <w:rPr>
          <w:rFonts w:eastAsia="Malgun Gothic"/>
          <w:sz w:val="20"/>
          <w:szCs w:val="20"/>
        </w:rPr>
        <w:t>extension of T_delta range</w:t>
      </w:r>
      <w:r w:rsidR="00BC2AFB">
        <w:rPr>
          <w:rFonts w:eastAsia="Malgun Gothic"/>
          <w:sz w:val="20"/>
          <w:szCs w:val="20"/>
        </w:rPr>
        <w:t xml:space="preserve"> is required or whether operation in case 6 timing without </w:t>
      </w:r>
      <w:r w:rsidR="00E21AB2">
        <w:rPr>
          <w:rFonts w:eastAsia="Malgun Gothic"/>
          <w:sz w:val="20"/>
          <w:szCs w:val="20"/>
        </w:rPr>
        <w:t>switching back to case 1 timing</w:t>
      </w:r>
      <w:r w:rsidR="00BC2AFB">
        <w:rPr>
          <w:rFonts w:eastAsia="Malgun Gothic"/>
          <w:sz w:val="20"/>
          <w:szCs w:val="20"/>
        </w:rPr>
        <w:t xml:space="preserve"> is nor</w:t>
      </w:r>
      <w:r w:rsidR="00833D23">
        <w:rPr>
          <w:rFonts w:eastAsia="Malgun Gothic"/>
          <w:sz w:val="20"/>
          <w:szCs w:val="20"/>
        </w:rPr>
        <w:t>mal case</w:t>
      </w:r>
      <w:r w:rsidR="00E21AB2">
        <w:rPr>
          <w:rFonts w:eastAsia="Malgun Gothic"/>
          <w:sz w:val="20"/>
          <w:szCs w:val="20"/>
        </w:rPr>
        <w:t>.</w:t>
      </w:r>
      <w:r w:rsidR="00BC2AFB">
        <w:rPr>
          <w:rFonts w:eastAsia="Malgun Gothic"/>
          <w:sz w:val="20"/>
          <w:szCs w:val="20"/>
        </w:rPr>
        <w:t xml:space="preserve"> </w:t>
      </w:r>
      <w:r w:rsidR="00833D23">
        <w:rPr>
          <w:rFonts w:eastAsia="Malgun Gothic"/>
          <w:sz w:val="20"/>
          <w:szCs w:val="20"/>
        </w:rPr>
        <w:t>Considering these</w:t>
      </w:r>
      <w:r w:rsidR="00E21AB2">
        <w:rPr>
          <w:rFonts w:eastAsia="Malgun Gothic"/>
          <w:sz w:val="20"/>
          <w:szCs w:val="20"/>
        </w:rPr>
        <w:t>, the remaining issue on case 6 in RAN1 should have no significant implication on timing error for simultaneous MT-TX/DU-TX</w:t>
      </w:r>
      <w:r w:rsidR="00F67CA2">
        <w:rPr>
          <w:rFonts w:eastAsia="Malgun Gothic"/>
          <w:sz w:val="20"/>
          <w:szCs w:val="20"/>
        </w:rPr>
        <w:t xml:space="preserve"> in RAN4 discussion</w:t>
      </w:r>
      <w:r w:rsidR="00E21AB2">
        <w:rPr>
          <w:rFonts w:eastAsia="Malgun Gothic"/>
          <w:sz w:val="20"/>
          <w:szCs w:val="20"/>
        </w:rPr>
        <w:t xml:space="preserve">. </w:t>
      </w:r>
    </w:p>
    <w:p w14:paraId="0A7CD68F" w14:textId="1540633B" w:rsidR="007C1459" w:rsidRPr="007C1459" w:rsidRDefault="007C1459" w:rsidP="00DC0964">
      <w:pPr>
        <w:spacing w:after="120" w:line="276" w:lineRule="auto"/>
        <w:rPr>
          <w:sz w:val="20"/>
          <w:szCs w:val="20"/>
        </w:rPr>
      </w:pPr>
      <w:r w:rsidRPr="00001787">
        <w:rPr>
          <w:rFonts w:eastAsia="Malgun Gothic"/>
          <w:b/>
          <w:sz w:val="20"/>
          <w:szCs w:val="20"/>
        </w:rPr>
        <w:t>Observation</w:t>
      </w:r>
      <w:r>
        <w:rPr>
          <w:rFonts w:eastAsia="Malgun Gothic"/>
          <w:b/>
          <w:sz w:val="20"/>
          <w:szCs w:val="20"/>
        </w:rPr>
        <w:t xml:space="preserve"> 1</w:t>
      </w:r>
      <w:r w:rsidRPr="00001787">
        <w:rPr>
          <w:rFonts w:eastAsia="Malgun Gothic"/>
          <w:b/>
          <w:sz w:val="20"/>
          <w:szCs w:val="20"/>
        </w:rPr>
        <w:t>:</w:t>
      </w:r>
      <w:r>
        <w:rPr>
          <w:rFonts w:eastAsia="Malgun Gothic"/>
          <w:b/>
          <w:sz w:val="20"/>
          <w:szCs w:val="20"/>
        </w:rPr>
        <w:t xml:space="preserve"> </w:t>
      </w:r>
      <w:r w:rsidRPr="002A7091">
        <w:rPr>
          <w:rFonts w:eastAsia="Malgun Gothic"/>
          <w:sz w:val="20"/>
          <w:szCs w:val="20"/>
        </w:rPr>
        <w:t xml:space="preserve">RAN1 </w:t>
      </w:r>
      <w:r>
        <w:rPr>
          <w:rFonts w:eastAsia="Malgun Gothic"/>
          <w:sz w:val="20"/>
          <w:szCs w:val="20"/>
        </w:rPr>
        <w:t>remaining issue</w:t>
      </w:r>
      <w:r w:rsidRPr="002A7091">
        <w:rPr>
          <w:rFonts w:eastAsia="Malgun Gothic"/>
          <w:sz w:val="20"/>
          <w:szCs w:val="20"/>
        </w:rPr>
        <w:t xml:space="preserve"> o</w:t>
      </w:r>
      <w:r>
        <w:rPr>
          <w:rFonts w:eastAsia="Malgun Gothic"/>
          <w:sz w:val="20"/>
          <w:szCs w:val="20"/>
        </w:rPr>
        <w:t>n timing case# 6 has no significant impact on RAN4 discussion</w:t>
      </w:r>
    </w:p>
    <w:p w14:paraId="34B52049" w14:textId="3A469A9E" w:rsidR="00E21AB2" w:rsidRDefault="00E21AB2" w:rsidP="00DC0964">
      <w:pPr>
        <w:spacing w:after="120" w:line="276" w:lineRule="auto"/>
        <w:rPr>
          <w:rFonts w:eastAsia="Malgun Gothic"/>
          <w:sz w:val="20"/>
          <w:szCs w:val="20"/>
        </w:rPr>
      </w:pPr>
      <w:r>
        <w:rPr>
          <w:rFonts w:eastAsia="Malgun Gothic"/>
          <w:sz w:val="20"/>
          <w:szCs w:val="20"/>
        </w:rPr>
        <w:t>As discussed before, if timing error between intra-node IAB-MT and IAB-DU to be defined, this should</w:t>
      </w:r>
      <w:r w:rsidR="00F67CA2">
        <w:rPr>
          <w:rFonts w:eastAsia="Malgun Gothic"/>
          <w:sz w:val="20"/>
          <w:szCs w:val="20"/>
        </w:rPr>
        <w:t xml:space="preserve"> be recognized as minimum requirement </w:t>
      </w:r>
      <w:r w:rsidR="008B3F75">
        <w:rPr>
          <w:rFonts w:eastAsia="Malgun Gothic"/>
          <w:sz w:val="20"/>
          <w:szCs w:val="20"/>
        </w:rPr>
        <w:t xml:space="preserve">or upper boundary </w:t>
      </w:r>
      <w:r w:rsidR="00F67CA2">
        <w:rPr>
          <w:rFonts w:eastAsia="Malgun Gothic"/>
          <w:sz w:val="20"/>
          <w:szCs w:val="20"/>
        </w:rPr>
        <w:t>verification which should be agnostic to specifi</w:t>
      </w:r>
      <w:r w:rsidR="002A7091">
        <w:rPr>
          <w:rFonts w:eastAsia="Malgun Gothic"/>
          <w:sz w:val="20"/>
          <w:szCs w:val="20"/>
        </w:rPr>
        <w:t>c implementation and/or conditions</w:t>
      </w:r>
      <w:r w:rsidR="00F67CA2">
        <w:rPr>
          <w:rFonts w:eastAsia="Malgun Gothic"/>
          <w:sz w:val="20"/>
          <w:szCs w:val="20"/>
        </w:rPr>
        <w:t>, similar to many other RF requirements. Of course this should be appli</w:t>
      </w:r>
      <w:r w:rsidR="00B9058B">
        <w:rPr>
          <w:rFonts w:eastAsia="Malgun Gothic"/>
          <w:sz w:val="20"/>
          <w:szCs w:val="20"/>
        </w:rPr>
        <w:t>ed only for IAB node for which [case 6 timing alignment] report</w:t>
      </w:r>
      <w:r w:rsidR="002A7091">
        <w:rPr>
          <w:rFonts w:eastAsia="Malgun Gothic"/>
          <w:sz w:val="20"/>
          <w:szCs w:val="20"/>
        </w:rPr>
        <w:t>s as</w:t>
      </w:r>
      <w:r w:rsidR="00F67CA2">
        <w:rPr>
          <w:rFonts w:eastAsia="Malgun Gothic"/>
          <w:sz w:val="20"/>
          <w:szCs w:val="20"/>
        </w:rPr>
        <w:t xml:space="preserve"> supported. </w:t>
      </w:r>
      <w:r w:rsidR="00833D23">
        <w:rPr>
          <w:rFonts w:eastAsia="Malgun Gothic"/>
          <w:sz w:val="20"/>
          <w:szCs w:val="20"/>
        </w:rPr>
        <w:t>Apparently</w:t>
      </w:r>
      <w:r w:rsidR="008B3F75">
        <w:rPr>
          <w:rFonts w:eastAsia="Malgun Gothic"/>
          <w:sz w:val="20"/>
          <w:szCs w:val="20"/>
        </w:rPr>
        <w:t>, there is similarity between TAE of BS node (or IAB-DU) and timing error of this case from transmitter perspective.</w:t>
      </w:r>
      <w:r w:rsidR="003E599B">
        <w:rPr>
          <w:rFonts w:eastAsia="Malgun Gothic"/>
          <w:sz w:val="20"/>
          <w:szCs w:val="20"/>
        </w:rPr>
        <w:t xml:space="preserve"> But</w:t>
      </w:r>
      <w:r w:rsidR="008B3F75">
        <w:rPr>
          <w:rFonts w:eastAsia="Malgun Gothic"/>
          <w:sz w:val="20"/>
          <w:szCs w:val="20"/>
        </w:rPr>
        <w:t xml:space="preserve"> </w:t>
      </w:r>
      <w:r w:rsidR="003E599B">
        <w:rPr>
          <w:rFonts w:eastAsia="Malgun Gothic"/>
          <w:sz w:val="20"/>
          <w:szCs w:val="20"/>
        </w:rPr>
        <w:t>st</w:t>
      </w:r>
      <w:r w:rsidR="008B3F75">
        <w:rPr>
          <w:rFonts w:eastAsia="Malgun Gothic"/>
          <w:sz w:val="20"/>
          <w:szCs w:val="20"/>
        </w:rPr>
        <w:t>ill</w:t>
      </w:r>
      <w:r w:rsidR="008B3F75" w:rsidRPr="00137CFD">
        <w:rPr>
          <w:color w:val="000000"/>
          <w:sz w:val="20"/>
          <w:szCs w:val="20"/>
        </w:rPr>
        <w:t xml:space="preserve"> the IAB-MT and IAB-DU </w:t>
      </w:r>
      <w:r w:rsidR="008B3F75">
        <w:rPr>
          <w:color w:val="000000"/>
          <w:sz w:val="20"/>
          <w:szCs w:val="20"/>
        </w:rPr>
        <w:t>are not expected to point to the same</w:t>
      </w:r>
      <w:r w:rsidR="008B3F75" w:rsidRPr="00137CFD">
        <w:rPr>
          <w:color w:val="000000"/>
          <w:sz w:val="20"/>
          <w:szCs w:val="20"/>
        </w:rPr>
        <w:t xml:space="preserve"> receiver as one to parent link and the other to child link</w:t>
      </w:r>
      <w:r w:rsidR="003E599B">
        <w:rPr>
          <w:color w:val="000000"/>
          <w:sz w:val="20"/>
          <w:szCs w:val="20"/>
        </w:rPr>
        <w:t xml:space="preserve"> as emphasized before</w:t>
      </w:r>
      <w:r w:rsidR="008B3F75">
        <w:rPr>
          <w:rFonts w:eastAsia="Malgun Gothic"/>
          <w:sz w:val="20"/>
          <w:szCs w:val="20"/>
        </w:rPr>
        <w:t xml:space="preserve">. </w:t>
      </w:r>
      <w:r w:rsidR="00C8399A">
        <w:rPr>
          <w:color w:val="000000"/>
          <w:sz w:val="20"/>
          <w:szCs w:val="20"/>
        </w:rPr>
        <w:t xml:space="preserve">Furthermore, the typical case should be </w:t>
      </w:r>
      <w:r w:rsidR="002A7091">
        <w:rPr>
          <w:color w:val="000000"/>
          <w:sz w:val="20"/>
          <w:szCs w:val="20"/>
        </w:rPr>
        <w:t xml:space="preserve">that </w:t>
      </w:r>
      <w:r w:rsidR="00C8399A">
        <w:rPr>
          <w:color w:val="000000"/>
          <w:sz w:val="20"/>
          <w:szCs w:val="20"/>
        </w:rPr>
        <w:t xml:space="preserve">coverage of IAB-MT and IAB-DU will not be overlapping in reality. </w:t>
      </w:r>
      <w:r w:rsidR="008B3F75">
        <w:rPr>
          <w:rFonts w:eastAsia="Malgun Gothic"/>
          <w:sz w:val="20"/>
          <w:szCs w:val="20"/>
        </w:rPr>
        <w:t xml:space="preserve">Obviously, there is no restriction e.g. timing misalignment within certain ratio of CP length to enable the single FFT implementation of reception for this case. </w:t>
      </w:r>
      <w:r w:rsidR="00FE4009">
        <w:rPr>
          <w:rFonts w:eastAsia="Malgun Gothic"/>
          <w:sz w:val="20"/>
          <w:szCs w:val="20"/>
        </w:rPr>
        <w:t xml:space="preserve">On the other hand, </w:t>
      </w:r>
      <w:r w:rsidR="00DA3D3A">
        <w:rPr>
          <w:rFonts w:eastAsia="Malgun Gothic"/>
          <w:sz w:val="20"/>
          <w:szCs w:val="20"/>
        </w:rPr>
        <w:t xml:space="preserve">it’s believed the switching from case1 timing to case 6 timing should be transparent </w:t>
      </w:r>
      <w:r w:rsidR="00844897">
        <w:rPr>
          <w:rFonts w:eastAsia="Malgun Gothic"/>
          <w:sz w:val="20"/>
          <w:szCs w:val="20"/>
        </w:rPr>
        <w:t xml:space="preserve">to </w:t>
      </w:r>
      <w:r w:rsidR="00DA3D3A">
        <w:rPr>
          <w:rFonts w:eastAsia="Malgun Gothic"/>
          <w:sz w:val="20"/>
          <w:szCs w:val="20"/>
        </w:rPr>
        <w:t>UE served by IAB-DU link.</w:t>
      </w:r>
      <w:r w:rsidR="00844897">
        <w:rPr>
          <w:rFonts w:eastAsia="Malgun Gothic"/>
          <w:sz w:val="20"/>
          <w:szCs w:val="20"/>
        </w:rPr>
        <w:t xml:space="preserve"> No additional effort is expected for UE</w:t>
      </w:r>
      <w:r w:rsidR="00DA3D3A">
        <w:rPr>
          <w:rFonts w:eastAsia="Malgun Gothic"/>
          <w:sz w:val="20"/>
          <w:szCs w:val="20"/>
        </w:rPr>
        <w:t xml:space="preserve"> </w:t>
      </w:r>
      <w:r w:rsidR="00844897">
        <w:rPr>
          <w:rFonts w:eastAsia="Malgun Gothic"/>
          <w:sz w:val="20"/>
          <w:szCs w:val="20"/>
        </w:rPr>
        <w:t xml:space="preserve">under such condition. </w:t>
      </w:r>
      <w:r w:rsidR="00DA3D3A">
        <w:rPr>
          <w:rFonts w:eastAsia="Malgun Gothic"/>
          <w:sz w:val="20"/>
          <w:szCs w:val="20"/>
        </w:rPr>
        <w:t>And the for the donor IAB-DU which indicate</w:t>
      </w:r>
      <w:r w:rsidR="002A7091">
        <w:rPr>
          <w:rFonts w:eastAsia="Malgun Gothic"/>
          <w:sz w:val="20"/>
          <w:szCs w:val="20"/>
        </w:rPr>
        <w:t>s</w:t>
      </w:r>
      <w:r w:rsidR="00DA3D3A">
        <w:rPr>
          <w:rFonts w:eastAsia="Malgun Gothic"/>
          <w:sz w:val="20"/>
          <w:szCs w:val="20"/>
        </w:rPr>
        <w:t xml:space="preserve"> this transition to its subsequent child node as target should be well prepared for this update and it should be able to ensure corresponding adjustment on </w:t>
      </w:r>
      <w:r w:rsidR="00844897">
        <w:rPr>
          <w:rFonts w:eastAsia="Malgun Gothic"/>
          <w:sz w:val="20"/>
          <w:szCs w:val="20"/>
        </w:rPr>
        <w:t xml:space="preserve">its own </w:t>
      </w:r>
      <w:r w:rsidR="00DA3D3A">
        <w:rPr>
          <w:rFonts w:eastAsia="Malgun Gothic"/>
          <w:sz w:val="20"/>
          <w:szCs w:val="20"/>
        </w:rPr>
        <w:t xml:space="preserve">reception timing. </w:t>
      </w:r>
      <w:r w:rsidR="00F23569">
        <w:rPr>
          <w:rFonts w:eastAsia="Malgun Gothic"/>
          <w:sz w:val="20"/>
          <w:szCs w:val="20"/>
        </w:rPr>
        <w:t>Moreover</w:t>
      </w:r>
      <w:r w:rsidR="00DA3D3A">
        <w:rPr>
          <w:rFonts w:eastAsia="Malgun Gothic"/>
          <w:sz w:val="20"/>
          <w:szCs w:val="20"/>
        </w:rPr>
        <w:t xml:space="preserve">, from angle of parent node UL reception of child node in case 6 timing could not be </w:t>
      </w:r>
      <w:r w:rsidR="00DA3D3A" w:rsidRPr="00DA3D3A">
        <w:rPr>
          <w:rFonts w:eastAsia="Malgun Gothic"/>
          <w:sz w:val="20"/>
          <w:szCs w:val="20"/>
        </w:rPr>
        <w:t>multiple</w:t>
      </w:r>
      <w:r w:rsidR="00F23569">
        <w:rPr>
          <w:rFonts w:eastAsia="Malgun Gothic"/>
          <w:sz w:val="20"/>
          <w:szCs w:val="20"/>
        </w:rPr>
        <w:t>xed with other UEs and IAB node</w:t>
      </w:r>
      <w:r w:rsidR="00DA3D3A" w:rsidRPr="00DA3D3A">
        <w:rPr>
          <w:rFonts w:eastAsia="Malgun Gothic"/>
          <w:sz w:val="20"/>
          <w:szCs w:val="20"/>
        </w:rPr>
        <w:t>.</w:t>
      </w:r>
      <w:r w:rsidR="00DA3D3A">
        <w:rPr>
          <w:rFonts w:eastAsia="Malgun Gothic"/>
          <w:sz w:val="20"/>
          <w:szCs w:val="20"/>
        </w:rPr>
        <w:t xml:space="preserve"> Hence specific fine tuning is possible for this restricted</w:t>
      </w:r>
      <w:r w:rsidR="002A7091">
        <w:rPr>
          <w:rFonts w:eastAsia="Malgun Gothic"/>
          <w:sz w:val="20"/>
          <w:szCs w:val="20"/>
        </w:rPr>
        <w:t xml:space="preserve"> and dedicated</w:t>
      </w:r>
      <w:r w:rsidR="00DA3D3A">
        <w:rPr>
          <w:rFonts w:eastAsia="Malgun Gothic"/>
          <w:sz w:val="20"/>
          <w:szCs w:val="20"/>
        </w:rPr>
        <w:t xml:space="preserve"> case. Based on above considerations, it’s suggested that if timing error to be defined for this case 3us would be </w:t>
      </w:r>
      <w:r w:rsidR="00001787" w:rsidRPr="00001787">
        <w:rPr>
          <w:rFonts w:eastAsia="Malgun Gothic"/>
          <w:sz w:val="20"/>
          <w:szCs w:val="20"/>
        </w:rPr>
        <w:t>reasonable</w:t>
      </w:r>
      <w:r w:rsidR="00001787">
        <w:rPr>
          <w:rFonts w:eastAsia="Malgun Gothic"/>
          <w:sz w:val="20"/>
          <w:szCs w:val="20"/>
        </w:rPr>
        <w:t xml:space="preserve"> level which perfectly matches the purpose of this requirement. </w:t>
      </w:r>
      <w:r w:rsidR="00DA3D3A">
        <w:rPr>
          <w:rFonts w:eastAsia="Malgun Gothic"/>
          <w:sz w:val="20"/>
          <w:szCs w:val="20"/>
        </w:rPr>
        <w:t xml:space="preserve">  </w:t>
      </w:r>
    </w:p>
    <w:p w14:paraId="6F1C3A38" w14:textId="1CB0ED92" w:rsidR="00B70EE7" w:rsidRDefault="00B70EE7" w:rsidP="00DC0964">
      <w:pPr>
        <w:spacing w:after="120" w:line="276" w:lineRule="auto"/>
        <w:rPr>
          <w:rFonts w:eastAsia="Malgun Gothic"/>
          <w:sz w:val="20"/>
          <w:szCs w:val="20"/>
        </w:rPr>
      </w:pPr>
      <w:r w:rsidRPr="00B70EE7">
        <w:rPr>
          <w:rFonts w:eastAsia="Malgun Gothic"/>
          <w:b/>
          <w:sz w:val="20"/>
          <w:szCs w:val="20"/>
        </w:rPr>
        <w:t xml:space="preserve">Observation </w:t>
      </w:r>
      <w:r>
        <w:rPr>
          <w:rFonts w:eastAsia="Malgun Gothic"/>
          <w:b/>
          <w:sz w:val="20"/>
          <w:szCs w:val="20"/>
        </w:rPr>
        <w:t>2</w:t>
      </w:r>
      <w:r>
        <w:rPr>
          <w:rFonts w:eastAsia="Malgun Gothic"/>
          <w:sz w:val="20"/>
          <w:szCs w:val="20"/>
        </w:rPr>
        <w:t>: no UE behavior update is expected due to IAB operation in case 6 timing.</w:t>
      </w:r>
    </w:p>
    <w:p w14:paraId="51F4C730" w14:textId="6392216E" w:rsidR="00B70EE7" w:rsidRDefault="00B70EE7" w:rsidP="00DC0964">
      <w:pPr>
        <w:spacing w:after="120" w:line="276" w:lineRule="auto"/>
        <w:rPr>
          <w:rFonts w:eastAsia="Malgun Gothic"/>
          <w:sz w:val="20"/>
          <w:szCs w:val="20"/>
        </w:rPr>
      </w:pPr>
      <w:r w:rsidRPr="00B70EE7">
        <w:rPr>
          <w:rFonts w:eastAsia="Malgun Gothic"/>
          <w:b/>
          <w:sz w:val="20"/>
          <w:szCs w:val="20"/>
        </w:rPr>
        <w:t xml:space="preserve">Observation </w:t>
      </w:r>
      <w:r>
        <w:rPr>
          <w:rFonts w:eastAsia="Malgun Gothic"/>
          <w:b/>
          <w:sz w:val="20"/>
          <w:szCs w:val="20"/>
        </w:rPr>
        <w:t>3</w:t>
      </w:r>
      <w:r>
        <w:rPr>
          <w:rFonts w:eastAsia="Malgun Gothic"/>
          <w:sz w:val="20"/>
          <w:szCs w:val="20"/>
        </w:rPr>
        <w:t xml:space="preserve">: dedicated improvement if needed on reception of parent IAB </w:t>
      </w:r>
      <w:r w:rsidR="00CD6EE6">
        <w:rPr>
          <w:rFonts w:eastAsia="Malgun Gothic"/>
          <w:sz w:val="20"/>
          <w:szCs w:val="20"/>
        </w:rPr>
        <w:t xml:space="preserve">for child IAB operation in case#6 timing </w:t>
      </w:r>
      <w:r>
        <w:rPr>
          <w:rFonts w:eastAsia="Malgun Gothic"/>
          <w:sz w:val="20"/>
          <w:szCs w:val="20"/>
        </w:rPr>
        <w:t xml:space="preserve">could be achieved on case by case basis. </w:t>
      </w:r>
    </w:p>
    <w:p w14:paraId="4938D873" w14:textId="48272360" w:rsidR="00001787" w:rsidRDefault="00001787" w:rsidP="00DC0964">
      <w:pPr>
        <w:spacing w:after="120" w:line="276" w:lineRule="auto"/>
        <w:rPr>
          <w:rFonts w:eastAsia="Malgun Gothic"/>
          <w:sz w:val="20"/>
          <w:szCs w:val="20"/>
        </w:rPr>
      </w:pPr>
      <w:r w:rsidRPr="00001787">
        <w:rPr>
          <w:rFonts w:eastAsia="Malgun Gothic"/>
          <w:b/>
          <w:sz w:val="20"/>
          <w:szCs w:val="20"/>
        </w:rPr>
        <w:t>Proposal</w:t>
      </w:r>
      <w:r w:rsidR="007C1459">
        <w:rPr>
          <w:rFonts w:eastAsia="Malgun Gothic"/>
          <w:b/>
          <w:sz w:val="20"/>
          <w:szCs w:val="20"/>
        </w:rPr>
        <w:t xml:space="preserve"> 1</w:t>
      </w:r>
      <w:r w:rsidRPr="00001787">
        <w:rPr>
          <w:rFonts w:eastAsia="Malgun Gothic"/>
          <w:b/>
          <w:sz w:val="20"/>
          <w:szCs w:val="20"/>
        </w:rPr>
        <w:t>:</w:t>
      </w:r>
      <w:r w:rsidR="002A7091" w:rsidRPr="002A7091">
        <w:rPr>
          <w:rFonts w:eastAsia="Malgun Gothic"/>
          <w:sz w:val="20"/>
          <w:szCs w:val="20"/>
        </w:rPr>
        <w:t xml:space="preserve"> 3us is agreeable as maximum timing error between intra-node IAB-DU and IAB-MT</w:t>
      </w:r>
      <w:r w:rsidR="002F0166">
        <w:rPr>
          <w:rFonts w:eastAsia="Malgun Gothic"/>
          <w:sz w:val="20"/>
          <w:szCs w:val="20"/>
        </w:rPr>
        <w:t xml:space="preserve"> in</w:t>
      </w:r>
      <w:r w:rsidR="002A7091" w:rsidRPr="002A7091">
        <w:rPr>
          <w:rFonts w:eastAsia="Malgun Gothic"/>
          <w:sz w:val="20"/>
          <w:szCs w:val="20"/>
        </w:rPr>
        <w:t xml:space="preserve"> case</w:t>
      </w:r>
      <w:r w:rsidR="00CD6EE6">
        <w:rPr>
          <w:rFonts w:eastAsia="Malgun Gothic"/>
          <w:sz w:val="20"/>
          <w:szCs w:val="20"/>
        </w:rPr>
        <w:t>#</w:t>
      </w:r>
      <w:r w:rsidR="002A7091" w:rsidRPr="002A7091">
        <w:rPr>
          <w:rFonts w:eastAsia="Malgun Gothic"/>
          <w:sz w:val="20"/>
          <w:szCs w:val="20"/>
        </w:rPr>
        <w:t xml:space="preserve"> 6 timing</w:t>
      </w:r>
      <w:r w:rsidR="002F0166">
        <w:rPr>
          <w:rFonts w:eastAsia="Malgun Gothic"/>
          <w:sz w:val="20"/>
          <w:szCs w:val="20"/>
        </w:rPr>
        <w:t xml:space="preserve"> operation</w:t>
      </w:r>
      <w:r w:rsidR="002A7091" w:rsidRPr="002A7091">
        <w:rPr>
          <w:rFonts w:eastAsia="Malgun Gothic"/>
          <w:sz w:val="20"/>
          <w:szCs w:val="20"/>
        </w:rPr>
        <w:t xml:space="preserve">. </w:t>
      </w:r>
    </w:p>
    <w:p w14:paraId="31811F67" w14:textId="77777777" w:rsidR="00CD6EE6" w:rsidRPr="00001787" w:rsidRDefault="00CD6EE6" w:rsidP="00DC0964">
      <w:pPr>
        <w:spacing w:after="120" w:line="276" w:lineRule="auto"/>
        <w:rPr>
          <w:rFonts w:eastAsia="Malgun Gothic"/>
          <w:sz w:val="20"/>
          <w:szCs w:val="20"/>
        </w:rPr>
      </w:pPr>
    </w:p>
    <w:p w14:paraId="50AC405D" w14:textId="40867A57" w:rsidR="00F67CA2" w:rsidRPr="00001787" w:rsidRDefault="00001787" w:rsidP="00001787">
      <w:pPr>
        <w:rPr>
          <w:rFonts w:eastAsia="Malgun Gothic"/>
          <w:sz w:val="20"/>
          <w:szCs w:val="20"/>
          <w:u w:val="single"/>
        </w:rPr>
      </w:pPr>
      <w:r w:rsidRPr="00001787">
        <w:rPr>
          <w:rFonts w:eastAsia="Malgun Gothic"/>
          <w:sz w:val="20"/>
          <w:szCs w:val="20"/>
          <w:u w:val="single"/>
        </w:rPr>
        <w:t>Timing error between parent IAB-DU and child node IAB-DU transmission</w:t>
      </w:r>
    </w:p>
    <w:p w14:paraId="53FCAF1D" w14:textId="2D6C70FC" w:rsidR="00E21AB2" w:rsidRDefault="00001787" w:rsidP="00DC0964">
      <w:pPr>
        <w:spacing w:after="120" w:line="276" w:lineRule="auto"/>
        <w:rPr>
          <w:sz w:val="20"/>
          <w:szCs w:val="20"/>
        </w:rPr>
      </w:pPr>
      <w:r>
        <w:rPr>
          <w:rFonts w:hint="eastAsia"/>
          <w:sz w:val="20"/>
          <w:szCs w:val="20"/>
        </w:rPr>
        <w:t>T</w:t>
      </w:r>
      <w:r>
        <w:rPr>
          <w:sz w:val="20"/>
          <w:szCs w:val="20"/>
        </w:rPr>
        <w:t xml:space="preserve">his issue is </w:t>
      </w:r>
      <w:r w:rsidR="00F23569">
        <w:rPr>
          <w:sz w:val="20"/>
          <w:szCs w:val="20"/>
        </w:rPr>
        <w:t xml:space="preserve">kind of </w:t>
      </w:r>
      <w:r>
        <w:rPr>
          <w:sz w:val="20"/>
          <w:szCs w:val="20"/>
        </w:rPr>
        <w:t xml:space="preserve">consequent </w:t>
      </w:r>
      <w:r w:rsidR="00C8399A">
        <w:rPr>
          <w:sz w:val="20"/>
          <w:szCs w:val="20"/>
        </w:rPr>
        <w:t xml:space="preserve">case </w:t>
      </w:r>
      <w:r>
        <w:rPr>
          <w:sz w:val="20"/>
          <w:szCs w:val="20"/>
        </w:rPr>
        <w:t xml:space="preserve">of previous </w:t>
      </w:r>
      <w:r w:rsidR="00844897">
        <w:rPr>
          <w:sz w:val="20"/>
          <w:szCs w:val="20"/>
        </w:rPr>
        <w:t>one</w:t>
      </w:r>
      <w:r>
        <w:rPr>
          <w:sz w:val="20"/>
          <w:szCs w:val="20"/>
        </w:rPr>
        <w:t>. However, it’s no</w:t>
      </w:r>
      <w:r w:rsidR="00C8399A">
        <w:rPr>
          <w:sz w:val="20"/>
          <w:szCs w:val="20"/>
        </w:rPr>
        <w:t xml:space="preserve">t convinced yet why dedicated requirement or </w:t>
      </w:r>
      <w:r w:rsidR="00D533F7">
        <w:rPr>
          <w:sz w:val="20"/>
          <w:szCs w:val="20"/>
        </w:rPr>
        <w:t xml:space="preserve">specific </w:t>
      </w:r>
      <w:r w:rsidR="00C8399A">
        <w:rPr>
          <w:sz w:val="20"/>
          <w:szCs w:val="20"/>
        </w:rPr>
        <w:t xml:space="preserve">improvement needed for this case. According to RAN1 </w:t>
      </w:r>
      <w:r w:rsidR="00D533F7">
        <w:rPr>
          <w:sz w:val="20"/>
          <w:szCs w:val="20"/>
        </w:rPr>
        <w:t xml:space="preserve">current discussion for timing case#6 the UL timing is obtained together with the node’s DL timing. The timing error </w:t>
      </w:r>
      <w:r w:rsidR="00D533F7" w:rsidRPr="00D533F7">
        <w:rPr>
          <w:rFonts w:eastAsia="Malgun Gothic"/>
          <w:sz w:val="20"/>
          <w:szCs w:val="20"/>
        </w:rPr>
        <w:t>between parent IAB-DU and child node IAB-DU transmission</w:t>
      </w:r>
      <w:r w:rsidR="00D533F7">
        <w:rPr>
          <w:rFonts w:eastAsia="Malgun Gothic"/>
          <w:sz w:val="20"/>
          <w:szCs w:val="20"/>
        </w:rPr>
        <w:t xml:space="preserve"> should </w:t>
      </w:r>
      <w:r w:rsidR="00F23569">
        <w:rPr>
          <w:rFonts w:eastAsia="Malgun Gothic"/>
          <w:sz w:val="20"/>
          <w:szCs w:val="20"/>
        </w:rPr>
        <w:t xml:space="preserve">still </w:t>
      </w:r>
      <w:r w:rsidR="00D533F7">
        <w:rPr>
          <w:rFonts w:eastAsia="Malgun Gothic"/>
          <w:sz w:val="20"/>
          <w:szCs w:val="20"/>
        </w:rPr>
        <w:t xml:space="preserve">be the same </w:t>
      </w:r>
      <w:r w:rsidR="00D533F7" w:rsidRPr="00D533F7">
        <w:rPr>
          <w:sz w:val="20"/>
          <w:szCs w:val="20"/>
        </w:rPr>
        <w:t>as cell phase synch</w:t>
      </w:r>
      <w:r w:rsidR="00D533F7">
        <w:rPr>
          <w:sz w:val="20"/>
          <w:szCs w:val="20"/>
        </w:rPr>
        <w:t xml:space="preserve">ronization </w:t>
      </w:r>
      <w:r w:rsidR="00D533F7" w:rsidRPr="00D533F7">
        <w:rPr>
          <w:sz w:val="20"/>
          <w:szCs w:val="20"/>
        </w:rPr>
        <w:t>defined in RRM specification as 3</w:t>
      </w:r>
      <w:r w:rsidR="00D533F7">
        <w:rPr>
          <w:sz w:val="20"/>
          <w:szCs w:val="20"/>
        </w:rPr>
        <w:t xml:space="preserve">us regardless of IAB implementation. </w:t>
      </w:r>
      <w:r w:rsidR="007C1459">
        <w:rPr>
          <w:sz w:val="20"/>
          <w:szCs w:val="20"/>
        </w:rPr>
        <w:t>Hence no further specification effort needed on this aspect according to our understanding.</w:t>
      </w:r>
    </w:p>
    <w:p w14:paraId="297F3202" w14:textId="1DB82F6D" w:rsidR="00D533F7" w:rsidRDefault="00D533F7" w:rsidP="00DC0964">
      <w:pPr>
        <w:spacing w:after="120" w:line="276" w:lineRule="auto"/>
        <w:rPr>
          <w:sz w:val="20"/>
          <w:szCs w:val="20"/>
        </w:rPr>
      </w:pPr>
      <w:r w:rsidRPr="00D533F7">
        <w:rPr>
          <w:b/>
          <w:sz w:val="20"/>
          <w:szCs w:val="20"/>
        </w:rPr>
        <w:lastRenderedPageBreak/>
        <w:t>Proposal</w:t>
      </w:r>
      <w:r w:rsidR="007C1459">
        <w:rPr>
          <w:b/>
          <w:sz w:val="20"/>
          <w:szCs w:val="20"/>
        </w:rPr>
        <w:t xml:space="preserve"> 2</w:t>
      </w:r>
      <w:r>
        <w:rPr>
          <w:sz w:val="20"/>
          <w:szCs w:val="20"/>
        </w:rPr>
        <w:t xml:space="preserve">: </w:t>
      </w:r>
      <w:r w:rsidR="007C1459" w:rsidRPr="007C1459">
        <w:rPr>
          <w:sz w:val="20"/>
          <w:szCs w:val="20"/>
        </w:rPr>
        <w:t>Timing error between parent IAB-DU and child node IAB-DU transmission</w:t>
      </w:r>
      <w:r w:rsidR="007C1459">
        <w:rPr>
          <w:sz w:val="20"/>
          <w:szCs w:val="20"/>
        </w:rPr>
        <w:t xml:space="preserve"> is the same as 3us and there is no specification impact for this. </w:t>
      </w:r>
    </w:p>
    <w:p w14:paraId="419E8690" w14:textId="77777777" w:rsidR="00CD6EE6" w:rsidRPr="00001787" w:rsidRDefault="00CD6EE6" w:rsidP="00DC0964">
      <w:pPr>
        <w:spacing w:after="120" w:line="276" w:lineRule="auto"/>
        <w:rPr>
          <w:sz w:val="20"/>
          <w:szCs w:val="20"/>
        </w:rPr>
      </w:pPr>
    </w:p>
    <w:p w14:paraId="0AA1CD8B" w14:textId="2A756A1F" w:rsidR="00D533F7" w:rsidRDefault="00D533F7" w:rsidP="00D533F7">
      <w:pPr>
        <w:rPr>
          <w:rFonts w:eastAsia="Malgun Gothic"/>
          <w:sz w:val="20"/>
          <w:szCs w:val="20"/>
          <w:u w:val="single"/>
        </w:rPr>
      </w:pPr>
      <w:r w:rsidRPr="00001787">
        <w:rPr>
          <w:rFonts w:eastAsia="Malgun Gothic"/>
          <w:sz w:val="20"/>
          <w:szCs w:val="20"/>
          <w:u w:val="single"/>
        </w:rPr>
        <w:t xml:space="preserve">Timing </w:t>
      </w:r>
      <w:r>
        <w:rPr>
          <w:rFonts w:eastAsia="Malgun Gothic"/>
          <w:sz w:val="20"/>
          <w:szCs w:val="20"/>
          <w:u w:val="single"/>
        </w:rPr>
        <w:t>case#7</w:t>
      </w:r>
    </w:p>
    <w:p w14:paraId="05FB2B81" w14:textId="4977E2CB" w:rsidR="00D533F7" w:rsidRPr="007C1459" w:rsidRDefault="00D533F7" w:rsidP="00D533F7">
      <w:pPr>
        <w:rPr>
          <w:sz w:val="20"/>
          <w:szCs w:val="20"/>
        </w:rPr>
      </w:pPr>
      <w:r>
        <w:rPr>
          <w:sz w:val="20"/>
          <w:szCs w:val="20"/>
        </w:rPr>
        <w:t xml:space="preserve">Timing case #7 is for </w:t>
      </w:r>
      <w:r w:rsidRPr="007C1459">
        <w:rPr>
          <w:sz w:val="20"/>
          <w:szCs w:val="20"/>
        </w:rPr>
        <w:t xml:space="preserve">simultaneous MT-Rx/DU-Rx case. And in RAN1 discussion is with respect to the configuration mechanism of its child node’s UL TX timing. </w:t>
      </w:r>
      <w:r w:rsidR="001E41F6" w:rsidRPr="007C1459">
        <w:rPr>
          <w:sz w:val="20"/>
          <w:szCs w:val="20"/>
        </w:rPr>
        <w:t>According to latest agreement the UL timing is “obtained via the legacy TA loop plus an offset from the parent node” in which the offset mechanism is similar to legacy TA comment except FFS on offset range. Obviously, there is no RF impact due to this enhancement. And it’s supposed the necessity on new RRM requirement for this is</w:t>
      </w:r>
      <w:r w:rsidR="00F23569">
        <w:rPr>
          <w:sz w:val="20"/>
          <w:szCs w:val="20"/>
        </w:rPr>
        <w:t xml:space="preserve"> also</w:t>
      </w:r>
      <w:r w:rsidR="001E41F6" w:rsidRPr="007C1459">
        <w:rPr>
          <w:sz w:val="20"/>
          <w:szCs w:val="20"/>
        </w:rPr>
        <w:t xml:space="preserve"> limited. However, it should be decided finally in RRM session. </w:t>
      </w:r>
    </w:p>
    <w:p w14:paraId="2B8C3C44" w14:textId="59DB292B" w:rsidR="001E41F6" w:rsidRPr="007C1459" w:rsidRDefault="007B4345" w:rsidP="00D533F7">
      <w:pPr>
        <w:rPr>
          <w:sz w:val="20"/>
          <w:szCs w:val="20"/>
        </w:rPr>
      </w:pPr>
      <w:r w:rsidRPr="007C1459">
        <w:rPr>
          <w:b/>
          <w:sz w:val="20"/>
          <w:szCs w:val="20"/>
        </w:rPr>
        <w:t>Proposal</w:t>
      </w:r>
      <w:r w:rsidR="007C1459">
        <w:rPr>
          <w:sz w:val="20"/>
          <w:szCs w:val="20"/>
        </w:rPr>
        <w:t xml:space="preserve"> </w:t>
      </w:r>
      <w:r w:rsidR="007C1459" w:rsidRPr="00F23569">
        <w:rPr>
          <w:b/>
          <w:sz w:val="20"/>
          <w:szCs w:val="20"/>
        </w:rPr>
        <w:t>3</w:t>
      </w:r>
      <w:r w:rsidRPr="007C1459">
        <w:rPr>
          <w:sz w:val="20"/>
          <w:szCs w:val="20"/>
        </w:rPr>
        <w:t>:</w:t>
      </w:r>
      <w:r w:rsidR="00CD6EE6">
        <w:rPr>
          <w:sz w:val="20"/>
          <w:szCs w:val="20"/>
        </w:rPr>
        <w:t xml:space="preserve"> Timing case#7 has no RF requirement impact</w:t>
      </w:r>
      <w:r w:rsidR="002F0166">
        <w:rPr>
          <w:sz w:val="20"/>
          <w:szCs w:val="20"/>
        </w:rPr>
        <w:t xml:space="preserve"> on IAB</w:t>
      </w:r>
      <w:bookmarkStart w:id="0" w:name="_GoBack"/>
      <w:bookmarkEnd w:id="0"/>
      <w:r w:rsidR="007C1459">
        <w:rPr>
          <w:sz w:val="20"/>
          <w:szCs w:val="20"/>
        </w:rPr>
        <w:t xml:space="preserve">. </w:t>
      </w:r>
      <w:r w:rsidR="001E41F6" w:rsidRPr="007C1459">
        <w:rPr>
          <w:sz w:val="20"/>
          <w:szCs w:val="20"/>
        </w:rPr>
        <w:t xml:space="preserve"> </w:t>
      </w:r>
    </w:p>
    <w:p w14:paraId="4B5CBA1E" w14:textId="63DFEDD9" w:rsidR="00781F52" w:rsidRDefault="00781F52" w:rsidP="00781F52">
      <w:pPr>
        <w:pStyle w:val="1"/>
        <w:rPr>
          <w:rFonts w:cs="Arial"/>
          <w:lang w:eastAsia="zh-CN"/>
        </w:rPr>
      </w:pPr>
      <w:r>
        <w:rPr>
          <w:rFonts w:cs="Arial"/>
          <w:lang w:eastAsia="zh-CN"/>
        </w:rPr>
        <w:t xml:space="preserve">Conclusion   </w:t>
      </w:r>
    </w:p>
    <w:p w14:paraId="55835787" w14:textId="53660024" w:rsidR="00552F9D" w:rsidRDefault="00C10A8B" w:rsidP="006C61CE">
      <w:pPr>
        <w:rPr>
          <w:sz w:val="20"/>
          <w:szCs w:val="20"/>
          <w:lang w:val="en-GB"/>
        </w:rPr>
      </w:pPr>
      <w:r w:rsidRPr="00E81B9C">
        <w:rPr>
          <w:rFonts w:hint="eastAsia"/>
          <w:sz w:val="20"/>
          <w:szCs w:val="20"/>
          <w:lang w:val="en-GB"/>
        </w:rPr>
        <w:t>T</w:t>
      </w:r>
      <w:r w:rsidRPr="00E81B9C">
        <w:rPr>
          <w:sz w:val="20"/>
          <w:szCs w:val="20"/>
          <w:lang w:val="en-GB"/>
        </w:rPr>
        <w:t>his contribution discuss</w:t>
      </w:r>
      <w:r w:rsidR="00A81997">
        <w:rPr>
          <w:sz w:val="20"/>
          <w:szCs w:val="20"/>
          <w:lang w:val="en-GB"/>
        </w:rPr>
        <w:t>es</w:t>
      </w:r>
      <w:r w:rsidRPr="00E81B9C">
        <w:rPr>
          <w:sz w:val="20"/>
          <w:szCs w:val="20"/>
          <w:lang w:val="en-GB"/>
        </w:rPr>
        <w:t xml:space="preserve"> further regarding the Rel-17 IAB enhancement on timing alignment mechanism based on corresponding agreement from RAN1 and RAN4. The </w:t>
      </w:r>
      <w:r w:rsidR="007C1459">
        <w:rPr>
          <w:sz w:val="20"/>
          <w:szCs w:val="20"/>
          <w:lang w:val="en-GB"/>
        </w:rPr>
        <w:t>proposals are as below:</w:t>
      </w:r>
    </w:p>
    <w:p w14:paraId="27E28104" w14:textId="77777777" w:rsidR="002F0166" w:rsidRDefault="002F0166" w:rsidP="002F0166">
      <w:pPr>
        <w:spacing w:after="120" w:line="276" w:lineRule="auto"/>
        <w:rPr>
          <w:rFonts w:eastAsia="Malgun Gothic"/>
          <w:sz w:val="20"/>
          <w:szCs w:val="20"/>
        </w:rPr>
      </w:pPr>
      <w:r w:rsidRPr="00001787">
        <w:rPr>
          <w:rFonts w:eastAsia="Malgun Gothic"/>
          <w:b/>
          <w:sz w:val="20"/>
          <w:szCs w:val="20"/>
        </w:rPr>
        <w:t>Proposal</w:t>
      </w:r>
      <w:r>
        <w:rPr>
          <w:rFonts w:eastAsia="Malgun Gothic"/>
          <w:b/>
          <w:sz w:val="20"/>
          <w:szCs w:val="20"/>
        </w:rPr>
        <w:t xml:space="preserve"> 1</w:t>
      </w:r>
      <w:r w:rsidRPr="00001787">
        <w:rPr>
          <w:rFonts w:eastAsia="Malgun Gothic"/>
          <w:b/>
          <w:sz w:val="20"/>
          <w:szCs w:val="20"/>
        </w:rPr>
        <w:t>:</w:t>
      </w:r>
      <w:r w:rsidRPr="002A7091">
        <w:rPr>
          <w:rFonts w:eastAsia="Malgun Gothic"/>
          <w:sz w:val="20"/>
          <w:szCs w:val="20"/>
        </w:rPr>
        <w:t xml:space="preserve"> 3us is agreeable as maximum timing error between intra-node IAB-DU and IAB-MT</w:t>
      </w:r>
      <w:r>
        <w:rPr>
          <w:rFonts w:eastAsia="Malgun Gothic"/>
          <w:sz w:val="20"/>
          <w:szCs w:val="20"/>
        </w:rPr>
        <w:t xml:space="preserve"> in</w:t>
      </w:r>
      <w:r w:rsidRPr="002A7091">
        <w:rPr>
          <w:rFonts w:eastAsia="Malgun Gothic"/>
          <w:sz w:val="20"/>
          <w:szCs w:val="20"/>
        </w:rPr>
        <w:t xml:space="preserve"> case</w:t>
      </w:r>
      <w:r>
        <w:rPr>
          <w:rFonts w:eastAsia="Malgun Gothic"/>
          <w:sz w:val="20"/>
          <w:szCs w:val="20"/>
        </w:rPr>
        <w:t>#</w:t>
      </w:r>
      <w:r w:rsidRPr="002A7091">
        <w:rPr>
          <w:rFonts w:eastAsia="Malgun Gothic"/>
          <w:sz w:val="20"/>
          <w:szCs w:val="20"/>
        </w:rPr>
        <w:t xml:space="preserve"> 6 timing</w:t>
      </w:r>
      <w:r>
        <w:rPr>
          <w:rFonts w:eastAsia="Malgun Gothic"/>
          <w:sz w:val="20"/>
          <w:szCs w:val="20"/>
        </w:rPr>
        <w:t xml:space="preserve"> operation</w:t>
      </w:r>
      <w:r w:rsidRPr="002A7091">
        <w:rPr>
          <w:rFonts w:eastAsia="Malgun Gothic"/>
          <w:sz w:val="20"/>
          <w:szCs w:val="20"/>
        </w:rPr>
        <w:t xml:space="preserve">. </w:t>
      </w:r>
    </w:p>
    <w:p w14:paraId="0565A6B7" w14:textId="77777777" w:rsidR="007C1459" w:rsidRPr="00001787" w:rsidRDefault="007C1459" w:rsidP="007C1459">
      <w:pPr>
        <w:spacing w:after="120" w:line="276" w:lineRule="auto"/>
        <w:rPr>
          <w:sz w:val="20"/>
          <w:szCs w:val="20"/>
        </w:rPr>
      </w:pPr>
      <w:r w:rsidRPr="00D533F7">
        <w:rPr>
          <w:b/>
          <w:sz w:val="20"/>
          <w:szCs w:val="20"/>
        </w:rPr>
        <w:t>Proposal</w:t>
      </w:r>
      <w:r>
        <w:rPr>
          <w:b/>
          <w:sz w:val="20"/>
          <w:szCs w:val="20"/>
        </w:rPr>
        <w:t xml:space="preserve"> 2</w:t>
      </w:r>
      <w:r>
        <w:rPr>
          <w:sz w:val="20"/>
          <w:szCs w:val="20"/>
        </w:rPr>
        <w:t xml:space="preserve">: </w:t>
      </w:r>
      <w:r w:rsidRPr="007C1459">
        <w:rPr>
          <w:sz w:val="20"/>
          <w:szCs w:val="20"/>
        </w:rPr>
        <w:t>Timing error between parent IAB-DU and child node IAB-DU transmission</w:t>
      </w:r>
      <w:r>
        <w:rPr>
          <w:sz w:val="20"/>
          <w:szCs w:val="20"/>
        </w:rPr>
        <w:t xml:space="preserve"> is the same as 3us and there is no specification impact for this. </w:t>
      </w:r>
    </w:p>
    <w:p w14:paraId="06F5C496" w14:textId="5B12FFD3" w:rsidR="00CD6EE6" w:rsidRPr="007C1459" w:rsidRDefault="00CD6EE6" w:rsidP="00CD6EE6">
      <w:pPr>
        <w:rPr>
          <w:sz w:val="20"/>
          <w:szCs w:val="20"/>
        </w:rPr>
      </w:pPr>
      <w:r w:rsidRPr="007C1459">
        <w:rPr>
          <w:b/>
          <w:sz w:val="20"/>
          <w:szCs w:val="20"/>
        </w:rPr>
        <w:t>Proposal</w:t>
      </w:r>
      <w:r>
        <w:rPr>
          <w:sz w:val="20"/>
          <w:szCs w:val="20"/>
        </w:rPr>
        <w:t xml:space="preserve"> </w:t>
      </w:r>
      <w:r w:rsidRPr="00F23569">
        <w:rPr>
          <w:b/>
          <w:sz w:val="20"/>
          <w:szCs w:val="20"/>
        </w:rPr>
        <w:t>3</w:t>
      </w:r>
      <w:r w:rsidRPr="007C1459">
        <w:rPr>
          <w:sz w:val="20"/>
          <w:szCs w:val="20"/>
        </w:rPr>
        <w:t>:</w:t>
      </w:r>
      <w:r>
        <w:rPr>
          <w:sz w:val="20"/>
          <w:szCs w:val="20"/>
        </w:rPr>
        <w:t xml:space="preserve"> Timing case#7 has no RF requirement impact</w:t>
      </w:r>
      <w:r w:rsidR="002F0166">
        <w:rPr>
          <w:sz w:val="20"/>
          <w:szCs w:val="20"/>
        </w:rPr>
        <w:t xml:space="preserve"> on IAB</w:t>
      </w:r>
      <w:r>
        <w:rPr>
          <w:sz w:val="20"/>
          <w:szCs w:val="20"/>
        </w:rPr>
        <w:t xml:space="preserve">. </w:t>
      </w:r>
      <w:r w:rsidRPr="007C1459">
        <w:rPr>
          <w:sz w:val="20"/>
          <w:szCs w:val="20"/>
        </w:rPr>
        <w:t xml:space="preserve"> </w:t>
      </w:r>
    </w:p>
    <w:p w14:paraId="23EEFE04" w14:textId="77777777" w:rsidR="007C1459" w:rsidRPr="00CD6EE6" w:rsidRDefault="007C1459" w:rsidP="006C61CE">
      <w:pPr>
        <w:rPr>
          <w:sz w:val="20"/>
          <w:szCs w:val="20"/>
        </w:rPr>
      </w:pP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202F0683" w14:textId="77777777" w:rsidR="00B70EE7" w:rsidRDefault="00B70EE7" w:rsidP="00B70EE7">
      <w:pPr>
        <w:rPr>
          <w:szCs w:val="21"/>
        </w:rPr>
      </w:pPr>
      <w:r>
        <w:rPr>
          <w:rFonts w:ascii="Calibri" w:hAnsi="Calibri" w:cs="Calibri"/>
          <w:iCs/>
          <w:szCs w:val="21"/>
        </w:rPr>
        <w:t>[1]</w:t>
      </w:r>
      <w:r>
        <w:rPr>
          <w:szCs w:val="21"/>
        </w:rPr>
        <w:t xml:space="preserve"> </w:t>
      </w:r>
      <w:r w:rsidRPr="005606CF">
        <w:rPr>
          <w:rFonts w:eastAsia="宋体" w:cstheme="minorHAnsi"/>
          <w:sz w:val="20"/>
          <w:szCs w:val="20"/>
          <w:lang w:eastAsia="ja-JP"/>
        </w:rPr>
        <w:t>R4-21</w:t>
      </w:r>
      <w:r>
        <w:rPr>
          <w:rFonts w:eastAsia="宋体" w:cstheme="minorHAnsi"/>
          <w:sz w:val="20"/>
          <w:szCs w:val="20"/>
          <w:lang w:eastAsia="ja-JP"/>
        </w:rPr>
        <w:t>15645</w:t>
      </w:r>
      <w:r>
        <w:rPr>
          <w:rFonts w:eastAsia="宋体" w:cstheme="minorHAnsi"/>
          <w:sz w:val="20"/>
          <w:szCs w:val="20"/>
          <w:lang w:eastAsia="ja-JP"/>
        </w:rPr>
        <w:t>，</w:t>
      </w:r>
      <w:r w:rsidRPr="005606CF">
        <w:rPr>
          <w:rFonts w:eastAsia="宋体" w:cstheme="minorHAnsi"/>
          <w:sz w:val="20"/>
          <w:szCs w:val="20"/>
          <w:lang w:eastAsia="ja-JP"/>
        </w:rPr>
        <w:t>WF on simultaneous operating and timing case#6/7 for enhanced IAB</w:t>
      </w:r>
    </w:p>
    <w:p w14:paraId="742C4843" w14:textId="4A62E87F" w:rsidR="00B11DCD" w:rsidRDefault="00B70EE7" w:rsidP="00EA6189">
      <w:pPr>
        <w:rPr>
          <w:rFonts w:eastAsia="宋体" w:cstheme="minorHAnsi"/>
          <w:sz w:val="20"/>
          <w:szCs w:val="20"/>
          <w:lang w:eastAsia="ja-JP"/>
        </w:rPr>
      </w:pPr>
      <w:r>
        <w:rPr>
          <w:rFonts w:eastAsia="宋体" w:cstheme="minorHAnsi"/>
          <w:sz w:val="20"/>
          <w:szCs w:val="20"/>
          <w:lang w:eastAsia="ja-JP"/>
        </w:rPr>
        <w:t xml:space="preserve">[2] Chair’s notes RAN1#106bis-e </w:t>
      </w:r>
    </w:p>
    <w:p w14:paraId="35C41181" w14:textId="5F3FA732" w:rsidR="00B70EE7" w:rsidRPr="000C10F3" w:rsidRDefault="00B70EE7" w:rsidP="00B70EE7">
      <w:pPr>
        <w:rPr>
          <w:rFonts w:eastAsia="MS Mincho" w:cstheme="minorHAnsi"/>
          <w:sz w:val="20"/>
          <w:szCs w:val="20"/>
          <w:lang w:eastAsia="ja-JP"/>
        </w:rPr>
      </w:pPr>
      <w:r>
        <w:rPr>
          <w:rFonts w:hint="eastAsia"/>
          <w:szCs w:val="21"/>
        </w:rPr>
        <w:t>[</w:t>
      </w:r>
      <w:r>
        <w:rPr>
          <w:szCs w:val="21"/>
        </w:rPr>
        <w:t xml:space="preserve">3] </w:t>
      </w:r>
      <w:r w:rsidRPr="007A5BFF">
        <w:rPr>
          <w:rFonts w:eastAsia="宋体" w:cstheme="minorHAnsi"/>
          <w:sz w:val="20"/>
          <w:szCs w:val="20"/>
          <w:lang w:eastAsia="ja-JP"/>
        </w:rPr>
        <w:t>R1-2109916</w:t>
      </w:r>
      <w:r>
        <w:rPr>
          <w:rFonts w:eastAsia="宋体" w:cstheme="minorHAnsi"/>
          <w:sz w:val="20"/>
          <w:szCs w:val="20"/>
          <w:lang w:eastAsia="ja-JP"/>
        </w:rPr>
        <w:t xml:space="preserve">, </w:t>
      </w:r>
      <w:r w:rsidRPr="007A5BFF">
        <w:rPr>
          <w:rFonts w:eastAsia="宋体" w:cstheme="minorHAnsi"/>
          <w:sz w:val="20"/>
          <w:szCs w:val="20"/>
          <w:lang w:eastAsia="ja-JP"/>
        </w:rPr>
        <w:t>Summary of UE features for IAB enhancements</w:t>
      </w:r>
    </w:p>
    <w:p w14:paraId="4F7E27A7" w14:textId="77777777" w:rsidR="00B70EE7" w:rsidRPr="00B70EE7" w:rsidRDefault="00B70EE7" w:rsidP="00EA6189">
      <w:pPr>
        <w:rPr>
          <w:rFonts w:eastAsia="MS Mincho" w:cstheme="minorHAnsi"/>
          <w:sz w:val="20"/>
          <w:szCs w:val="20"/>
          <w:lang w:eastAsia="ja-JP"/>
        </w:rPr>
      </w:pPr>
    </w:p>
    <w:sectPr w:rsidR="00B70EE7" w:rsidRPr="00B70EE7"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FCC30" w14:textId="77777777" w:rsidR="00485B9B" w:rsidRDefault="00485B9B" w:rsidP="006C170D">
      <w:r>
        <w:separator/>
      </w:r>
    </w:p>
  </w:endnote>
  <w:endnote w:type="continuationSeparator" w:id="0">
    <w:p w14:paraId="4DCE2848" w14:textId="77777777" w:rsidR="00485B9B" w:rsidRDefault="00485B9B"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AFAEB" w14:textId="77777777" w:rsidR="00485B9B" w:rsidRDefault="00485B9B" w:rsidP="006C170D">
      <w:r>
        <w:separator/>
      </w:r>
    </w:p>
  </w:footnote>
  <w:footnote w:type="continuationSeparator" w:id="0">
    <w:p w14:paraId="2F2DA8C5" w14:textId="77777777" w:rsidR="00485B9B" w:rsidRDefault="00485B9B"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7774ED"/>
    <w:multiLevelType w:val="multilevel"/>
    <w:tmpl w:val="31A4D206"/>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12B31E89"/>
    <w:multiLevelType w:val="multilevel"/>
    <w:tmpl w:val="12B31E89"/>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DD6176"/>
    <w:multiLevelType w:val="multilevel"/>
    <w:tmpl w:val="8B98C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7D0831"/>
    <w:multiLevelType w:val="multilevel"/>
    <w:tmpl w:val="F0B042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844F7F"/>
    <w:multiLevelType w:val="multilevel"/>
    <w:tmpl w:val="EF9485D2"/>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7" w15:restartNumberingAfterBreak="0">
    <w:nsid w:val="53011676"/>
    <w:multiLevelType w:val="multilevel"/>
    <w:tmpl w:val="DFFA3E04"/>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8"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C0C7284"/>
    <w:multiLevelType w:val="multilevel"/>
    <w:tmpl w:val="112C024C"/>
    <w:lvl w:ilvl="0">
      <w:start w:val="1"/>
      <w:numFmt w:val="decimal"/>
      <w:lvlText w:val="%1."/>
      <w:lvlJc w:val="left"/>
      <w:pPr>
        <w:tabs>
          <w:tab w:val="num" w:pos="720"/>
        </w:tabs>
        <w:ind w:left="720" w:hanging="360"/>
      </w:pPr>
      <w:rPr>
        <w:rFonts w:hint="eastAsia"/>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0"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0"/>
  </w:num>
  <w:num w:numId="3">
    <w:abstractNumId w:val="26"/>
  </w:num>
  <w:num w:numId="4">
    <w:abstractNumId w:val="15"/>
  </w:num>
  <w:num w:numId="5">
    <w:abstractNumId w:val="20"/>
  </w:num>
  <w:num w:numId="6">
    <w:abstractNumId w:val="24"/>
  </w:num>
  <w:num w:numId="7">
    <w:abstractNumId w:val="23"/>
  </w:num>
  <w:num w:numId="8">
    <w:abstractNumId w:val="11"/>
  </w:num>
  <w:num w:numId="9">
    <w:abstractNumId w:val="25"/>
  </w:num>
  <w:num w:numId="10">
    <w:abstractNumId w:val="4"/>
  </w:num>
  <w:num w:numId="11">
    <w:abstractNumId w:val="0"/>
  </w:num>
  <w:num w:numId="12">
    <w:abstractNumId w:val="14"/>
  </w:num>
  <w:num w:numId="13">
    <w:abstractNumId w:val="8"/>
  </w:num>
  <w:num w:numId="14">
    <w:abstractNumId w:val="14"/>
  </w:num>
  <w:num w:numId="15">
    <w:abstractNumId w:val="8"/>
  </w:num>
  <w:num w:numId="16">
    <w:abstractNumId w:val="22"/>
  </w:num>
  <w:num w:numId="17">
    <w:abstractNumId w:val="2"/>
  </w:num>
  <w:num w:numId="18">
    <w:abstractNumId w:val="18"/>
  </w:num>
  <w:num w:numId="19">
    <w:abstractNumId w:val="5"/>
  </w:num>
  <w:num w:numId="20">
    <w:abstractNumId w:val="13"/>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7"/>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787"/>
    <w:rsid w:val="00001BC7"/>
    <w:rsid w:val="00013FDE"/>
    <w:rsid w:val="00020FDD"/>
    <w:rsid w:val="000226EE"/>
    <w:rsid w:val="00022E69"/>
    <w:rsid w:val="00026A0C"/>
    <w:rsid w:val="000374FB"/>
    <w:rsid w:val="00056B30"/>
    <w:rsid w:val="000639A9"/>
    <w:rsid w:val="00064492"/>
    <w:rsid w:val="000716AF"/>
    <w:rsid w:val="000740B8"/>
    <w:rsid w:val="00075039"/>
    <w:rsid w:val="000B062C"/>
    <w:rsid w:val="000B59F8"/>
    <w:rsid w:val="000B7FE5"/>
    <w:rsid w:val="000E1986"/>
    <w:rsid w:val="000E71C0"/>
    <w:rsid w:val="000F4059"/>
    <w:rsid w:val="0010013A"/>
    <w:rsid w:val="00116146"/>
    <w:rsid w:val="00124E9A"/>
    <w:rsid w:val="00137CFD"/>
    <w:rsid w:val="00144530"/>
    <w:rsid w:val="00156FC2"/>
    <w:rsid w:val="0016269A"/>
    <w:rsid w:val="00162A85"/>
    <w:rsid w:val="00191EED"/>
    <w:rsid w:val="001931EF"/>
    <w:rsid w:val="001C2F89"/>
    <w:rsid w:val="001C3269"/>
    <w:rsid w:val="001C7D79"/>
    <w:rsid w:val="001E0D2E"/>
    <w:rsid w:val="001E22FB"/>
    <w:rsid w:val="001E2FF0"/>
    <w:rsid w:val="001E41F6"/>
    <w:rsid w:val="001F08C9"/>
    <w:rsid w:val="001F2FD2"/>
    <w:rsid w:val="001F58DE"/>
    <w:rsid w:val="001F595B"/>
    <w:rsid w:val="00203A69"/>
    <w:rsid w:val="002044AE"/>
    <w:rsid w:val="00216DE6"/>
    <w:rsid w:val="002230D3"/>
    <w:rsid w:val="0023035B"/>
    <w:rsid w:val="00245DF1"/>
    <w:rsid w:val="00250687"/>
    <w:rsid w:val="0025315D"/>
    <w:rsid w:val="00276C66"/>
    <w:rsid w:val="002A04B1"/>
    <w:rsid w:val="002A7091"/>
    <w:rsid w:val="002B7ED4"/>
    <w:rsid w:val="002C243D"/>
    <w:rsid w:val="002C40CC"/>
    <w:rsid w:val="002D0FEA"/>
    <w:rsid w:val="002D7F8B"/>
    <w:rsid w:val="002E1038"/>
    <w:rsid w:val="002E1EFE"/>
    <w:rsid w:val="002E210A"/>
    <w:rsid w:val="002F0166"/>
    <w:rsid w:val="002F0E43"/>
    <w:rsid w:val="002F4DE9"/>
    <w:rsid w:val="00333C86"/>
    <w:rsid w:val="00340E10"/>
    <w:rsid w:val="00353186"/>
    <w:rsid w:val="003704DB"/>
    <w:rsid w:val="0037789C"/>
    <w:rsid w:val="0038791C"/>
    <w:rsid w:val="003928ED"/>
    <w:rsid w:val="003D197B"/>
    <w:rsid w:val="003D3A8B"/>
    <w:rsid w:val="003D4B96"/>
    <w:rsid w:val="003D5584"/>
    <w:rsid w:val="003E599B"/>
    <w:rsid w:val="003F3FD9"/>
    <w:rsid w:val="00403AFC"/>
    <w:rsid w:val="00427987"/>
    <w:rsid w:val="00441B9B"/>
    <w:rsid w:val="00460858"/>
    <w:rsid w:val="0046481D"/>
    <w:rsid w:val="004648DA"/>
    <w:rsid w:val="00467CB6"/>
    <w:rsid w:val="00471B56"/>
    <w:rsid w:val="00485B9B"/>
    <w:rsid w:val="004A4F47"/>
    <w:rsid w:val="004A4F80"/>
    <w:rsid w:val="004B40D6"/>
    <w:rsid w:val="004D6748"/>
    <w:rsid w:val="004E338D"/>
    <w:rsid w:val="004E4598"/>
    <w:rsid w:val="004F16CC"/>
    <w:rsid w:val="00502A45"/>
    <w:rsid w:val="0050306C"/>
    <w:rsid w:val="00516406"/>
    <w:rsid w:val="00524487"/>
    <w:rsid w:val="00527D79"/>
    <w:rsid w:val="0053006D"/>
    <w:rsid w:val="00532C42"/>
    <w:rsid w:val="00533EC1"/>
    <w:rsid w:val="00535D1F"/>
    <w:rsid w:val="00542A09"/>
    <w:rsid w:val="00552A72"/>
    <w:rsid w:val="00552F9D"/>
    <w:rsid w:val="00566AD2"/>
    <w:rsid w:val="005766C7"/>
    <w:rsid w:val="0058741D"/>
    <w:rsid w:val="00597495"/>
    <w:rsid w:val="005B42B0"/>
    <w:rsid w:val="005B4331"/>
    <w:rsid w:val="005C14D7"/>
    <w:rsid w:val="005C1B2D"/>
    <w:rsid w:val="005C3A74"/>
    <w:rsid w:val="005E52EE"/>
    <w:rsid w:val="005E55F2"/>
    <w:rsid w:val="005F1418"/>
    <w:rsid w:val="0060793E"/>
    <w:rsid w:val="00620326"/>
    <w:rsid w:val="00624BBC"/>
    <w:rsid w:val="00626CF0"/>
    <w:rsid w:val="006308B8"/>
    <w:rsid w:val="00632133"/>
    <w:rsid w:val="00633A50"/>
    <w:rsid w:val="0063529B"/>
    <w:rsid w:val="00654A9E"/>
    <w:rsid w:val="0066201A"/>
    <w:rsid w:val="0066418A"/>
    <w:rsid w:val="006732D8"/>
    <w:rsid w:val="0069011F"/>
    <w:rsid w:val="00696B3F"/>
    <w:rsid w:val="006B35D2"/>
    <w:rsid w:val="006C170D"/>
    <w:rsid w:val="006C3751"/>
    <w:rsid w:val="006C40E6"/>
    <w:rsid w:val="006C501A"/>
    <w:rsid w:val="006C61CE"/>
    <w:rsid w:val="006D3C78"/>
    <w:rsid w:val="006F2345"/>
    <w:rsid w:val="00704D67"/>
    <w:rsid w:val="00711A6E"/>
    <w:rsid w:val="0072094A"/>
    <w:rsid w:val="00735219"/>
    <w:rsid w:val="00750155"/>
    <w:rsid w:val="00757381"/>
    <w:rsid w:val="00770345"/>
    <w:rsid w:val="0077304F"/>
    <w:rsid w:val="00775005"/>
    <w:rsid w:val="00781F52"/>
    <w:rsid w:val="007A133A"/>
    <w:rsid w:val="007B41E7"/>
    <w:rsid w:val="007B4345"/>
    <w:rsid w:val="007C0FAC"/>
    <w:rsid w:val="007C1459"/>
    <w:rsid w:val="007D5A2F"/>
    <w:rsid w:val="007E3A74"/>
    <w:rsid w:val="007F2CE8"/>
    <w:rsid w:val="008017D8"/>
    <w:rsid w:val="0080333A"/>
    <w:rsid w:val="00805A5C"/>
    <w:rsid w:val="0080710F"/>
    <w:rsid w:val="00811852"/>
    <w:rsid w:val="008149BD"/>
    <w:rsid w:val="0081568D"/>
    <w:rsid w:val="00831E3D"/>
    <w:rsid w:val="00832F12"/>
    <w:rsid w:val="00833D23"/>
    <w:rsid w:val="00844897"/>
    <w:rsid w:val="00853742"/>
    <w:rsid w:val="00867742"/>
    <w:rsid w:val="00872C28"/>
    <w:rsid w:val="00880126"/>
    <w:rsid w:val="0088215A"/>
    <w:rsid w:val="00882E64"/>
    <w:rsid w:val="00884208"/>
    <w:rsid w:val="00894ECB"/>
    <w:rsid w:val="008A0E61"/>
    <w:rsid w:val="008A5091"/>
    <w:rsid w:val="008B3F75"/>
    <w:rsid w:val="008B7A3A"/>
    <w:rsid w:val="008D4FBD"/>
    <w:rsid w:val="008E50F4"/>
    <w:rsid w:val="008F2DA0"/>
    <w:rsid w:val="00904EA1"/>
    <w:rsid w:val="009116F1"/>
    <w:rsid w:val="009326A3"/>
    <w:rsid w:val="00942548"/>
    <w:rsid w:val="009512B7"/>
    <w:rsid w:val="009549A7"/>
    <w:rsid w:val="00960C16"/>
    <w:rsid w:val="009676EF"/>
    <w:rsid w:val="009746CF"/>
    <w:rsid w:val="0098605C"/>
    <w:rsid w:val="00986839"/>
    <w:rsid w:val="009A6436"/>
    <w:rsid w:val="009B09E5"/>
    <w:rsid w:val="009C2147"/>
    <w:rsid w:val="009D1509"/>
    <w:rsid w:val="009E31A4"/>
    <w:rsid w:val="009E5FEE"/>
    <w:rsid w:val="00A04774"/>
    <w:rsid w:val="00A143EC"/>
    <w:rsid w:val="00A1628D"/>
    <w:rsid w:val="00A16814"/>
    <w:rsid w:val="00A2282F"/>
    <w:rsid w:val="00A36CAB"/>
    <w:rsid w:val="00A45137"/>
    <w:rsid w:val="00A46680"/>
    <w:rsid w:val="00A5135D"/>
    <w:rsid w:val="00A61425"/>
    <w:rsid w:val="00A625FC"/>
    <w:rsid w:val="00A63619"/>
    <w:rsid w:val="00A703FD"/>
    <w:rsid w:val="00A70B6C"/>
    <w:rsid w:val="00A756EA"/>
    <w:rsid w:val="00A81997"/>
    <w:rsid w:val="00A84ED9"/>
    <w:rsid w:val="00AA37A9"/>
    <w:rsid w:val="00AA59F7"/>
    <w:rsid w:val="00AA7B40"/>
    <w:rsid w:val="00AB2105"/>
    <w:rsid w:val="00AB3ECA"/>
    <w:rsid w:val="00AC0590"/>
    <w:rsid w:val="00AC08D9"/>
    <w:rsid w:val="00AC78EA"/>
    <w:rsid w:val="00AE3D05"/>
    <w:rsid w:val="00AF0EC9"/>
    <w:rsid w:val="00AF2856"/>
    <w:rsid w:val="00AF6035"/>
    <w:rsid w:val="00AF61B8"/>
    <w:rsid w:val="00B1000E"/>
    <w:rsid w:val="00B11DCD"/>
    <w:rsid w:val="00B144B1"/>
    <w:rsid w:val="00B20A3D"/>
    <w:rsid w:val="00B24C81"/>
    <w:rsid w:val="00B61817"/>
    <w:rsid w:val="00B619DA"/>
    <w:rsid w:val="00B61D6D"/>
    <w:rsid w:val="00B64DF9"/>
    <w:rsid w:val="00B67C2C"/>
    <w:rsid w:val="00B70EE7"/>
    <w:rsid w:val="00B7587D"/>
    <w:rsid w:val="00B80751"/>
    <w:rsid w:val="00B9058B"/>
    <w:rsid w:val="00B918F7"/>
    <w:rsid w:val="00BA04EF"/>
    <w:rsid w:val="00BA5612"/>
    <w:rsid w:val="00BB4AD8"/>
    <w:rsid w:val="00BC04C3"/>
    <w:rsid w:val="00BC23CC"/>
    <w:rsid w:val="00BC2AFB"/>
    <w:rsid w:val="00BC6689"/>
    <w:rsid w:val="00BD54C4"/>
    <w:rsid w:val="00BF30E9"/>
    <w:rsid w:val="00BF60CD"/>
    <w:rsid w:val="00C01FF2"/>
    <w:rsid w:val="00C03DEE"/>
    <w:rsid w:val="00C04C38"/>
    <w:rsid w:val="00C07605"/>
    <w:rsid w:val="00C10A8B"/>
    <w:rsid w:val="00C113ED"/>
    <w:rsid w:val="00C138F3"/>
    <w:rsid w:val="00C210AC"/>
    <w:rsid w:val="00C257EF"/>
    <w:rsid w:val="00C405F5"/>
    <w:rsid w:val="00C46A73"/>
    <w:rsid w:val="00C4749E"/>
    <w:rsid w:val="00C62788"/>
    <w:rsid w:val="00C62AE5"/>
    <w:rsid w:val="00C65CE6"/>
    <w:rsid w:val="00C672F9"/>
    <w:rsid w:val="00C8399A"/>
    <w:rsid w:val="00C87B9E"/>
    <w:rsid w:val="00CA29CE"/>
    <w:rsid w:val="00CB3A45"/>
    <w:rsid w:val="00CB5566"/>
    <w:rsid w:val="00CC53B3"/>
    <w:rsid w:val="00CD2EC8"/>
    <w:rsid w:val="00CD5680"/>
    <w:rsid w:val="00CD5855"/>
    <w:rsid w:val="00CD6EE6"/>
    <w:rsid w:val="00CF6307"/>
    <w:rsid w:val="00D0149E"/>
    <w:rsid w:val="00D07329"/>
    <w:rsid w:val="00D12F26"/>
    <w:rsid w:val="00D1536C"/>
    <w:rsid w:val="00D1727C"/>
    <w:rsid w:val="00D345FF"/>
    <w:rsid w:val="00D356AE"/>
    <w:rsid w:val="00D414DC"/>
    <w:rsid w:val="00D4401A"/>
    <w:rsid w:val="00D452C3"/>
    <w:rsid w:val="00D533F7"/>
    <w:rsid w:val="00D63006"/>
    <w:rsid w:val="00D630B4"/>
    <w:rsid w:val="00D74429"/>
    <w:rsid w:val="00DA01DE"/>
    <w:rsid w:val="00DA0838"/>
    <w:rsid w:val="00DA0FF8"/>
    <w:rsid w:val="00DA3D3A"/>
    <w:rsid w:val="00DB37EC"/>
    <w:rsid w:val="00DC0964"/>
    <w:rsid w:val="00DD49B2"/>
    <w:rsid w:val="00DE2561"/>
    <w:rsid w:val="00DF143E"/>
    <w:rsid w:val="00E01761"/>
    <w:rsid w:val="00E10EE5"/>
    <w:rsid w:val="00E13B5F"/>
    <w:rsid w:val="00E21802"/>
    <w:rsid w:val="00E21AB2"/>
    <w:rsid w:val="00E25D0F"/>
    <w:rsid w:val="00E400E9"/>
    <w:rsid w:val="00E455E3"/>
    <w:rsid w:val="00E538F6"/>
    <w:rsid w:val="00E54A06"/>
    <w:rsid w:val="00E554F6"/>
    <w:rsid w:val="00E56134"/>
    <w:rsid w:val="00E74E2E"/>
    <w:rsid w:val="00E7721F"/>
    <w:rsid w:val="00E81B9C"/>
    <w:rsid w:val="00E951AB"/>
    <w:rsid w:val="00EA6189"/>
    <w:rsid w:val="00EC0528"/>
    <w:rsid w:val="00EC1A50"/>
    <w:rsid w:val="00EC341A"/>
    <w:rsid w:val="00EC341F"/>
    <w:rsid w:val="00ED09CE"/>
    <w:rsid w:val="00ED4243"/>
    <w:rsid w:val="00ED7224"/>
    <w:rsid w:val="00EE0FFD"/>
    <w:rsid w:val="00EF0B8A"/>
    <w:rsid w:val="00F009E9"/>
    <w:rsid w:val="00F011DD"/>
    <w:rsid w:val="00F03AD1"/>
    <w:rsid w:val="00F06B62"/>
    <w:rsid w:val="00F21189"/>
    <w:rsid w:val="00F23569"/>
    <w:rsid w:val="00F2616E"/>
    <w:rsid w:val="00F30AD0"/>
    <w:rsid w:val="00F57B61"/>
    <w:rsid w:val="00F6164C"/>
    <w:rsid w:val="00F67CA2"/>
    <w:rsid w:val="00F75311"/>
    <w:rsid w:val="00F84C85"/>
    <w:rsid w:val="00FA2AB5"/>
    <w:rsid w:val="00FA5E95"/>
    <w:rsid w:val="00FB2F05"/>
    <w:rsid w:val="00FC3F70"/>
    <w:rsid w:val="00FC56C0"/>
    <w:rsid w:val="00FD59A1"/>
    <w:rsid w:val="00FD6704"/>
    <w:rsid w:val="00FE0306"/>
    <w:rsid w:val="00FE4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 w:type="character" w:customStyle="1" w:styleId="apple-converted-space">
    <w:name w:val="apple-converted-space"/>
    <w:qFormat/>
    <w:rsid w:val="00533EC1"/>
  </w:style>
  <w:style w:type="paragraph" w:customStyle="1" w:styleId="xmsonormal">
    <w:name w:val="xmsonormal"/>
    <w:basedOn w:val="a"/>
    <w:uiPriority w:val="99"/>
    <w:rsid w:val="00B11DCD"/>
    <w:pPr>
      <w:widowControl/>
      <w:spacing w:before="100" w:beforeAutospacing="1" w:after="100" w:afterAutospacing="1"/>
      <w:jc w:val="left"/>
    </w:pPr>
    <w:rPr>
      <w:rFonts w:ascii="Calibri" w:eastAsia="宋体" w:hAnsi="Calibri" w:cs="Calibr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8795993">
          <w:marLeft w:val="252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1557</TotalTime>
  <Pages>3</Pages>
  <Words>1248</Words>
  <Characters>7115</Characters>
  <Application>Microsoft Office Word</Application>
  <DocSecurity>0</DocSecurity>
  <Lines>59</Lines>
  <Paragraphs>16</Paragraphs>
  <ScaleCrop>false</ScaleCrop>
  <Company/>
  <LinksUpToDate>false</LinksUpToDate>
  <CharactersWithSpaces>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38</cp:revision>
  <dcterms:created xsi:type="dcterms:W3CDTF">2021-08-03T08:59:00Z</dcterms:created>
  <dcterms:modified xsi:type="dcterms:W3CDTF">2021-10-22T09:32:00Z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