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7C105A"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7C105A">
        <w:rPr>
          <w:rFonts w:ascii="Arial" w:hAnsi="Arial" w:cs="Arial"/>
          <w:b/>
          <w:sz w:val="24"/>
          <w:szCs w:val="24"/>
        </w:rPr>
        <w:t>10</w:t>
      </w:r>
      <w:r w:rsidR="00656F54">
        <w:rPr>
          <w:rFonts w:ascii="Arial" w:hAnsi="Arial" w:cs="Arial"/>
          <w:b/>
          <w:sz w:val="24"/>
          <w:szCs w:val="24"/>
        </w:rPr>
        <w:t>1</w:t>
      </w:r>
      <w:r w:rsidR="007C105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r w:rsidR="00A21E59" w:rsidRPr="00A21E59">
        <w:t xml:space="preserve"> </w:t>
      </w:r>
      <w:r w:rsidR="000C4AEA" w:rsidRPr="000C4AEA">
        <w:rPr>
          <w:rFonts w:ascii="Arial" w:hAnsi="Arial" w:cs="Arial"/>
          <w:b/>
          <w:sz w:val="24"/>
          <w:szCs w:val="24"/>
        </w:rPr>
        <w:t>2117840</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7C105A">
        <w:rPr>
          <w:rFonts w:ascii="Arial" w:eastAsia="SimSun" w:hAnsi="Arial"/>
          <w:b/>
          <w:sz w:val="24"/>
          <w:szCs w:val="24"/>
          <w:lang w:eastAsia="zh-CN"/>
        </w:rPr>
        <w:t>1</w:t>
      </w:r>
      <w:r w:rsidR="00585052">
        <w:rPr>
          <w:rFonts w:ascii="Arial" w:eastAsia="SimSun" w:hAnsi="Arial"/>
          <w:b/>
          <w:sz w:val="24"/>
          <w:szCs w:val="24"/>
          <w:lang w:eastAsia="zh-CN"/>
        </w:rPr>
        <w:t xml:space="preserve"> – </w:t>
      </w:r>
      <w:r w:rsidR="00656F54">
        <w:rPr>
          <w:rFonts w:ascii="Arial" w:eastAsia="SimSun" w:hAnsi="Arial"/>
          <w:b/>
          <w:sz w:val="24"/>
          <w:szCs w:val="24"/>
          <w:lang w:eastAsia="zh-CN"/>
        </w:rPr>
        <w:t>1</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 </w:t>
      </w:r>
      <w:r w:rsidR="00656F54">
        <w:rPr>
          <w:rFonts w:ascii="Arial" w:eastAsia="SimSun" w:hAnsi="Arial"/>
          <w:b/>
          <w:sz w:val="24"/>
          <w:szCs w:val="24"/>
          <w:lang w:eastAsia="zh-CN"/>
        </w:rPr>
        <w:t>November</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A554A6">
        <w:rPr>
          <w:rFonts w:ascii="Arial" w:hAnsi="Arial" w:cs="Arial"/>
          <w:lang w:val="en-US" w:eastAsia="ko-KR"/>
        </w:rPr>
        <w:t xml:space="preserve">mobility related </w:t>
      </w:r>
      <w:r w:rsidR="00CB73C2">
        <w:rPr>
          <w:rFonts w:ascii="Arial" w:hAnsi="Arial" w:cs="Arial"/>
          <w:lang w:val="en-US" w:eastAsia="ko-KR"/>
        </w:rPr>
        <w:t>requirements</w:t>
      </w:r>
      <w:r w:rsidR="00C352FA">
        <w:rPr>
          <w:rFonts w:ascii="Arial" w:hAnsi="Arial" w:cs="Arial" w:hint="eastAsia"/>
          <w:lang w:val="en-US" w:eastAsia="ko-KR"/>
        </w:rPr>
        <w:t xml:space="preserve"> for</w:t>
      </w:r>
      <w:r w:rsidR="00C352FA">
        <w:rPr>
          <w:rFonts w:ascii="Arial" w:hAnsi="Arial" w:cs="Arial"/>
          <w:lang w:val="en-US" w:eastAsia="ko-KR"/>
        </w:rPr>
        <w:t xml:space="preserve"> NR</w:t>
      </w:r>
      <w:r w:rsidR="00C352FA">
        <w:rPr>
          <w:rFonts w:ascii="Arial" w:hAnsi="Arial" w:cs="Arial" w:hint="eastAsia"/>
          <w:lang w:val="en-US" w:eastAsia="ko-KR"/>
        </w:rPr>
        <w:t xml:space="preserve"> NTN</w:t>
      </w:r>
      <w:bookmarkStart w:id="0" w:name="_GoBack"/>
      <w:bookmarkEnd w:id="0"/>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B6992">
        <w:rPr>
          <w:rFonts w:ascii="Arial" w:hAnsi="Arial" w:cs="Arial"/>
          <w:lang w:val="en-US" w:eastAsia="ko-KR"/>
        </w:rPr>
        <w:t>8</w:t>
      </w:r>
      <w:r w:rsidR="00CB6500">
        <w:rPr>
          <w:rFonts w:ascii="Arial" w:hAnsi="Arial" w:cs="Arial"/>
          <w:lang w:val="en-US" w:eastAsia="ko-KR"/>
        </w:rPr>
        <w:t>.13.5.3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Pr="0078505A" w:rsidRDefault="00CB4799" w:rsidP="00662107">
      <w:pPr>
        <w:pStyle w:val="a0"/>
        <w:jc w:val="both"/>
        <w:rPr>
          <w:lang w:val="en-US" w:eastAsia="ko-KR"/>
        </w:rPr>
      </w:pPr>
      <w:r>
        <w:rPr>
          <w:lang w:val="en-US" w:eastAsia="ko-KR"/>
        </w:rPr>
        <w:t xml:space="preserve">In the last RAN4 meeting, </w:t>
      </w:r>
      <w:r w:rsidR="0078505A">
        <w:rPr>
          <w:lang w:val="en-US" w:eastAsia="ko-KR"/>
        </w:rPr>
        <w:t xml:space="preserve">mobility-related measurements for NR NTN were discussed, but </w:t>
      </w:r>
      <w:r w:rsidR="00250C7A">
        <w:rPr>
          <w:lang w:val="en-US" w:eastAsia="ko-KR"/>
        </w:rPr>
        <w:t xml:space="preserve">there was </w:t>
      </w:r>
      <w:r w:rsidR="00250C7A">
        <w:rPr>
          <w:rFonts w:hint="eastAsia"/>
          <w:lang w:val="en-US" w:eastAsia="ko-KR"/>
        </w:rPr>
        <w:t xml:space="preserve">no </w:t>
      </w:r>
      <w:r w:rsidR="00250C7A">
        <w:rPr>
          <w:lang w:val="en-US" w:eastAsia="ko-KR"/>
        </w:rPr>
        <w:t>progress due to the lack of</w:t>
      </w:r>
      <w:r w:rsidR="0078505A">
        <w:rPr>
          <w:lang w:val="en-US" w:eastAsia="ko-KR"/>
        </w:rPr>
        <w:t xml:space="preserve"> </w:t>
      </w:r>
      <w:r w:rsidR="00250C7A">
        <w:rPr>
          <w:lang w:val="en-US" w:eastAsia="ko-KR"/>
        </w:rPr>
        <w:t xml:space="preserve">other </w:t>
      </w:r>
      <w:r w:rsidR="0078505A">
        <w:rPr>
          <w:lang w:val="en-US" w:eastAsia="ko-KR"/>
        </w:rPr>
        <w:t>WG</w:t>
      </w:r>
      <w:r w:rsidR="00620A1F">
        <w:rPr>
          <w:lang w:val="en-US" w:eastAsia="ko-KR"/>
        </w:rPr>
        <w:t>s’</w:t>
      </w:r>
      <w:r w:rsidR="0078505A">
        <w:rPr>
          <w:lang w:val="en-US" w:eastAsia="ko-KR"/>
        </w:rPr>
        <w:t xml:space="preserve"> decision</w:t>
      </w:r>
      <w:r w:rsidR="00620A1F">
        <w:rPr>
          <w:lang w:val="en-US" w:eastAsia="ko-KR"/>
        </w:rPr>
        <w:t>s</w:t>
      </w:r>
      <w:r w:rsidR="0078505A">
        <w:rPr>
          <w:lang w:val="en-US" w:eastAsia="ko-KR"/>
        </w:rPr>
        <w:t>. In this contribution, we pr</w:t>
      </w:r>
      <w:r w:rsidR="00250C7A">
        <w:rPr>
          <w:lang w:val="en-US" w:eastAsia="ko-KR"/>
        </w:rPr>
        <w:t xml:space="preserve">ovide our views on the mobility </w:t>
      </w:r>
      <w:r w:rsidR="0078505A">
        <w:rPr>
          <w:lang w:val="en-US" w:eastAsia="ko-KR"/>
        </w:rPr>
        <w:t>related measurement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47279E" w:rsidRPr="0047279E" w:rsidRDefault="00E96EC6" w:rsidP="0047279E">
      <w:pPr>
        <w:pStyle w:val="a0"/>
        <w:rPr>
          <w:b/>
          <w:u w:val="single"/>
          <w:lang w:val="en-US" w:eastAsia="ko-KR"/>
        </w:rPr>
      </w:pPr>
      <w:r>
        <w:rPr>
          <w:b/>
          <w:u w:val="single"/>
          <w:lang w:val="en-US" w:eastAsia="ko-KR"/>
        </w:rPr>
        <w:t xml:space="preserve">RRC IDLE/Inactive </w:t>
      </w:r>
      <w:r w:rsidR="00E90EC0">
        <w:rPr>
          <w:b/>
          <w:u w:val="single"/>
          <w:lang w:val="en-US" w:eastAsia="ko-KR"/>
        </w:rPr>
        <w:t>mode</w:t>
      </w:r>
    </w:p>
    <w:p w:rsidR="0047279E" w:rsidRDefault="00E96EC6" w:rsidP="005B6992">
      <w:pPr>
        <w:pStyle w:val="a0"/>
        <w:jc w:val="both"/>
        <w:rPr>
          <w:lang w:val="en-US" w:eastAsia="ko-KR"/>
        </w:rPr>
      </w:pPr>
      <w:r>
        <w:rPr>
          <w:lang w:val="en-US" w:eastAsia="ko-KR"/>
        </w:rPr>
        <w:t xml:space="preserve">There was no decision for RRC IDLE/Inactive mobility due to </w:t>
      </w:r>
      <w:r w:rsidR="00250C7A">
        <w:rPr>
          <w:lang w:val="en-US" w:eastAsia="ko-KR"/>
        </w:rPr>
        <w:t xml:space="preserve">the </w:t>
      </w:r>
      <w:r>
        <w:rPr>
          <w:lang w:val="en-US" w:eastAsia="ko-KR"/>
        </w:rPr>
        <w:t>lack of RAN2 progress</w:t>
      </w:r>
      <w:r w:rsidR="00250C7A">
        <w:rPr>
          <w:lang w:val="en-US" w:eastAsia="ko-KR"/>
        </w:rPr>
        <w:t xml:space="preserve"> in the last RAN4 meeting</w:t>
      </w:r>
      <w:r>
        <w:rPr>
          <w:lang w:val="en-US" w:eastAsia="ko-KR"/>
        </w:rPr>
        <w:t>. Since only 3 meeting</w:t>
      </w:r>
      <w:r w:rsidR="00250C7A">
        <w:rPr>
          <w:lang w:val="en-US" w:eastAsia="ko-KR"/>
        </w:rPr>
        <w:t>s</w:t>
      </w:r>
      <w:r>
        <w:rPr>
          <w:lang w:val="en-US" w:eastAsia="ko-KR"/>
        </w:rPr>
        <w:t xml:space="preserve"> </w:t>
      </w:r>
      <w:r w:rsidR="00250C7A">
        <w:rPr>
          <w:lang w:val="en-US" w:eastAsia="ko-KR"/>
        </w:rPr>
        <w:t>are</w:t>
      </w:r>
      <w:r>
        <w:rPr>
          <w:lang w:val="en-US" w:eastAsia="ko-KR"/>
        </w:rPr>
        <w:t xml:space="preserve"> left for Rel-17 NTN WI, RAN4 needs to start </w:t>
      </w:r>
      <w:r w:rsidR="00250C7A">
        <w:rPr>
          <w:lang w:val="en-US" w:eastAsia="ko-KR"/>
        </w:rPr>
        <w:t xml:space="preserve">the </w:t>
      </w:r>
      <w:r>
        <w:rPr>
          <w:lang w:val="en-US" w:eastAsia="ko-KR"/>
        </w:rPr>
        <w:t>discussion on mobility related requirements based on RAN2 agreements</w:t>
      </w:r>
      <w:r w:rsidR="00250C7A">
        <w:rPr>
          <w:lang w:val="en-US" w:eastAsia="ko-KR"/>
        </w:rPr>
        <w:t xml:space="preserve"> up to now</w:t>
      </w:r>
      <w:r>
        <w:rPr>
          <w:lang w:val="en-US" w:eastAsia="ko-KR"/>
        </w:rPr>
        <w:t xml:space="preserve">. </w:t>
      </w:r>
      <w:r w:rsidR="00072735">
        <w:rPr>
          <w:rFonts w:hint="eastAsia"/>
          <w:lang w:val="en-US" w:eastAsia="ko-KR"/>
        </w:rPr>
        <w:t>In RAN2#11</w:t>
      </w:r>
      <w:r w:rsidR="005B6992">
        <w:rPr>
          <w:lang w:val="en-US" w:eastAsia="ko-KR"/>
        </w:rPr>
        <w:t>5</w:t>
      </w:r>
      <w:r w:rsidR="00072735">
        <w:rPr>
          <w:rFonts w:hint="eastAsia"/>
          <w:lang w:val="en-US" w:eastAsia="ko-KR"/>
        </w:rPr>
        <w:t xml:space="preserve">-e meeting, </w:t>
      </w:r>
      <w:r w:rsidR="00250C7A">
        <w:rPr>
          <w:lang w:val="en-US" w:eastAsia="ko-KR"/>
        </w:rPr>
        <w:t xml:space="preserve">the </w:t>
      </w:r>
      <w:r w:rsidR="00072735">
        <w:rPr>
          <w:lang w:val="en-US" w:eastAsia="ko-KR"/>
        </w:rPr>
        <w:t>following</w:t>
      </w:r>
      <w:r w:rsidR="00072735">
        <w:rPr>
          <w:rFonts w:hint="eastAsia"/>
          <w:lang w:val="en-US" w:eastAsia="ko-KR"/>
        </w:rPr>
        <w:t xml:space="preserve"> </w:t>
      </w:r>
      <w:r w:rsidR="00072735">
        <w:rPr>
          <w:lang w:val="en-US" w:eastAsia="ko-KR"/>
        </w:rPr>
        <w:t>agreements for IDLE/INACTIVE state were made</w:t>
      </w:r>
      <w:r w:rsidR="00F76714">
        <w:rPr>
          <w:lang w:val="en-US" w:eastAsia="ko-KR"/>
        </w:rPr>
        <w:t>.</w:t>
      </w:r>
    </w:p>
    <w:tbl>
      <w:tblPr>
        <w:tblStyle w:val="a9"/>
        <w:tblW w:w="0" w:type="auto"/>
        <w:tblLook w:val="04A0" w:firstRow="1" w:lastRow="0" w:firstColumn="1" w:lastColumn="0" w:noHBand="0" w:noVBand="1"/>
      </w:tblPr>
      <w:tblGrid>
        <w:gridCol w:w="9855"/>
      </w:tblGrid>
      <w:tr w:rsidR="00F76714" w:rsidTr="005B6992">
        <w:tc>
          <w:tcPr>
            <w:tcW w:w="9855" w:type="dxa"/>
          </w:tcPr>
          <w:p w:rsidR="005B6992" w:rsidRPr="005B6992" w:rsidRDefault="005B6992" w:rsidP="005B6992">
            <w:pPr>
              <w:pStyle w:val="a0"/>
              <w:numPr>
                <w:ilvl w:val="0"/>
                <w:numId w:val="36"/>
              </w:numPr>
              <w:ind w:left="313" w:hanging="284"/>
              <w:jc w:val="both"/>
              <w:rPr>
                <w:lang w:eastAsia="ko-KR"/>
              </w:rPr>
            </w:pPr>
            <w:r w:rsidRPr="005B6992">
              <w:rPr>
                <w:lang w:eastAsia="ko-KR"/>
              </w:rPr>
              <w:t>Broadcast of cell stop time in SIB is only applicable to quasi earth fixed cell (not to moving cell). No further work in this release to address any moving cell specific details on using the cell stop time to assist measurements or cell reselection</w:t>
            </w:r>
          </w:p>
          <w:p w:rsidR="005B6992" w:rsidRPr="005B6992" w:rsidRDefault="005B6992" w:rsidP="005B6992">
            <w:pPr>
              <w:pStyle w:val="a0"/>
              <w:numPr>
                <w:ilvl w:val="0"/>
                <w:numId w:val="36"/>
              </w:numPr>
              <w:ind w:left="313" w:hanging="284"/>
              <w:jc w:val="both"/>
              <w:rPr>
                <w:lang w:eastAsia="ko-KR"/>
              </w:rPr>
            </w:pPr>
            <w:r w:rsidRPr="005B6992">
              <w:rPr>
                <w:lang w:eastAsia="ko-KR"/>
              </w:rPr>
              <w:t>For quasi-earth fixed cell, the reference location of the cell (serving cell or the neighbor cells) is broadcast in system information</w:t>
            </w:r>
          </w:p>
          <w:p w:rsidR="005B6992" w:rsidRPr="005B6992" w:rsidRDefault="005B6992" w:rsidP="005B6992">
            <w:pPr>
              <w:pStyle w:val="a0"/>
              <w:numPr>
                <w:ilvl w:val="0"/>
                <w:numId w:val="36"/>
              </w:numPr>
              <w:ind w:left="313" w:hanging="284"/>
              <w:jc w:val="both"/>
              <w:rPr>
                <w:lang w:eastAsia="ko-KR"/>
              </w:rPr>
            </w:pPr>
            <w:r w:rsidRPr="005B6992">
              <w:rPr>
                <w:lang w:eastAsia="ko-KR"/>
              </w:rPr>
              <w:t>For quasi-earth fixed cell, UE should start measurements on neighbor cells before the serving cell stops covering the current area.</w:t>
            </w:r>
          </w:p>
          <w:p w:rsidR="005B6992" w:rsidRPr="005B6992" w:rsidRDefault="005B6992" w:rsidP="005B6992">
            <w:pPr>
              <w:pStyle w:val="a0"/>
              <w:numPr>
                <w:ilvl w:val="0"/>
                <w:numId w:val="36"/>
              </w:numPr>
              <w:ind w:left="313" w:hanging="284"/>
              <w:jc w:val="both"/>
              <w:rPr>
                <w:lang w:eastAsia="ko-KR"/>
              </w:rPr>
            </w:pPr>
            <w:r w:rsidRPr="005B6992">
              <w:rPr>
                <w:lang w:eastAsia="ko-KR"/>
              </w:rPr>
              <w:t>For quasi-earth fixed cell, the broadcast “timing information on when a cell is going to stop serving the area” refers to the time when a cell stops covering the current area.</w:t>
            </w:r>
          </w:p>
          <w:p w:rsidR="00F76714" w:rsidRDefault="005B6992" w:rsidP="005B6992">
            <w:pPr>
              <w:pStyle w:val="a0"/>
              <w:numPr>
                <w:ilvl w:val="0"/>
                <w:numId w:val="36"/>
              </w:numPr>
              <w:ind w:left="313" w:hanging="284"/>
              <w:jc w:val="both"/>
              <w:rPr>
                <w:lang w:eastAsia="ko-KR"/>
              </w:rPr>
            </w:pPr>
            <w:r w:rsidRPr="005B6992">
              <w:rPr>
                <w:lang w:eastAsia="ko-KR"/>
              </w:rPr>
              <w:t>For quasi-earth fixed cell, specify that UE should start measurements on neighbor cells before the broadcast stop time of the serving cell, i.e. the time when the serving cell stops covering the current area, and the exact time to start measurements is up to UE implementation.</w:t>
            </w:r>
          </w:p>
          <w:p w:rsidR="005B6992" w:rsidRDefault="005B6992" w:rsidP="005B6992">
            <w:pPr>
              <w:pStyle w:val="a0"/>
              <w:ind w:left="29"/>
              <w:jc w:val="both"/>
              <w:rPr>
                <w:lang w:eastAsia="ko-KR"/>
              </w:rPr>
            </w:pPr>
            <w:r>
              <w:rPr>
                <w:lang w:eastAsia="ko-KR"/>
              </w:rPr>
              <w:t>[Working Assumption:]</w:t>
            </w:r>
          </w:p>
          <w:p w:rsidR="005B6992" w:rsidRPr="00F76714" w:rsidRDefault="005B6992" w:rsidP="005B6992">
            <w:pPr>
              <w:pStyle w:val="a0"/>
              <w:numPr>
                <w:ilvl w:val="0"/>
                <w:numId w:val="36"/>
              </w:numPr>
              <w:ind w:left="313" w:hanging="284"/>
              <w:jc w:val="both"/>
              <w:rPr>
                <w:lang w:eastAsia="ko-KR"/>
              </w:rPr>
            </w:pPr>
            <w:r>
              <w:rPr>
                <w:lang w:eastAsia="ko-KR"/>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tc>
      </w:tr>
    </w:tbl>
    <w:p w:rsidR="0047279E" w:rsidRDefault="0047279E" w:rsidP="005B6992">
      <w:pPr>
        <w:pStyle w:val="a0"/>
        <w:jc w:val="both"/>
        <w:rPr>
          <w:lang w:val="en-US" w:eastAsia="ko-KR"/>
        </w:rPr>
      </w:pPr>
    </w:p>
    <w:p w:rsidR="00E96EC6" w:rsidRDefault="008E3B18" w:rsidP="005B6992">
      <w:pPr>
        <w:pStyle w:val="a0"/>
        <w:jc w:val="both"/>
        <w:rPr>
          <w:lang w:val="en-US" w:eastAsia="ko-KR"/>
        </w:rPr>
      </w:pPr>
      <w:r>
        <w:rPr>
          <w:lang w:val="en-US" w:eastAsia="ko-KR"/>
        </w:rPr>
        <w:t>According to</w:t>
      </w:r>
      <w:r w:rsidR="00E96EC6">
        <w:rPr>
          <w:lang w:val="en-US" w:eastAsia="ko-KR"/>
        </w:rPr>
        <w:t xml:space="preserve"> </w:t>
      </w:r>
      <w:r>
        <w:rPr>
          <w:lang w:val="en-US" w:eastAsia="ko-KR"/>
        </w:rPr>
        <w:t>overall</w:t>
      </w:r>
      <w:r w:rsidR="00E96EC6">
        <w:rPr>
          <w:rFonts w:hint="eastAsia"/>
          <w:lang w:val="en-US" w:eastAsia="ko-KR"/>
        </w:rPr>
        <w:t xml:space="preserve"> </w:t>
      </w:r>
      <w:r w:rsidR="00E96EC6">
        <w:rPr>
          <w:lang w:val="en-US" w:eastAsia="ko-KR"/>
        </w:rPr>
        <w:t xml:space="preserve">RAN2 agreements, </w:t>
      </w:r>
      <w:r>
        <w:rPr>
          <w:lang w:val="en-US" w:eastAsia="ko-KR"/>
        </w:rPr>
        <w:t xml:space="preserve">only </w:t>
      </w:r>
      <w:r w:rsidR="00E96EC6">
        <w:rPr>
          <w:lang w:val="en-US" w:eastAsia="ko-KR"/>
        </w:rPr>
        <w:t>quasi-</w:t>
      </w:r>
      <w:r w:rsidR="00E96EC6">
        <w:rPr>
          <w:rFonts w:hint="eastAsia"/>
          <w:lang w:val="en-US" w:eastAsia="ko-KR"/>
        </w:rPr>
        <w:t>ea</w:t>
      </w:r>
      <w:r w:rsidR="00E96EC6">
        <w:rPr>
          <w:lang w:val="en-US" w:eastAsia="ko-KR"/>
        </w:rPr>
        <w:t xml:space="preserve">rth fixed cell </w:t>
      </w:r>
      <w:r>
        <w:rPr>
          <w:lang w:val="en-US" w:eastAsia="ko-KR"/>
        </w:rPr>
        <w:t xml:space="preserve">based NTN behavior is available. So, RAN4 should define RRM requirements based on </w:t>
      </w:r>
      <w:r w:rsidR="00250C7A">
        <w:rPr>
          <w:lang w:val="en-US" w:eastAsia="ko-KR"/>
        </w:rPr>
        <w:t xml:space="preserve">the </w:t>
      </w:r>
      <w:r>
        <w:rPr>
          <w:lang w:val="en-US" w:eastAsia="ko-KR"/>
        </w:rPr>
        <w:t>quasi-earth fixed cell</w:t>
      </w:r>
      <w:r w:rsidR="00250C7A">
        <w:rPr>
          <w:lang w:val="en-US" w:eastAsia="ko-KR"/>
        </w:rPr>
        <w:t xml:space="preserve"> in IDLE/Inactive mode</w:t>
      </w:r>
      <w:r>
        <w:rPr>
          <w:lang w:val="en-US" w:eastAsia="ko-KR"/>
        </w:rPr>
        <w:t>, and the specification should state this.</w:t>
      </w:r>
    </w:p>
    <w:p w:rsidR="008E3B18" w:rsidRDefault="008E3B18" w:rsidP="008E3B18">
      <w:pPr>
        <w:pStyle w:val="a0"/>
        <w:numPr>
          <w:ilvl w:val="0"/>
          <w:numId w:val="41"/>
        </w:numPr>
        <w:jc w:val="both"/>
        <w:rPr>
          <w:lang w:val="en-US" w:eastAsia="ko-KR"/>
        </w:rPr>
      </w:pPr>
      <w:r w:rsidRPr="002D1B7D">
        <w:rPr>
          <w:b/>
          <w:i/>
          <w:lang w:val="en-US" w:eastAsia="ko-KR"/>
        </w:rPr>
        <w:t>Proposal 1:</w:t>
      </w:r>
      <w:r>
        <w:rPr>
          <w:lang w:val="en-US" w:eastAsia="ko-KR"/>
        </w:rPr>
        <w:t xml:space="preserve"> Quasi-earth fixed cell based mobility requirements should be defined </w:t>
      </w:r>
      <w:r w:rsidR="00002393">
        <w:rPr>
          <w:lang w:val="en-US" w:eastAsia="ko-KR"/>
        </w:rPr>
        <w:t xml:space="preserve">first </w:t>
      </w:r>
      <w:r>
        <w:rPr>
          <w:lang w:val="en-US" w:eastAsia="ko-KR"/>
        </w:rPr>
        <w:t xml:space="preserve">in </w:t>
      </w:r>
      <w:r w:rsidR="00250C7A">
        <w:rPr>
          <w:lang w:val="en-US" w:eastAsia="ko-KR"/>
        </w:rPr>
        <w:t>IDLE/Inactive mode</w:t>
      </w:r>
      <w:r>
        <w:rPr>
          <w:lang w:val="en-US" w:eastAsia="ko-KR"/>
        </w:rPr>
        <w:t>.</w:t>
      </w:r>
    </w:p>
    <w:p w:rsidR="008E3B18" w:rsidRDefault="008E3B18" w:rsidP="008E3B18">
      <w:pPr>
        <w:pStyle w:val="a0"/>
        <w:numPr>
          <w:ilvl w:val="0"/>
          <w:numId w:val="41"/>
        </w:numPr>
        <w:jc w:val="both"/>
        <w:rPr>
          <w:lang w:val="en-US" w:eastAsia="ko-KR"/>
        </w:rPr>
      </w:pPr>
      <w:r w:rsidRPr="002D1B7D">
        <w:rPr>
          <w:b/>
          <w:i/>
          <w:lang w:val="en-US" w:eastAsia="ko-KR"/>
        </w:rPr>
        <w:t>Proposal 2:</w:t>
      </w:r>
      <w:r>
        <w:rPr>
          <w:lang w:val="en-US" w:eastAsia="ko-KR"/>
        </w:rPr>
        <w:t xml:space="preserve"> The </w:t>
      </w:r>
      <w:r w:rsidR="002D1B7D">
        <w:rPr>
          <w:lang w:val="en-US" w:eastAsia="ko-KR"/>
        </w:rPr>
        <w:t>separate RRM requirements</w:t>
      </w:r>
      <w:r>
        <w:rPr>
          <w:lang w:val="en-US" w:eastAsia="ko-KR"/>
        </w:rPr>
        <w:t xml:space="preserve"> </w:t>
      </w:r>
      <w:r w:rsidR="002D1B7D">
        <w:rPr>
          <w:lang w:val="en-US" w:eastAsia="ko-KR"/>
        </w:rPr>
        <w:t xml:space="preserve">for </w:t>
      </w:r>
      <w:r w:rsidR="00250C7A">
        <w:rPr>
          <w:lang w:val="en-US" w:eastAsia="ko-KR"/>
        </w:rPr>
        <w:t xml:space="preserve">the </w:t>
      </w:r>
      <w:r>
        <w:rPr>
          <w:lang w:val="en-US" w:eastAsia="ko-KR"/>
        </w:rPr>
        <w:t xml:space="preserve">quasi-earth fixed cell and moving cell </w:t>
      </w:r>
      <w:r w:rsidR="002D1B7D">
        <w:rPr>
          <w:lang w:val="en-US" w:eastAsia="ko-KR"/>
        </w:rPr>
        <w:t>should be captured in the specification.</w:t>
      </w:r>
    </w:p>
    <w:p w:rsidR="002D1B7D" w:rsidRDefault="002D1B7D" w:rsidP="005B6992">
      <w:pPr>
        <w:pStyle w:val="a0"/>
        <w:jc w:val="both"/>
        <w:rPr>
          <w:lang w:val="en-US" w:eastAsia="ko-KR"/>
        </w:rPr>
      </w:pPr>
    </w:p>
    <w:p w:rsidR="00FB56C8" w:rsidRDefault="00FB56C8" w:rsidP="005B6992">
      <w:pPr>
        <w:pStyle w:val="a0"/>
        <w:jc w:val="both"/>
        <w:rPr>
          <w:lang w:val="en-US" w:eastAsia="ko-KR"/>
        </w:rPr>
      </w:pPr>
      <w:r>
        <w:rPr>
          <w:lang w:val="en-US" w:eastAsia="ko-KR"/>
        </w:rPr>
        <w:t xml:space="preserve">Based on RAN2 agreements, </w:t>
      </w:r>
      <w:r w:rsidR="00B0510B">
        <w:rPr>
          <w:lang w:val="en-US" w:eastAsia="ko-KR"/>
        </w:rPr>
        <w:t xml:space="preserve">if cell stop time is broadcast, </w:t>
      </w:r>
      <w:r>
        <w:rPr>
          <w:lang w:val="en-US" w:eastAsia="ko-KR"/>
        </w:rPr>
        <w:t xml:space="preserve">a UE should start measurement on neighbor cells before the broadcast stop time of the serving cell, and measurement starting time is up to UE implementation. Even if </w:t>
      </w:r>
      <w:r w:rsidR="008C0503">
        <w:rPr>
          <w:lang w:val="en-US" w:eastAsia="ko-KR"/>
        </w:rPr>
        <w:t xml:space="preserve">measurement starting time is up to UE implementation, </w:t>
      </w:r>
      <w:r w:rsidR="00197FAA">
        <w:rPr>
          <w:lang w:val="en-US" w:eastAsia="ko-KR"/>
        </w:rPr>
        <w:t>the time identifying neighbor cell and measuring RSRP/RSRQ should be guaranteed before the serving cell stops covering the area.</w:t>
      </w:r>
    </w:p>
    <w:p w:rsidR="00327C6A" w:rsidRDefault="00327C6A" w:rsidP="00327C6A">
      <w:pPr>
        <w:pStyle w:val="a0"/>
        <w:numPr>
          <w:ilvl w:val="0"/>
          <w:numId w:val="41"/>
        </w:numPr>
        <w:jc w:val="both"/>
        <w:rPr>
          <w:lang w:val="en-US" w:eastAsia="ko-KR"/>
        </w:rPr>
      </w:pPr>
      <w:r w:rsidRPr="0012533C">
        <w:rPr>
          <w:b/>
          <w:i/>
          <w:lang w:val="en-US" w:eastAsia="ko-KR"/>
        </w:rPr>
        <w:lastRenderedPageBreak/>
        <w:t>Proposal 3:</w:t>
      </w:r>
      <w:r>
        <w:rPr>
          <w:lang w:val="en-US" w:eastAsia="ko-KR"/>
        </w:rPr>
        <w:t xml:space="preserve"> If cell stop time is broadcast from serving cell, a UE should start measurement on neighbor cells </w:t>
      </w:r>
      <w:r w:rsidR="0012533C">
        <w:rPr>
          <w:lang w:val="en-US" w:eastAsia="ko-KR"/>
        </w:rPr>
        <w:t>before defined IDLE measurement time</w:t>
      </w:r>
      <w:r>
        <w:rPr>
          <w:lang w:val="en-US" w:eastAsia="ko-KR"/>
        </w:rPr>
        <w:t xml:space="preserve"> </w:t>
      </w:r>
      <w:r w:rsidR="0012533C">
        <w:rPr>
          <w:lang w:val="en-US" w:eastAsia="ko-KR"/>
        </w:rPr>
        <w:t>(T</w:t>
      </w:r>
      <w:r w:rsidR="0012533C" w:rsidRPr="0012533C">
        <w:rPr>
          <w:vertAlign w:val="subscript"/>
          <w:lang w:val="en-US" w:eastAsia="ko-KR"/>
        </w:rPr>
        <w:t>dete</w:t>
      </w:r>
      <w:r w:rsidR="0012533C">
        <w:rPr>
          <w:vertAlign w:val="subscript"/>
          <w:lang w:val="en-US" w:eastAsia="ko-KR"/>
        </w:rPr>
        <w:t>ct</w:t>
      </w:r>
      <w:r w:rsidR="0012533C">
        <w:rPr>
          <w:lang w:val="en-US" w:eastAsia="ko-KR"/>
        </w:rPr>
        <w:t>, T</w:t>
      </w:r>
      <w:r w:rsidR="0012533C" w:rsidRPr="0012533C">
        <w:rPr>
          <w:vertAlign w:val="subscript"/>
          <w:lang w:val="en-US" w:eastAsia="ko-KR"/>
        </w:rPr>
        <w:t>measure</w:t>
      </w:r>
      <w:r w:rsidR="0012533C">
        <w:rPr>
          <w:lang w:val="en-US" w:eastAsia="ko-KR"/>
        </w:rPr>
        <w:t>, and T</w:t>
      </w:r>
      <w:r w:rsidR="0012533C" w:rsidRPr="0012533C">
        <w:rPr>
          <w:vertAlign w:val="subscript"/>
          <w:lang w:val="en-US" w:eastAsia="ko-KR"/>
        </w:rPr>
        <w:t>evaluate</w:t>
      </w:r>
      <w:r w:rsidR="0012533C">
        <w:rPr>
          <w:lang w:val="en-US" w:eastAsia="ko-KR"/>
        </w:rPr>
        <w:t>) from cell stop time.</w:t>
      </w:r>
      <w:r>
        <w:rPr>
          <w:lang w:val="en-US" w:eastAsia="ko-KR"/>
        </w:rPr>
        <w:t xml:space="preserve"> </w:t>
      </w:r>
    </w:p>
    <w:p w:rsidR="00327C6A" w:rsidRDefault="00327C6A" w:rsidP="005B6992">
      <w:pPr>
        <w:pStyle w:val="a0"/>
        <w:jc w:val="both"/>
        <w:rPr>
          <w:lang w:val="en-US" w:eastAsia="ko-KR"/>
        </w:rPr>
      </w:pPr>
    </w:p>
    <w:p w:rsidR="00B0510B" w:rsidRDefault="00657843" w:rsidP="005B6992">
      <w:pPr>
        <w:pStyle w:val="a0"/>
        <w:jc w:val="both"/>
        <w:rPr>
          <w:lang w:val="en-US" w:eastAsia="ko-KR"/>
        </w:rPr>
      </w:pPr>
      <w:r>
        <w:rPr>
          <w:lang w:val="en-US" w:eastAsia="ko-KR"/>
        </w:rPr>
        <w:t>For loca</w:t>
      </w:r>
      <w:r>
        <w:rPr>
          <w:rFonts w:hint="eastAsia"/>
          <w:lang w:val="en-US" w:eastAsia="ko-KR"/>
        </w:rPr>
        <w:t>tion assisted cell reselection</w:t>
      </w:r>
      <w:r>
        <w:rPr>
          <w:lang w:val="en-US" w:eastAsia="ko-KR"/>
        </w:rPr>
        <w:t xml:space="preserve">, </w:t>
      </w:r>
      <w:r w:rsidR="00250C7A">
        <w:rPr>
          <w:lang w:val="en-US" w:eastAsia="ko-KR"/>
        </w:rPr>
        <w:t xml:space="preserve">since </w:t>
      </w:r>
      <w:r>
        <w:rPr>
          <w:lang w:val="en-US" w:eastAsia="ko-KR"/>
        </w:rPr>
        <w:t xml:space="preserve">GNSS capable UEs are considered in Rel-17, UEs would </w:t>
      </w:r>
      <w:r w:rsidR="00B0510B">
        <w:rPr>
          <w:lang w:val="en-US" w:eastAsia="ko-KR"/>
        </w:rPr>
        <w:t xml:space="preserve">always </w:t>
      </w:r>
      <w:r>
        <w:rPr>
          <w:lang w:val="en-US" w:eastAsia="ko-KR"/>
        </w:rPr>
        <w:t>have valid location information</w:t>
      </w:r>
      <w:r w:rsidR="00B0510B">
        <w:rPr>
          <w:lang w:val="en-US" w:eastAsia="ko-KR"/>
        </w:rPr>
        <w:t xml:space="preserve">. So, if </w:t>
      </w:r>
      <w:r w:rsidR="00250C7A">
        <w:rPr>
          <w:lang w:val="en-US" w:eastAsia="ko-KR"/>
        </w:rPr>
        <w:t xml:space="preserve">the </w:t>
      </w:r>
      <w:r w:rsidR="00B0510B">
        <w:rPr>
          <w:lang w:val="en-US" w:eastAsia="ko-KR"/>
        </w:rPr>
        <w:t>reference location of the cell is broadcast, location assisted cell reselection could be performed. However, detail</w:t>
      </w:r>
      <w:r w:rsidR="00250C7A">
        <w:rPr>
          <w:lang w:val="en-US" w:eastAsia="ko-KR"/>
        </w:rPr>
        <w:t>ed</w:t>
      </w:r>
      <w:r w:rsidR="00B0510B">
        <w:rPr>
          <w:lang w:val="en-US" w:eastAsia="ko-KR"/>
        </w:rPr>
        <w:t xml:space="preserve"> behavior is still under RAN2 discussion. </w:t>
      </w:r>
    </w:p>
    <w:p w:rsidR="00B0510B" w:rsidRDefault="00B0510B" w:rsidP="00B0510B">
      <w:pPr>
        <w:pStyle w:val="a0"/>
        <w:numPr>
          <w:ilvl w:val="0"/>
          <w:numId w:val="41"/>
        </w:numPr>
        <w:jc w:val="both"/>
        <w:rPr>
          <w:lang w:val="en-US" w:eastAsia="ko-KR"/>
        </w:rPr>
      </w:pPr>
      <w:r w:rsidRPr="00B0510B">
        <w:rPr>
          <w:b/>
          <w:i/>
          <w:lang w:val="en-US" w:eastAsia="ko-KR"/>
        </w:rPr>
        <w:t>Proposal 4:</w:t>
      </w:r>
      <w:r>
        <w:rPr>
          <w:lang w:val="en-US" w:eastAsia="ko-KR"/>
        </w:rPr>
        <w:t xml:space="preserve"> Wait </w:t>
      </w:r>
      <w:r w:rsidR="00250C7A">
        <w:rPr>
          <w:lang w:val="en-US" w:eastAsia="ko-KR"/>
        </w:rPr>
        <w:t xml:space="preserve">for </w:t>
      </w:r>
      <w:r>
        <w:rPr>
          <w:lang w:val="en-US" w:eastAsia="ko-KR"/>
        </w:rPr>
        <w:t>further RAN2 decision for location assisted cell reselection.</w:t>
      </w:r>
    </w:p>
    <w:p w:rsidR="00C00756" w:rsidRDefault="00C00756" w:rsidP="00C352FA">
      <w:pPr>
        <w:spacing w:line="276" w:lineRule="auto"/>
        <w:jc w:val="both"/>
        <w:rPr>
          <w:lang w:val="en-US" w:eastAsia="ko-KR"/>
        </w:rPr>
      </w:pPr>
    </w:p>
    <w:p w:rsidR="00FB5993" w:rsidRPr="00D259C2" w:rsidRDefault="00E90EC0" w:rsidP="00973CC9">
      <w:pPr>
        <w:pStyle w:val="a0"/>
        <w:rPr>
          <w:b/>
          <w:u w:val="single"/>
          <w:lang w:val="en-US" w:eastAsia="ko-KR"/>
        </w:rPr>
      </w:pPr>
      <w:r>
        <w:rPr>
          <w:rFonts w:hint="eastAsia"/>
          <w:b/>
          <w:u w:val="single"/>
          <w:lang w:val="en-US" w:eastAsia="ko-KR"/>
        </w:rPr>
        <w:t>R</w:t>
      </w:r>
      <w:r>
        <w:rPr>
          <w:b/>
          <w:u w:val="single"/>
          <w:lang w:val="en-US" w:eastAsia="ko-KR"/>
        </w:rPr>
        <w:t>RC Connected mode</w:t>
      </w:r>
    </w:p>
    <w:p w:rsidR="00D259C2" w:rsidRDefault="00973CC9" w:rsidP="00973CC9">
      <w:pPr>
        <w:pStyle w:val="a0"/>
        <w:rPr>
          <w:lang w:val="en-US" w:eastAsia="ko-KR"/>
        </w:rPr>
      </w:pPr>
      <w:r>
        <w:rPr>
          <w:rFonts w:hint="eastAsia"/>
          <w:lang w:val="en-US" w:eastAsia="ko-KR"/>
        </w:rPr>
        <w:t>In RAN2#11</w:t>
      </w:r>
      <w:r w:rsidR="00E90EC0">
        <w:rPr>
          <w:lang w:val="en-US" w:eastAsia="ko-KR"/>
        </w:rPr>
        <w:t>5</w:t>
      </w:r>
      <w:r>
        <w:rPr>
          <w:rFonts w:hint="eastAsia"/>
          <w:lang w:val="en-US" w:eastAsia="ko-KR"/>
        </w:rPr>
        <w:t xml:space="preserve">-e meeting, </w:t>
      </w:r>
      <w:r w:rsidR="00D5479D">
        <w:rPr>
          <w:lang w:val="en-US" w:eastAsia="ko-KR"/>
        </w:rPr>
        <w:t xml:space="preserve">the </w:t>
      </w:r>
      <w:r>
        <w:rPr>
          <w:lang w:val="en-US" w:eastAsia="ko-KR"/>
        </w:rPr>
        <w:t>following</w:t>
      </w:r>
      <w:r>
        <w:rPr>
          <w:rFonts w:hint="eastAsia"/>
          <w:lang w:val="en-US" w:eastAsia="ko-KR"/>
        </w:rPr>
        <w:t xml:space="preserve"> </w:t>
      </w:r>
      <w:r>
        <w:rPr>
          <w:lang w:val="en-US" w:eastAsia="ko-KR"/>
        </w:rPr>
        <w:t>agreements for conditional handover were made.</w:t>
      </w:r>
    </w:p>
    <w:tbl>
      <w:tblPr>
        <w:tblStyle w:val="a9"/>
        <w:tblW w:w="0" w:type="auto"/>
        <w:tblLook w:val="04A0" w:firstRow="1" w:lastRow="0" w:firstColumn="1" w:lastColumn="0" w:noHBand="0" w:noVBand="1"/>
      </w:tblPr>
      <w:tblGrid>
        <w:gridCol w:w="9855"/>
      </w:tblGrid>
      <w:tr w:rsidR="00E90EC0" w:rsidTr="00E90EC0">
        <w:tc>
          <w:tcPr>
            <w:tcW w:w="9855" w:type="dxa"/>
          </w:tcPr>
          <w:p w:rsidR="00E14F64" w:rsidRPr="00E90EC0" w:rsidRDefault="00960730" w:rsidP="00E90EC0">
            <w:pPr>
              <w:pStyle w:val="a0"/>
              <w:numPr>
                <w:ilvl w:val="0"/>
                <w:numId w:val="36"/>
              </w:numPr>
              <w:ind w:left="313" w:hanging="284"/>
              <w:rPr>
                <w:lang w:eastAsia="ko-KR"/>
              </w:rPr>
            </w:pPr>
            <w:r w:rsidRPr="00E90EC0">
              <w:rPr>
                <w:lang w:eastAsia="ko-KR"/>
              </w:rPr>
              <w:t>The following event is supported: condEvent L4: Distance between UE and the PCell’s reference location becomes larger than absolute threshold1 AND the distance between UE and the Conditional reconfiguration candidate becomes shorter than absolute threshold2</w:t>
            </w:r>
          </w:p>
          <w:p w:rsidR="00E14F64" w:rsidRPr="00E90EC0" w:rsidRDefault="00960730" w:rsidP="00E90EC0">
            <w:pPr>
              <w:pStyle w:val="a0"/>
              <w:numPr>
                <w:ilvl w:val="0"/>
                <w:numId w:val="36"/>
              </w:numPr>
              <w:ind w:left="313" w:hanging="284"/>
              <w:rPr>
                <w:lang w:eastAsia="ko-KR"/>
              </w:rPr>
            </w:pPr>
            <w:r w:rsidRPr="00E90EC0">
              <w:rPr>
                <w:lang w:eastAsia="ko-KR"/>
              </w:rPr>
              <w:t>Specify hysteresis and time to trigger for the location event for RRM and CHO</w:t>
            </w:r>
          </w:p>
          <w:p w:rsidR="00E14F64" w:rsidRPr="00E90EC0" w:rsidRDefault="00960730" w:rsidP="00E90EC0">
            <w:pPr>
              <w:pStyle w:val="a0"/>
              <w:numPr>
                <w:ilvl w:val="0"/>
                <w:numId w:val="36"/>
              </w:numPr>
              <w:ind w:left="313" w:hanging="284"/>
              <w:rPr>
                <w:lang w:eastAsia="ko-KR"/>
              </w:rPr>
            </w:pPr>
            <w:r w:rsidRPr="00E90EC0">
              <w:rPr>
                <w:lang w:eastAsia="ko-KR"/>
              </w:rPr>
              <w:t>UE is allowed to perform HO only during T1 to T2</w:t>
            </w:r>
          </w:p>
          <w:p w:rsidR="00E14F64" w:rsidRPr="00E90EC0" w:rsidRDefault="00960730" w:rsidP="00E90EC0">
            <w:pPr>
              <w:pStyle w:val="a0"/>
              <w:numPr>
                <w:ilvl w:val="0"/>
                <w:numId w:val="36"/>
              </w:numPr>
              <w:ind w:left="313" w:hanging="284"/>
              <w:rPr>
                <w:lang w:eastAsia="ko-KR"/>
              </w:rPr>
            </w:pPr>
            <w:r w:rsidRPr="00E90EC0">
              <w:rPr>
                <w:lang w:eastAsia="ko-KR"/>
              </w:rPr>
              <w:t>RAN2 adopts Option 1: UTC time + duration/timer, e.g. 00:00:01 + 40s for representing T1 and T2 for CHO time event.</w:t>
            </w:r>
          </w:p>
          <w:p w:rsidR="00E90EC0" w:rsidRPr="00E90EC0" w:rsidRDefault="00960730" w:rsidP="00E90EC0">
            <w:pPr>
              <w:pStyle w:val="a0"/>
              <w:numPr>
                <w:ilvl w:val="0"/>
                <w:numId w:val="36"/>
              </w:numPr>
              <w:ind w:left="313" w:hanging="284"/>
              <w:rPr>
                <w:lang w:val="en-US" w:eastAsia="ko-KR"/>
              </w:rPr>
            </w:pPr>
            <w:r w:rsidRPr="00E90EC0">
              <w:rPr>
                <w:lang w:eastAsia="ko-KR"/>
              </w:rPr>
              <w:t>RAN2 adopts options C: location and RRM and D: time and RRM to be configuration options for CHO</w:t>
            </w:r>
          </w:p>
        </w:tc>
      </w:tr>
    </w:tbl>
    <w:p w:rsidR="00E90EC0" w:rsidRDefault="00E90EC0" w:rsidP="00973CC9">
      <w:pPr>
        <w:pStyle w:val="a0"/>
        <w:rPr>
          <w:lang w:val="en-US" w:eastAsia="ko-KR"/>
        </w:rPr>
      </w:pPr>
    </w:p>
    <w:p w:rsidR="005E353C" w:rsidRDefault="005E353C" w:rsidP="00263D6D">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RAN2 agreements, [location and RRM] and [time and RRM] based CHO could be configured. </w:t>
      </w:r>
    </w:p>
    <w:p w:rsidR="00250C7A" w:rsidRDefault="00250C7A" w:rsidP="00263D6D">
      <w:pPr>
        <w:pStyle w:val="a0"/>
        <w:jc w:val="both"/>
        <w:rPr>
          <w:lang w:val="en-US" w:eastAsia="ko-KR"/>
        </w:rPr>
      </w:pPr>
      <w:r>
        <w:rPr>
          <w:lang w:val="en-US" w:eastAsia="ko-KR"/>
        </w:rPr>
        <w:t>C</w:t>
      </w:r>
      <w:r w:rsidR="005E353C">
        <w:rPr>
          <w:lang w:val="en-US" w:eastAsia="ko-KR"/>
        </w:rPr>
        <w:t>ompar</w:t>
      </w:r>
      <w:r>
        <w:rPr>
          <w:lang w:val="en-US" w:eastAsia="ko-KR"/>
        </w:rPr>
        <w:t>ed</w:t>
      </w:r>
      <w:r w:rsidR="005E353C">
        <w:rPr>
          <w:lang w:val="en-US" w:eastAsia="ko-KR"/>
        </w:rPr>
        <w:t xml:space="preserve"> with existing CHO, </w:t>
      </w:r>
      <w:r>
        <w:rPr>
          <w:lang w:val="en-US" w:eastAsia="ko-KR"/>
        </w:rPr>
        <w:t>the</w:t>
      </w:r>
      <w:r w:rsidR="005E353C">
        <w:rPr>
          <w:lang w:val="en-US" w:eastAsia="ko-KR"/>
        </w:rPr>
        <w:t xml:space="preserve"> time condition to be allowed to perform HO is added for</w:t>
      </w:r>
      <w:r w:rsidR="004C5BFB">
        <w:rPr>
          <w:lang w:val="en-US" w:eastAsia="ko-KR"/>
        </w:rPr>
        <w:t xml:space="preserve"> </w:t>
      </w:r>
      <w:r w:rsidR="005E353C">
        <w:rPr>
          <w:lang w:val="en-US" w:eastAsia="ko-KR"/>
        </w:rPr>
        <w:t>[time and RRM] based CHO. UE can only transmit new</w:t>
      </w:r>
      <w:r>
        <w:rPr>
          <w:lang w:val="en-US" w:eastAsia="ko-KR"/>
        </w:rPr>
        <w:t xml:space="preserve"> uplink PRACH between UTC time (</w:t>
      </w:r>
      <w:r w:rsidR="005E353C">
        <w:rPr>
          <w:lang w:val="en-US" w:eastAsia="ko-KR"/>
        </w:rPr>
        <w:t>T1</w:t>
      </w:r>
      <w:r>
        <w:rPr>
          <w:lang w:val="en-US" w:eastAsia="ko-KR"/>
        </w:rPr>
        <w:t>)</w:t>
      </w:r>
      <w:r w:rsidR="005E353C">
        <w:rPr>
          <w:lang w:val="en-US" w:eastAsia="ko-KR"/>
        </w:rPr>
        <w:t xml:space="preserve"> + duration/timer </w:t>
      </w:r>
      <w:r>
        <w:rPr>
          <w:lang w:val="en-US" w:eastAsia="ko-KR"/>
        </w:rPr>
        <w:t>(</w:t>
      </w:r>
      <w:r w:rsidR="005E353C">
        <w:rPr>
          <w:lang w:val="en-US" w:eastAsia="ko-KR"/>
        </w:rPr>
        <w:t>T2</w:t>
      </w:r>
      <w:r>
        <w:rPr>
          <w:lang w:val="en-US" w:eastAsia="ko-KR"/>
        </w:rPr>
        <w:t>)</w:t>
      </w:r>
      <w:r w:rsidR="005E353C">
        <w:rPr>
          <w:lang w:val="en-US" w:eastAsia="ko-KR"/>
        </w:rPr>
        <w:t xml:space="preserve">. In other words, </w:t>
      </w:r>
      <w:r w:rsidR="003F4FC4">
        <w:rPr>
          <w:lang w:val="en-US" w:eastAsia="ko-KR"/>
        </w:rPr>
        <w:t xml:space="preserve">if new PRACH is transmitted </w:t>
      </w:r>
      <w:r w:rsidR="00263D6D">
        <w:rPr>
          <w:lang w:val="en-US" w:eastAsia="ko-KR"/>
        </w:rPr>
        <w:t>between T1 and T2</w:t>
      </w:r>
      <w:r>
        <w:rPr>
          <w:lang w:val="en-US" w:eastAsia="ko-KR"/>
        </w:rPr>
        <w:t>,</w:t>
      </w:r>
      <w:r w:rsidR="00263D6D">
        <w:rPr>
          <w:lang w:val="en-US" w:eastAsia="ko-KR"/>
        </w:rPr>
        <w:t xml:space="preserve"> </w:t>
      </w:r>
      <w:r>
        <w:rPr>
          <w:lang w:val="en-US" w:eastAsia="ko-KR"/>
        </w:rPr>
        <w:t xml:space="preserve">the </w:t>
      </w:r>
      <w:r w:rsidR="00263D6D">
        <w:rPr>
          <w:lang w:val="en-US" w:eastAsia="ko-KR"/>
        </w:rPr>
        <w:t>existing CHO requirement can be reused for NTN CHO. If the preparation for new PRACH transmissio</w:t>
      </w:r>
      <w:r w:rsidR="00CC67A3">
        <w:rPr>
          <w:lang w:val="en-US" w:eastAsia="ko-KR"/>
        </w:rPr>
        <w:t xml:space="preserve">n is done before T1, UE should wait to transmit the PRACH until T1. So, </w:t>
      </w:r>
      <w:r>
        <w:rPr>
          <w:lang w:val="en-US" w:eastAsia="ko-KR"/>
        </w:rPr>
        <w:t xml:space="preserve">an </w:t>
      </w:r>
      <w:r w:rsidR="00CC67A3">
        <w:rPr>
          <w:lang w:val="en-US" w:eastAsia="ko-KR"/>
        </w:rPr>
        <w:t>additional delay could be introduced</w:t>
      </w:r>
      <w:r>
        <w:rPr>
          <w:lang w:val="en-US" w:eastAsia="ko-KR"/>
        </w:rPr>
        <w:t xml:space="preserve"> to transmit PRACH</w:t>
      </w:r>
      <w:r w:rsidR="00CC67A3">
        <w:rPr>
          <w:lang w:val="en-US" w:eastAsia="ko-KR"/>
        </w:rPr>
        <w:t>. However, it is difficult to esti</w:t>
      </w:r>
      <w:r w:rsidR="004C5BFB">
        <w:rPr>
          <w:lang w:val="en-US" w:eastAsia="ko-KR"/>
        </w:rPr>
        <w:t xml:space="preserve">mate the additional delay, and it </w:t>
      </w:r>
      <w:r>
        <w:rPr>
          <w:lang w:val="en-US" w:eastAsia="ko-KR"/>
        </w:rPr>
        <w:t>might</w:t>
      </w:r>
      <w:r w:rsidR="004C5BFB">
        <w:rPr>
          <w:lang w:val="en-US" w:eastAsia="ko-KR"/>
        </w:rPr>
        <w:t xml:space="preserve"> be small.</w:t>
      </w:r>
      <w:r>
        <w:rPr>
          <w:lang w:val="en-US" w:eastAsia="ko-KR"/>
        </w:rPr>
        <w:t xml:space="preserve"> </w:t>
      </w:r>
    </w:p>
    <w:p w:rsidR="00423231" w:rsidRDefault="00250C7A" w:rsidP="00263D6D">
      <w:pPr>
        <w:pStyle w:val="a0"/>
        <w:jc w:val="both"/>
        <w:rPr>
          <w:lang w:val="en-US" w:eastAsia="ko-KR"/>
        </w:rPr>
      </w:pPr>
      <w:r>
        <w:rPr>
          <w:lang w:val="en-US" w:eastAsia="ko-KR"/>
        </w:rPr>
        <w:t xml:space="preserve">For [location and RRM] based CHO, only hysteresis for location event is added to existing CHO. So, the handover requirement for NTN would be the same as the existing CHO requirement with ‘the additional delay for TTT for location event can be expected. </w:t>
      </w:r>
    </w:p>
    <w:p w:rsidR="00CC67A3" w:rsidRDefault="00CC67A3" w:rsidP="00CC67A3">
      <w:pPr>
        <w:pStyle w:val="a0"/>
        <w:numPr>
          <w:ilvl w:val="0"/>
          <w:numId w:val="41"/>
        </w:numPr>
        <w:jc w:val="both"/>
        <w:rPr>
          <w:lang w:val="en-US" w:eastAsia="ko-KR"/>
        </w:rPr>
      </w:pPr>
      <w:r w:rsidRPr="004C5BFB">
        <w:rPr>
          <w:b/>
          <w:i/>
          <w:lang w:val="en-US" w:eastAsia="ko-KR"/>
        </w:rPr>
        <w:t>Proposal 5:</w:t>
      </w:r>
      <w:r>
        <w:rPr>
          <w:lang w:val="en-US" w:eastAsia="ko-KR"/>
        </w:rPr>
        <w:t xml:space="preserve"> </w:t>
      </w:r>
      <w:r w:rsidR="004C5BFB">
        <w:rPr>
          <w:lang w:val="en-US" w:eastAsia="ko-KR"/>
        </w:rPr>
        <w:t xml:space="preserve">Reuse existing CHO requirement </w:t>
      </w:r>
      <w:r w:rsidR="00250C7A">
        <w:rPr>
          <w:lang w:val="en-US" w:eastAsia="ko-KR"/>
        </w:rPr>
        <w:t xml:space="preserve">for </w:t>
      </w:r>
      <w:r w:rsidR="004C5BFB">
        <w:rPr>
          <w:lang w:val="en-US" w:eastAsia="ko-KR"/>
        </w:rPr>
        <w:t>NTN CHO</w:t>
      </w:r>
      <w:r w:rsidR="00250C7A">
        <w:rPr>
          <w:lang w:val="en-US" w:eastAsia="ko-KR"/>
        </w:rPr>
        <w:t>, and ‘the additional delay for TTT for location event can be expected’ could be added for [location and RRM] based CHO.</w:t>
      </w:r>
    </w:p>
    <w:p w:rsidR="008269A0" w:rsidRDefault="008269A0" w:rsidP="00973CC9">
      <w:pPr>
        <w:pStyle w:val="a0"/>
        <w:tabs>
          <w:tab w:val="left" w:pos="560"/>
        </w:tabs>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582008" w:rsidRDefault="00552F63" w:rsidP="00C352FA">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582008">
        <w:rPr>
          <w:lang w:val="en-US" w:eastAsia="ko-KR"/>
        </w:rPr>
        <w:t>mobility-related measurement requirements.</w:t>
      </w:r>
    </w:p>
    <w:p w:rsidR="00010B09" w:rsidRDefault="00010B09" w:rsidP="00C352FA">
      <w:pPr>
        <w:pStyle w:val="a0"/>
        <w:jc w:val="both"/>
        <w:rPr>
          <w:lang w:val="en-US" w:eastAsia="ko-KR"/>
        </w:rPr>
      </w:pPr>
      <w:r>
        <w:rPr>
          <w:rFonts w:hint="eastAsia"/>
          <w:lang w:val="en-US" w:eastAsia="ko-KR"/>
        </w:rPr>
        <w:t>F</w:t>
      </w:r>
      <w:r>
        <w:rPr>
          <w:lang w:val="en-US" w:eastAsia="ko-KR"/>
        </w:rPr>
        <w:t>or IDLE mode, we propose</w:t>
      </w:r>
    </w:p>
    <w:p w:rsidR="00250C7A" w:rsidRDefault="00010B09" w:rsidP="00250C7A">
      <w:pPr>
        <w:pStyle w:val="a0"/>
        <w:numPr>
          <w:ilvl w:val="0"/>
          <w:numId w:val="41"/>
        </w:numPr>
        <w:jc w:val="both"/>
        <w:rPr>
          <w:lang w:val="en-US" w:eastAsia="ko-KR"/>
        </w:rPr>
      </w:pPr>
      <w:r w:rsidRPr="002D1B7D">
        <w:rPr>
          <w:b/>
          <w:i/>
          <w:lang w:val="en-US" w:eastAsia="ko-KR"/>
        </w:rPr>
        <w:t>Proposal 1:</w:t>
      </w:r>
      <w:r>
        <w:rPr>
          <w:lang w:val="en-US" w:eastAsia="ko-KR"/>
        </w:rPr>
        <w:t xml:space="preserve"> </w:t>
      </w:r>
      <w:r w:rsidR="00250C7A">
        <w:rPr>
          <w:lang w:val="en-US" w:eastAsia="ko-KR"/>
        </w:rPr>
        <w:t>Quasi-earth fixed cell based mobility requirements should be defined first in IDLE/Inactive mode.</w:t>
      </w:r>
    </w:p>
    <w:p w:rsidR="00250C7A" w:rsidRDefault="00250C7A" w:rsidP="00250C7A">
      <w:pPr>
        <w:pStyle w:val="a0"/>
        <w:numPr>
          <w:ilvl w:val="0"/>
          <w:numId w:val="41"/>
        </w:numPr>
        <w:jc w:val="both"/>
        <w:rPr>
          <w:lang w:val="en-US" w:eastAsia="ko-KR"/>
        </w:rPr>
      </w:pPr>
      <w:r w:rsidRPr="002D1B7D">
        <w:rPr>
          <w:b/>
          <w:i/>
          <w:lang w:val="en-US" w:eastAsia="ko-KR"/>
        </w:rPr>
        <w:t>Proposal 2:</w:t>
      </w:r>
      <w:r>
        <w:rPr>
          <w:lang w:val="en-US" w:eastAsia="ko-KR"/>
        </w:rPr>
        <w:t xml:space="preserve"> The separate RRM requirements for the quasi-earth fixed cell and moving cell should be captured in the specification.</w:t>
      </w:r>
    </w:p>
    <w:p w:rsidR="00010B09" w:rsidRDefault="00010B09" w:rsidP="00250C7A">
      <w:pPr>
        <w:pStyle w:val="a0"/>
        <w:numPr>
          <w:ilvl w:val="0"/>
          <w:numId w:val="41"/>
        </w:numPr>
        <w:jc w:val="both"/>
        <w:rPr>
          <w:lang w:val="en-US" w:eastAsia="ko-KR"/>
        </w:rPr>
      </w:pPr>
      <w:r w:rsidRPr="0012533C">
        <w:rPr>
          <w:b/>
          <w:i/>
          <w:lang w:val="en-US" w:eastAsia="ko-KR"/>
        </w:rPr>
        <w:t>Proposal 3:</w:t>
      </w:r>
      <w:r>
        <w:rPr>
          <w:lang w:val="en-US" w:eastAsia="ko-KR"/>
        </w:rPr>
        <w:t xml:space="preserve"> If cell stop time is broadcast from serving cell, a UE should start measurement on neighbor cells before defined IDLE measurement time (T</w:t>
      </w:r>
      <w:r w:rsidRPr="0012533C">
        <w:rPr>
          <w:vertAlign w:val="subscript"/>
          <w:lang w:val="en-US" w:eastAsia="ko-KR"/>
        </w:rPr>
        <w:t>dete</w:t>
      </w:r>
      <w:r>
        <w:rPr>
          <w:vertAlign w:val="subscript"/>
          <w:lang w:val="en-US" w:eastAsia="ko-KR"/>
        </w:rPr>
        <w:t>ct</w:t>
      </w:r>
      <w:r>
        <w:rPr>
          <w:lang w:val="en-US" w:eastAsia="ko-KR"/>
        </w:rPr>
        <w:t>, T</w:t>
      </w:r>
      <w:r w:rsidRPr="0012533C">
        <w:rPr>
          <w:vertAlign w:val="subscript"/>
          <w:lang w:val="en-US" w:eastAsia="ko-KR"/>
        </w:rPr>
        <w:t>measure</w:t>
      </w:r>
      <w:r>
        <w:rPr>
          <w:lang w:val="en-US" w:eastAsia="ko-KR"/>
        </w:rPr>
        <w:t>, and T</w:t>
      </w:r>
      <w:r w:rsidRPr="0012533C">
        <w:rPr>
          <w:vertAlign w:val="subscript"/>
          <w:lang w:val="en-US" w:eastAsia="ko-KR"/>
        </w:rPr>
        <w:t>evaluate</w:t>
      </w:r>
      <w:r>
        <w:rPr>
          <w:lang w:val="en-US" w:eastAsia="ko-KR"/>
        </w:rPr>
        <w:t xml:space="preserve">) from cell stop time. </w:t>
      </w:r>
    </w:p>
    <w:p w:rsidR="00010B09" w:rsidRDefault="00010B09" w:rsidP="00010B09">
      <w:pPr>
        <w:pStyle w:val="a0"/>
        <w:numPr>
          <w:ilvl w:val="0"/>
          <w:numId w:val="41"/>
        </w:numPr>
        <w:jc w:val="both"/>
        <w:rPr>
          <w:lang w:val="en-US" w:eastAsia="ko-KR"/>
        </w:rPr>
      </w:pPr>
      <w:r w:rsidRPr="00B0510B">
        <w:rPr>
          <w:b/>
          <w:i/>
          <w:lang w:val="en-US" w:eastAsia="ko-KR"/>
        </w:rPr>
        <w:t>Proposal 4:</w:t>
      </w:r>
      <w:r>
        <w:rPr>
          <w:lang w:val="en-US" w:eastAsia="ko-KR"/>
        </w:rPr>
        <w:t xml:space="preserve"> Wait </w:t>
      </w:r>
      <w:r w:rsidR="00250C7A">
        <w:rPr>
          <w:lang w:val="en-US" w:eastAsia="ko-KR"/>
        </w:rPr>
        <w:t xml:space="preserve">for </w:t>
      </w:r>
      <w:r>
        <w:rPr>
          <w:lang w:val="en-US" w:eastAsia="ko-KR"/>
        </w:rPr>
        <w:t>further RAN2 decision for location assisted cell reselection.</w:t>
      </w:r>
    </w:p>
    <w:p w:rsidR="00010B09" w:rsidRDefault="00010B09" w:rsidP="0095687E">
      <w:pPr>
        <w:pStyle w:val="a0"/>
        <w:jc w:val="both"/>
        <w:rPr>
          <w:lang w:val="en-US" w:eastAsia="ko-KR"/>
        </w:rPr>
      </w:pPr>
    </w:p>
    <w:p w:rsidR="00582008" w:rsidRDefault="00582008" w:rsidP="00582008">
      <w:pPr>
        <w:spacing w:line="276" w:lineRule="auto"/>
        <w:jc w:val="both"/>
        <w:rPr>
          <w:lang w:val="en-US" w:eastAsia="ko-KR"/>
        </w:rPr>
      </w:pPr>
      <w:r>
        <w:rPr>
          <w:lang w:val="en-US" w:eastAsia="ko-KR"/>
        </w:rPr>
        <w:t xml:space="preserve">For CHO, </w:t>
      </w:r>
      <w:r>
        <w:rPr>
          <w:rFonts w:hint="eastAsia"/>
          <w:lang w:val="en-US" w:eastAsia="ko-KR"/>
        </w:rPr>
        <w:t>based on RAN2 agreements, we observe</w:t>
      </w:r>
    </w:p>
    <w:p w:rsidR="0095687E" w:rsidRDefault="0095687E" w:rsidP="0095687E">
      <w:pPr>
        <w:pStyle w:val="a0"/>
        <w:numPr>
          <w:ilvl w:val="0"/>
          <w:numId w:val="41"/>
        </w:numPr>
        <w:jc w:val="both"/>
        <w:rPr>
          <w:lang w:val="en-US" w:eastAsia="ko-KR"/>
        </w:rPr>
      </w:pPr>
      <w:r w:rsidRPr="004C5BFB">
        <w:rPr>
          <w:b/>
          <w:i/>
          <w:lang w:val="en-US" w:eastAsia="ko-KR"/>
        </w:rPr>
        <w:t>Proposal 5:</w:t>
      </w:r>
      <w:r>
        <w:rPr>
          <w:lang w:val="en-US" w:eastAsia="ko-KR"/>
        </w:rPr>
        <w:t xml:space="preserve"> </w:t>
      </w:r>
      <w:r w:rsidR="00250C7A">
        <w:rPr>
          <w:lang w:val="en-US" w:eastAsia="ko-KR"/>
        </w:rPr>
        <w:t>Reuse existing CHO requirement for NTN CHO, and ‘the additional delay for TTT for location event can be expected’ could be added for [location and RRM] based CHO.</w:t>
      </w:r>
    </w:p>
    <w:p w:rsidR="005B6992" w:rsidRPr="0095687E" w:rsidRDefault="005B6992" w:rsidP="005B6992">
      <w:pPr>
        <w:spacing w:line="276" w:lineRule="auto"/>
        <w:jc w:val="both"/>
        <w:rPr>
          <w:lang w:val="en-US" w:eastAsia="ko-KR"/>
        </w:rPr>
      </w:pPr>
    </w:p>
    <w:p w:rsidR="005B6992" w:rsidRDefault="005B6992" w:rsidP="005B6992">
      <w:pPr>
        <w:pStyle w:val="1"/>
        <w:jc w:val="both"/>
        <w:rPr>
          <w:lang w:val="en-US" w:eastAsia="ko-KR"/>
        </w:rPr>
      </w:pPr>
      <w:r>
        <w:rPr>
          <w:rFonts w:hint="eastAsia"/>
          <w:lang w:val="en-US" w:eastAsia="ko-KR"/>
        </w:rPr>
        <w:lastRenderedPageBreak/>
        <w:t>Reference</w:t>
      </w:r>
    </w:p>
    <w:p w:rsidR="005B6992" w:rsidRPr="005B6992" w:rsidRDefault="005B6992" w:rsidP="005B6992">
      <w:pPr>
        <w:spacing w:line="276" w:lineRule="auto"/>
        <w:jc w:val="both"/>
        <w:rPr>
          <w:lang w:val="en-US" w:eastAsia="ko-KR"/>
        </w:rPr>
      </w:pPr>
      <w:r>
        <w:rPr>
          <w:rFonts w:hint="eastAsia"/>
          <w:lang w:val="en-US" w:eastAsia="ko-KR"/>
        </w:rPr>
        <w:t>[1] R4-</w:t>
      </w:r>
      <w:r>
        <w:rPr>
          <w:lang w:val="en-US" w:eastAsia="ko-KR"/>
        </w:rPr>
        <w:t>2115345, “WF on RRM requirements for NRN measurement and mobility,” Qualcomm.</w:t>
      </w:r>
    </w:p>
    <w:sectPr w:rsidR="005B6992" w:rsidRPr="005B6992"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24F" w:rsidRDefault="00A6324F" w:rsidP="00D306DF">
      <w:r>
        <w:separator/>
      </w:r>
    </w:p>
  </w:endnote>
  <w:endnote w:type="continuationSeparator" w:id="0">
    <w:p w:rsidR="00A6324F" w:rsidRDefault="00A6324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24F" w:rsidRDefault="00A6324F" w:rsidP="00D306DF">
      <w:r>
        <w:separator/>
      </w:r>
    </w:p>
  </w:footnote>
  <w:footnote w:type="continuationSeparator" w:id="0">
    <w:p w:rsidR="00A6324F" w:rsidRDefault="00A6324F"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2.6pt;height:75.05pt" o:bullet="t">
        <v:imagedata r:id="rId1" o:title="artDE8D"/>
      </v:shape>
    </w:pict>
  </w:numPicBullet>
  <w:numPicBullet w:numPicBulletId="1">
    <w:pict>
      <v:shape id="_x0000_i1064" type="#_x0000_t75" style="width:9.15pt;height:9.15pt" o:bullet="t">
        <v:imagedata r:id="rId2" o:title="artAEFC"/>
      </v:shape>
    </w:pict>
  </w:numPicBullet>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DC3FB3"/>
    <w:multiLevelType w:val="hybridMultilevel"/>
    <w:tmpl w:val="9872F9CE"/>
    <w:lvl w:ilvl="0" w:tplc="543C151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4">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A955F1"/>
    <w:multiLevelType w:val="hybridMultilevel"/>
    <w:tmpl w:val="8244CF38"/>
    <w:lvl w:ilvl="0" w:tplc="19DC8694">
      <w:start w:val="1"/>
      <w:numFmt w:val="bullet"/>
      <w:lvlText w:val=""/>
      <w:lvlPicBulletId w:val="1"/>
      <w:lvlJc w:val="left"/>
      <w:pPr>
        <w:tabs>
          <w:tab w:val="num" w:pos="720"/>
        </w:tabs>
        <w:ind w:left="720" w:hanging="360"/>
      </w:pPr>
      <w:rPr>
        <w:rFonts w:ascii="Symbol" w:hAnsi="Symbol" w:hint="default"/>
      </w:rPr>
    </w:lvl>
    <w:lvl w:ilvl="1" w:tplc="7BF4E2A8">
      <w:start w:val="1"/>
      <w:numFmt w:val="bullet"/>
      <w:lvlText w:val=""/>
      <w:lvlPicBulletId w:val="1"/>
      <w:lvlJc w:val="left"/>
      <w:pPr>
        <w:tabs>
          <w:tab w:val="num" w:pos="1440"/>
        </w:tabs>
        <w:ind w:left="1440" w:hanging="360"/>
      </w:pPr>
      <w:rPr>
        <w:rFonts w:ascii="Symbol" w:hAnsi="Symbol" w:hint="default"/>
      </w:rPr>
    </w:lvl>
    <w:lvl w:ilvl="2" w:tplc="0CC436D0" w:tentative="1">
      <w:start w:val="1"/>
      <w:numFmt w:val="bullet"/>
      <w:lvlText w:val=""/>
      <w:lvlPicBulletId w:val="1"/>
      <w:lvlJc w:val="left"/>
      <w:pPr>
        <w:tabs>
          <w:tab w:val="num" w:pos="2160"/>
        </w:tabs>
        <w:ind w:left="2160" w:hanging="360"/>
      </w:pPr>
      <w:rPr>
        <w:rFonts w:ascii="Symbol" w:hAnsi="Symbol" w:hint="default"/>
      </w:rPr>
    </w:lvl>
    <w:lvl w:ilvl="3" w:tplc="1C7AF9C4" w:tentative="1">
      <w:start w:val="1"/>
      <w:numFmt w:val="bullet"/>
      <w:lvlText w:val=""/>
      <w:lvlPicBulletId w:val="1"/>
      <w:lvlJc w:val="left"/>
      <w:pPr>
        <w:tabs>
          <w:tab w:val="num" w:pos="2880"/>
        </w:tabs>
        <w:ind w:left="2880" w:hanging="360"/>
      </w:pPr>
      <w:rPr>
        <w:rFonts w:ascii="Symbol" w:hAnsi="Symbol" w:hint="default"/>
      </w:rPr>
    </w:lvl>
    <w:lvl w:ilvl="4" w:tplc="68D4252A" w:tentative="1">
      <w:start w:val="1"/>
      <w:numFmt w:val="bullet"/>
      <w:lvlText w:val=""/>
      <w:lvlPicBulletId w:val="1"/>
      <w:lvlJc w:val="left"/>
      <w:pPr>
        <w:tabs>
          <w:tab w:val="num" w:pos="3600"/>
        </w:tabs>
        <w:ind w:left="3600" w:hanging="360"/>
      </w:pPr>
      <w:rPr>
        <w:rFonts w:ascii="Symbol" w:hAnsi="Symbol" w:hint="default"/>
      </w:rPr>
    </w:lvl>
    <w:lvl w:ilvl="5" w:tplc="02E44144" w:tentative="1">
      <w:start w:val="1"/>
      <w:numFmt w:val="bullet"/>
      <w:lvlText w:val=""/>
      <w:lvlPicBulletId w:val="1"/>
      <w:lvlJc w:val="left"/>
      <w:pPr>
        <w:tabs>
          <w:tab w:val="num" w:pos="4320"/>
        </w:tabs>
        <w:ind w:left="4320" w:hanging="360"/>
      </w:pPr>
      <w:rPr>
        <w:rFonts w:ascii="Symbol" w:hAnsi="Symbol" w:hint="default"/>
      </w:rPr>
    </w:lvl>
    <w:lvl w:ilvl="6" w:tplc="372842B4" w:tentative="1">
      <w:start w:val="1"/>
      <w:numFmt w:val="bullet"/>
      <w:lvlText w:val=""/>
      <w:lvlPicBulletId w:val="1"/>
      <w:lvlJc w:val="left"/>
      <w:pPr>
        <w:tabs>
          <w:tab w:val="num" w:pos="5040"/>
        </w:tabs>
        <w:ind w:left="5040" w:hanging="360"/>
      </w:pPr>
      <w:rPr>
        <w:rFonts w:ascii="Symbol" w:hAnsi="Symbol" w:hint="default"/>
      </w:rPr>
    </w:lvl>
    <w:lvl w:ilvl="7" w:tplc="80AE0768" w:tentative="1">
      <w:start w:val="1"/>
      <w:numFmt w:val="bullet"/>
      <w:lvlText w:val=""/>
      <w:lvlPicBulletId w:val="1"/>
      <w:lvlJc w:val="left"/>
      <w:pPr>
        <w:tabs>
          <w:tab w:val="num" w:pos="5760"/>
        </w:tabs>
        <w:ind w:left="5760" w:hanging="360"/>
      </w:pPr>
      <w:rPr>
        <w:rFonts w:ascii="Symbol" w:hAnsi="Symbol" w:hint="default"/>
      </w:rPr>
    </w:lvl>
    <w:lvl w:ilvl="8" w:tplc="93EE74EE" w:tentative="1">
      <w:start w:val="1"/>
      <w:numFmt w:val="bullet"/>
      <w:lvlText w:val=""/>
      <w:lvlPicBulletId w:val="1"/>
      <w:lvlJc w:val="left"/>
      <w:pPr>
        <w:tabs>
          <w:tab w:val="num" w:pos="6480"/>
        </w:tabs>
        <w:ind w:left="6480" w:hanging="360"/>
      </w:pPr>
      <w:rPr>
        <w:rFonts w:ascii="Symbol" w:hAnsi="Symbol" w:hint="default"/>
      </w:rPr>
    </w:lvl>
  </w:abstractNum>
  <w:abstractNum w:abstractNumId="6">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7">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nsid w:val="1CAD5D3D"/>
    <w:multiLevelType w:val="hybridMultilevel"/>
    <w:tmpl w:val="7706AB62"/>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5">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E9611A"/>
    <w:multiLevelType w:val="hybridMultilevel"/>
    <w:tmpl w:val="F31C314E"/>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22">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4">
    <w:nsid w:val="51D93E27"/>
    <w:multiLevelType w:val="hybridMultilevel"/>
    <w:tmpl w:val="5F56DA6A"/>
    <w:lvl w:ilvl="0" w:tplc="88F8F1E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24E508F"/>
    <w:multiLevelType w:val="hybridMultilevel"/>
    <w:tmpl w:val="5694C02C"/>
    <w:lvl w:ilvl="0" w:tplc="1E4A5F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F395A05"/>
    <w:multiLevelType w:val="hybridMultilevel"/>
    <w:tmpl w:val="B2A4DA7C"/>
    <w:lvl w:ilvl="0" w:tplc="0C6290A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3AE4E71"/>
    <w:multiLevelType w:val="hybridMultilevel"/>
    <w:tmpl w:val="D5B049F8"/>
    <w:lvl w:ilvl="0" w:tplc="797C2438">
      <w:numFmt w:val="bullet"/>
      <w:lvlText w:val="-"/>
      <w:lvlJc w:val="left"/>
      <w:pPr>
        <w:ind w:left="1195" w:hanging="795"/>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846185F"/>
    <w:multiLevelType w:val="hybridMultilevel"/>
    <w:tmpl w:val="72A80BDE"/>
    <w:lvl w:ilvl="0" w:tplc="A884619A">
      <w:start w:val="1"/>
      <w:numFmt w:val="bullet"/>
      <w:lvlText w:val=""/>
      <w:lvlPicBulletId w:val="0"/>
      <w:lvlJc w:val="left"/>
      <w:pPr>
        <w:tabs>
          <w:tab w:val="num" w:pos="720"/>
        </w:tabs>
        <w:ind w:left="720" w:hanging="360"/>
      </w:pPr>
      <w:rPr>
        <w:rFonts w:ascii="Symbol" w:hAnsi="Symbol" w:hint="default"/>
      </w:rPr>
    </w:lvl>
    <w:lvl w:ilvl="1" w:tplc="E696A81C">
      <w:numFmt w:val="bullet"/>
      <w:lvlText w:val="•"/>
      <w:lvlJc w:val="left"/>
      <w:pPr>
        <w:tabs>
          <w:tab w:val="num" w:pos="1440"/>
        </w:tabs>
        <w:ind w:left="1440" w:hanging="360"/>
      </w:pPr>
      <w:rPr>
        <w:rFonts w:ascii="Arial" w:hAnsi="Arial" w:hint="default"/>
      </w:rPr>
    </w:lvl>
    <w:lvl w:ilvl="2" w:tplc="D36C5658">
      <w:numFmt w:val="bullet"/>
      <w:lvlText w:val="•"/>
      <w:lvlJc w:val="left"/>
      <w:pPr>
        <w:tabs>
          <w:tab w:val="num" w:pos="2160"/>
        </w:tabs>
        <w:ind w:left="2160" w:hanging="360"/>
      </w:pPr>
      <w:rPr>
        <w:rFonts w:ascii="Arial" w:hAnsi="Arial" w:hint="default"/>
      </w:rPr>
    </w:lvl>
    <w:lvl w:ilvl="3" w:tplc="BE42836E" w:tentative="1">
      <w:start w:val="1"/>
      <w:numFmt w:val="bullet"/>
      <w:lvlText w:val=""/>
      <w:lvlPicBulletId w:val="0"/>
      <w:lvlJc w:val="left"/>
      <w:pPr>
        <w:tabs>
          <w:tab w:val="num" w:pos="2880"/>
        </w:tabs>
        <w:ind w:left="2880" w:hanging="360"/>
      </w:pPr>
      <w:rPr>
        <w:rFonts w:ascii="Symbol" w:hAnsi="Symbol" w:hint="default"/>
      </w:rPr>
    </w:lvl>
    <w:lvl w:ilvl="4" w:tplc="76724EAE" w:tentative="1">
      <w:start w:val="1"/>
      <w:numFmt w:val="bullet"/>
      <w:lvlText w:val=""/>
      <w:lvlPicBulletId w:val="0"/>
      <w:lvlJc w:val="left"/>
      <w:pPr>
        <w:tabs>
          <w:tab w:val="num" w:pos="3600"/>
        </w:tabs>
        <w:ind w:left="3600" w:hanging="360"/>
      </w:pPr>
      <w:rPr>
        <w:rFonts w:ascii="Symbol" w:hAnsi="Symbol" w:hint="default"/>
      </w:rPr>
    </w:lvl>
    <w:lvl w:ilvl="5" w:tplc="E9B8E158" w:tentative="1">
      <w:start w:val="1"/>
      <w:numFmt w:val="bullet"/>
      <w:lvlText w:val=""/>
      <w:lvlPicBulletId w:val="0"/>
      <w:lvlJc w:val="left"/>
      <w:pPr>
        <w:tabs>
          <w:tab w:val="num" w:pos="4320"/>
        </w:tabs>
        <w:ind w:left="4320" w:hanging="360"/>
      </w:pPr>
      <w:rPr>
        <w:rFonts w:ascii="Symbol" w:hAnsi="Symbol" w:hint="default"/>
      </w:rPr>
    </w:lvl>
    <w:lvl w:ilvl="6" w:tplc="6726B510" w:tentative="1">
      <w:start w:val="1"/>
      <w:numFmt w:val="bullet"/>
      <w:lvlText w:val=""/>
      <w:lvlPicBulletId w:val="0"/>
      <w:lvlJc w:val="left"/>
      <w:pPr>
        <w:tabs>
          <w:tab w:val="num" w:pos="5040"/>
        </w:tabs>
        <w:ind w:left="5040" w:hanging="360"/>
      </w:pPr>
      <w:rPr>
        <w:rFonts w:ascii="Symbol" w:hAnsi="Symbol" w:hint="default"/>
      </w:rPr>
    </w:lvl>
    <w:lvl w:ilvl="7" w:tplc="AFE8CDE0" w:tentative="1">
      <w:start w:val="1"/>
      <w:numFmt w:val="bullet"/>
      <w:lvlText w:val=""/>
      <w:lvlPicBulletId w:val="0"/>
      <w:lvlJc w:val="left"/>
      <w:pPr>
        <w:tabs>
          <w:tab w:val="num" w:pos="5760"/>
        </w:tabs>
        <w:ind w:left="5760" w:hanging="360"/>
      </w:pPr>
      <w:rPr>
        <w:rFonts w:ascii="Symbol" w:hAnsi="Symbol" w:hint="default"/>
      </w:rPr>
    </w:lvl>
    <w:lvl w:ilvl="8" w:tplc="902A1C7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0"/>
  </w:num>
  <w:num w:numId="3">
    <w:abstractNumId w:val="15"/>
  </w:num>
  <w:num w:numId="4">
    <w:abstractNumId w:val="16"/>
  </w:num>
  <w:num w:numId="5">
    <w:abstractNumId w:val="12"/>
  </w:num>
  <w:num w:numId="6">
    <w:abstractNumId w:val="18"/>
  </w:num>
  <w:num w:numId="7">
    <w:abstractNumId w:val="32"/>
  </w:num>
  <w:num w:numId="8">
    <w:abstractNumId w:val="7"/>
  </w:num>
  <w:num w:numId="9">
    <w:abstractNumId w:val="11"/>
  </w:num>
  <w:num w:numId="10">
    <w:abstractNumId w:val="22"/>
  </w:num>
  <w:num w:numId="11">
    <w:abstractNumId w:val="17"/>
  </w:num>
  <w:num w:numId="12">
    <w:abstractNumId w:val="17"/>
  </w:num>
  <w:num w:numId="13">
    <w:abstractNumId w:val="13"/>
  </w:num>
  <w:num w:numId="14">
    <w:abstractNumId w:val="1"/>
  </w:num>
  <w:num w:numId="15">
    <w:abstractNumId w:val="1"/>
  </w:num>
  <w:num w:numId="16">
    <w:abstractNumId w:val="9"/>
  </w:num>
  <w:num w:numId="17">
    <w:abstractNumId w:val="8"/>
  </w:num>
  <w:num w:numId="18">
    <w:abstractNumId w:val="17"/>
  </w:num>
  <w:num w:numId="19">
    <w:abstractNumId w:val="27"/>
  </w:num>
  <w:num w:numId="20">
    <w:abstractNumId w:val="14"/>
  </w:num>
  <w:num w:numId="21">
    <w:abstractNumId w:val="35"/>
  </w:num>
  <w:num w:numId="22">
    <w:abstractNumId w:val="17"/>
  </w:num>
  <w:num w:numId="23">
    <w:abstractNumId w:val="33"/>
  </w:num>
  <w:num w:numId="24">
    <w:abstractNumId w:val="31"/>
  </w:num>
  <w:num w:numId="25">
    <w:abstractNumId w:val="17"/>
  </w:num>
  <w:num w:numId="26">
    <w:abstractNumId w:val="21"/>
  </w:num>
  <w:num w:numId="27">
    <w:abstractNumId w:val="6"/>
  </w:num>
  <w:num w:numId="28">
    <w:abstractNumId w:val="0"/>
  </w:num>
  <w:num w:numId="29">
    <w:abstractNumId w:val="26"/>
  </w:num>
  <w:num w:numId="30">
    <w:abstractNumId w:val="4"/>
  </w:num>
  <w:num w:numId="31">
    <w:abstractNumId w:val="23"/>
  </w:num>
  <w:num w:numId="32">
    <w:abstractNumId w:val="34"/>
  </w:num>
  <w:num w:numId="33">
    <w:abstractNumId w:val="3"/>
  </w:num>
  <w:num w:numId="34">
    <w:abstractNumId w:val="24"/>
  </w:num>
  <w:num w:numId="35">
    <w:abstractNumId w:val="10"/>
  </w:num>
  <w:num w:numId="36">
    <w:abstractNumId w:val="19"/>
  </w:num>
  <w:num w:numId="37">
    <w:abstractNumId w:val="29"/>
  </w:num>
  <w:num w:numId="38">
    <w:abstractNumId w:val="2"/>
  </w:num>
  <w:num w:numId="39">
    <w:abstractNumId w:val="28"/>
  </w:num>
  <w:num w:numId="40">
    <w:abstractNumId w:val="30"/>
  </w:num>
  <w:num w:numId="41">
    <w:abstractNumId w:val="25"/>
  </w:num>
  <w:num w:numId="4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NbQ0MDI1NTU0M7FU0lEKTi0uzszPAykwrgUAqoMa3iwAAAA="/>
  </w:docVars>
  <w:rsids>
    <w:rsidRoot w:val="001171FA"/>
    <w:rsid w:val="00002393"/>
    <w:rsid w:val="00003B1D"/>
    <w:rsid w:val="000053F0"/>
    <w:rsid w:val="00005935"/>
    <w:rsid w:val="00005C1F"/>
    <w:rsid w:val="000065BD"/>
    <w:rsid w:val="000066EA"/>
    <w:rsid w:val="00006915"/>
    <w:rsid w:val="00006FB2"/>
    <w:rsid w:val="00007981"/>
    <w:rsid w:val="00007B2A"/>
    <w:rsid w:val="00010B09"/>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A87"/>
    <w:rsid w:val="00065C0E"/>
    <w:rsid w:val="00066C6C"/>
    <w:rsid w:val="000706D1"/>
    <w:rsid w:val="000721E0"/>
    <w:rsid w:val="0007231F"/>
    <w:rsid w:val="00072586"/>
    <w:rsid w:val="00072735"/>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2AB5"/>
    <w:rsid w:val="000A3154"/>
    <w:rsid w:val="000A4BC0"/>
    <w:rsid w:val="000A63FA"/>
    <w:rsid w:val="000A6A66"/>
    <w:rsid w:val="000B15B8"/>
    <w:rsid w:val="000B17F6"/>
    <w:rsid w:val="000B1964"/>
    <w:rsid w:val="000B2503"/>
    <w:rsid w:val="000B26BE"/>
    <w:rsid w:val="000B36F2"/>
    <w:rsid w:val="000B3E6D"/>
    <w:rsid w:val="000B6A25"/>
    <w:rsid w:val="000B7771"/>
    <w:rsid w:val="000B799B"/>
    <w:rsid w:val="000C15D6"/>
    <w:rsid w:val="000C1B7F"/>
    <w:rsid w:val="000C4AEA"/>
    <w:rsid w:val="000C62E1"/>
    <w:rsid w:val="000C71C8"/>
    <w:rsid w:val="000D0030"/>
    <w:rsid w:val="000D0D95"/>
    <w:rsid w:val="000D1C1B"/>
    <w:rsid w:val="000D28A2"/>
    <w:rsid w:val="000D3113"/>
    <w:rsid w:val="000D39B2"/>
    <w:rsid w:val="000D4C31"/>
    <w:rsid w:val="000D563E"/>
    <w:rsid w:val="000E05E0"/>
    <w:rsid w:val="000E07E1"/>
    <w:rsid w:val="000E0CE9"/>
    <w:rsid w:val="000E10C7"/>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3BEF"/>
    <w:rsid w:val="00115BB4"/>
    <w:rsid w:val="001171FA"/>
    <w:rsid w:val="00117767"/>
    <w:rsid w:val="0011785D"/>
    <w:rsid w:val="00117963"/>
    <w:rsid w:val="00117ADB"/>
    <w:rsid w:val="00121DFB"/>
    <w:rsid w:val="0012269A"/>
    <w:rsid w:val="00123C65"/>
    <w:rsid w:val="00123FC1"/>
    <w:rsid w:val="0012436A"/>
    <w:rsid w:val="00124BC8"/>
    <w:rsid w:val="0012533C"/>
    <w:rsid w:val="0012596B"/>
    <w:rsid w:val="00126C25"/>
    <w:rsid w:val="00126E69"/>
    <w:rsid w:val="00127C4C"/>
    <w:rsid w:val="00130DBB"/>
    <w:rsid w:val="0013116E"/>
    <w:rsid w:val="00131E37"/>
    <w:rsid w:val="00131F78"/>
    <w:rsid w:val="00132135"/>
    <w:rsid w:val="00134809"/>
    <w:rsid w:val="00135CF7"/>
    <w:rsid w:val="00136E73"/>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EDF"/>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6D47"/>
    <w:rsid w:val="00187F2E"/>
    <w:rsid w:val="0019037B"/>
    <w:rsid w:val="00190F35"/>
    <w:rsid w:val="0019112E"/>
    <w:rsid w:val="001916DB"/>
    <w:rsid w:val="00194491"/>
    <w:rsid w:val="0019580A"/>
    <w:rsid w:val="0019622E"/>
    <w:rsid w:val="0019728E"/>
    <w:rsid w:val="0019793F"/>
    <w:rsid w:val="00197ABE"/>
    <w:rsid w:val="00197FAA"/>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423"/>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16647"/>
    <w:rsid w:val="002205B8"/>
    <w:rsid w:val="002213D8"/>
    <w:rsid w:val="002243D3"/>
    <w:rsid w:val="002257C9"/>
    <w:rsid w:val="00226C62"/>
    <w:rsid w:val="00226D3C"/>
    <w:rsid w:val="0022773F"/>
    <w:rsid w:val="0023059B"/>
    <w:rsid w:val="00230D45"/>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0C7A"/>
    <w:rsid w:val="002519F4"/>
    <w:rsid w:val="00253F9A"/>
    <w:rsid w:val="00255C49"/>
    <w:rsid w:val="0025609E"/>
    <w:rsid w:val="0025674D"/>
    <w:rsid w:val="0026168B"/>
    <w:rsid w:val="00261A52"/>
    <w:rsid w:val="00263AF5"/>
    <w:rsid w:val="00263D6D"/>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1B7D"/>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1A41"/>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274C8"/>
    <w:rsid w:val="00327C6A"/>
    <w:rsid w:val="0033016D"/>
    <w:rsid w:val="0033172A"/>
    <w:rsid w:val="00332F4E"/>
    <w:rsid w:val="0033483E"/>
    <w:rsid w:val="00335351"/>
    <w:rsid w:val="003357C3"/>
    <w:rsid w:val="00335821"/>
    <w:rsid w:val="003368FD"/>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609A"/>
    <w:rsid w:val="003A1090"/>
    <w:rsid w:val="003A115E"/>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B771D"/>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179C"/>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4FC4"/>
    <w:rsid w:val="003F7499"/>
    <w:rsid w:val="00400771"/>
    <w:rsid w:val="00402707"/>
    <w:rsid w:val="00402AEA"/>
    <w:rsid w:val="00403337"/>
    <w:rsid w:val="004035AA"/>
    <w:rsid w:val="00403779"/>
    <w:rsid w:val="004039A6"/>
    <w:rsid w:val="004045E9"/>
    <w:rsid w:val="004055C5"/>
    <w:rsid w:val="00405693"/>
    <w:rsid w:val="0041138F"/>
    <w:rsid w:val="004129C2"/>
    <w:rsid w:val="00413C49"/>
    <w:rsid w:val="004142DB"/>
    <w:rsid w:val="00416016"/>
    <w:rsid w:val="00417E7D"/>
    <w:rsid w:val="00421007"/>
    <w:rsid w:val="00421871"/>
    <w:rsid w:val="00423231"/>
    <w:rsid w:val="004235AF"/>
    <w:rsid w:val="00426854"/>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4B72"/>
    <w:rsid w:val="004450F0"/>
    <w:rsid w:val="004466A4"/>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6CC5"/>
    <w:rsid w:val="004702C3"/>
    <w:rsid w:val="0047279E"/>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416F"/>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5BFB"/>
    <w:rsid w:val="004C6282"/>
    <w:rsid w:val="004C6C80"/>
    <w:rsid w:val="004C774E"/>
    <w:rsid w:val="004C7894"/>
    <w:rsid w:val="004D09B8"/>
    <w:rsid w:val="004D0CF4"/>
    <w:rsid w:val="004D100C"/>
    <w:rsid w:val="004D1B25"/>
    <w:rsid w:val="004D27B4"/>
    <w:rsid w:val="004D2E43"/>
    <w:rsid w:val="004D3D0B"/>
    <w:rsid w:val="004D4911"/>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07760"/>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2F3F"/>
    <w:rsid w:val="0052318B"/>
    <w:rsid w:val="00523549"/>
    <w:rsid w:val="00523ED6"/>
    <w:rsid w:val="00525145"/>
    <w:rsid w:val="0052543C"/>
    <w:rsid w:val="005264CE"/>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60890"/>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2008"/>
    <w:rsid w:val="00585052"/>
    <w:rsid w:val="00585859"/>
    <w:rsid w:val="00585F9D"/>
    <w:rsid w:val="0058657D"/>
    <w:rsid w:val="00587FFD"/>
    <w:rsid w:val="005914D9"/>
    <w:rsid w:val="00591650"/>
    <w:rsid w:val="00594692"/>
    <w:rsid w:val="00594A62"/>
    <w:rsid w:val="00594AE6"/>
    <w:rsid w:val="00595C6B"/>
    <w:rsid w:val="005978B2"/>
    <w:rsid w:val="005A1A74"/>
    <w:rsid w:val="005A411B"/>
    <w:rsid w:val="005A49EE"/>
    <w:rsid w:val="005A4EB5"/>
    <w:rsid w:val="005A4F11"/>
    <w:rsid w:val="005A514C"/>
    <w:rsid w:val="005A51E1"/>
    <w:rsid w:val="005A5623"/>
    <w:rsid w:val="005A5ACF"/>
    <w:rsid w:val="005A5CD7"/>
    <w:rsid w:val="005A72D0"/>
    <w:rsid w:val="005B0C30"/>
    <w:rsid w:val="005B2E3C"/>
    <w:rsid w:val="005B3177"/>
    <w:rsid w:val="005B3F64"/>
    <w:rsid w:val="005B452D"/>
    <w:rsid w:val="005B45E2"/>
    <w:rsid w:val="005B4999"/>
    <w:rsid w:val="005B4E8B"/>
    <w:rsid w:val="005B5162"/>
    <w:rsid w:val="005B6795"/>
    <w:rsid w:val="005B6992"/>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353C"/>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4CB"/>
    <w:rsid w:val="00610FD0"/>
    <w:rsid w:val="00612FCC"/>
    <w:rsid w:val="00615CAC"/>
    <w:rsid w:val="0061698E"/>
    <w:rsid w:val="00616EF3"/>
    <w:rsid w:val="006173F6"/>
    <w:rsid w:val="0061749B"/>
    <w:rsid w:val="00620A1F"/>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6788"/>
    <w:rsid w:val="0063708D"/>
    <w:rsid w:val="0064053D"/>
    <w:rsid w:val="006413A4"/>
    <w:rsid w:val="0064251F"/>
    <w:rsid w:val="00644ABF"/>
    <w:rsid w:val="0064686E"/>
    <w:rsid w:val="00646E27"/>
    <w:rsid w:val="00647BD5"/>
    <w:rsid w:val="00651102"/>
    <w:rsid w:val="00652326"/>
    <w:rsid w:val="006524A4"/>
    <w:rsid w:val="00653244"/>
    <w:rsid w:val="00654297"/>
    <w:rsid w:val="00654D66"/>
    <w:rsid w:val="00656F54"/>
    <w:rsid w:val="00657796"/>
    <w:rsid w:val="00657843"/>
    <w:rsid w:val="00662107"/>
    <w:rsid w:val="00665775"/>
    <w:rsid w:val="00665B67"/>
    <w:rsid w:val="00665D32"/>
    <w:rsid w:val="006662F5"/>
    <w:rsid w:val="006677C3"/>
    <w:rsid w:val="00671415"/>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FA3"/>
    <w:rsid w:val="006B2150"/>
    <w:rsid w:val="006B24E8"/>
    <w:rsid w:val="006B26AD"/>
    <w:rsid w:val="006B28B5"/>
    <w:rsid w:val="006B30ED"/>
    <w:rsid w:val="006B3954"/>
    <w:rsid w:val="006B5587"/>
    <w:rsid w:val="006B55CB"/>
    <w:rsid w:val="006B6037"/>
    <w:rsid w:val="006B6848"/>
    <w:rsid w:val="006B7800"/>
    <w:rsid w:val="006B78CA"/>
    <w:rsid w:val="006B7F4D"/>
    <w:rsid w:val="006C0CE8"/>
    <w:rsid w:val="006C0DB3"/>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590D"/>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05F4"/>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5A75"/>
    <w:rsid w:val="00746FAA"/>
    <w:rsid w:val="007470AD"/>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06CC"/>
    <w:rsid w:val="00771E97"/>
    <w:rsid w:val="0077212C"/>
    <w:rsid w:val="00773546"/>
    <w:rsid w:val="00773AF6"/>
    <w:rsid w:val="00774729"/>
    <w:rsid w:val="00774F1E"/>
    <w:rsid w:val="00777145"/>
    <w:rsid w:val="00781A23"/>
    <w:rsid w:val="00781DD7"/>
    <w:rsid w:val="0078285C"/>
    <w:rsid w:val="00782E7B"/>
    <w:rsid w:val="00783675"/>
    <w:rsid w:val="007846A4"/>
    <w:rsid w:val="00784CE3"/>
    <w:rsid w:val="0078505A"/>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105A"/>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2B66"/>
    <w:rsid w:val="00802E8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69A0"/>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673"/>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03"/>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B18"/>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D2B"/>
    <w:rsid w:val="00906EB9"/>
    <w:rsid w:val="00907415"/>
    <w:rsid w:val="009105A2"/>
    <w:rsid w:val="00910C04"/>
    <w:rsid w:val="00911409"/>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51CF"/>
    <w:rsid w:val="00946585"/>
    <w:rsid w:val="00946D70"/>
    <w:rsid w:val="009473D0"/>
    <w:rsid w:val="009478CA"/>
    <w:rsid w:val="00950944"/>
    <w:rsid w:val="00950F54"/>
    <w:rsid w:val="009515B1"/>
    <w:rsid w:val="00951F99"/>
    <w:rsid w:val="009522D0"/>
    <w:rsid w:val="00953D98"/>
    <w:rsid w:val="0095529F"/>
    <w:rsid w:val="009555B2"/>
    <w:rsid w:val="00955EB3"/>
    <w:rsid w:val="0095643D"/>
    <w:rsid w:val="0095687E"/>
    <w:rsid w:val="00960076"/>
    <w:rsid w:val="00960730"/>
    <w:rsid w:val="009614CF"/>
    <w:rsid w:val="00962C14"/>
    <w:rsid w:val="00962FEA"/>
    <w:rsid w:val="009633AA"/>
    <w:rsid w:val="009654CC"/>
    <w:rsid w:val="00965A07"/>
    <w:rsid w:val="009668C6"/>
    <w:rsid w:val="00966B96"/>
    <w:rsid w:val="009676DA"/>
    <w:rsid w:val="00973394"/>
    <w:rsid w:val="00973CC9"/>
    <w:rsid w:val="00973FD5"/>
    <w:rsid w:val="00974335"/>
    <w:rsid w:val="00974AEF"/>
    <w:rsid w:val="00975689"/>
    <w:rsid w:val="00975B67"/>
    <w:rsid w:val="00976C59"/>
    <w:rsid w:val="00976D8F"/>
    <w:rsid w:val="0098134A"/>
    <w:rsid w:val="0098157A"/>
    <w:rsid w:val="00981EE0"/>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67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1E59"/>
    <w:rsid w:val="00A2206C"/>
    <w:rsid w:val="00A22B9E"/>
    <w:rsid w:val="00A256AC"/>
    <w:rsid w:val="00A258AA"/>
    <w:rsid w:val="00A27E8D"/>
    <w:rsid w:val="00A300E7"/>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54A6"/>
    <w:rsid w:val="00A5745A"/>
    <w:rsid w:val="00A60FFF"/>
    <w:rsid w:val="00A61C7A"/>
    <w:rsid w:val="00A623AA"/>
    <w:rsid w:val="00A6324F"/>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56E"/>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56D"/>
    <w:rsid w:val="00AE1564"/>
    <w:rsid w:val="00AE1AC7"/>
    <w:rsid w:val="00AE1C01"/>
    <w:rsid w:val="00AE3469"/>
    <w:rsid w:val="00AE35B8"/>
    <w:rsid w:val="00AE436F"/>
    <w:rsid w:val="00AE4844"/>
    <w:rsid w:val="00AE49C6"/>
    <w:rsid w:val="00AE6DC1"/>
    <w:rsid w:val="00AF00A1"/>
    <w:rsid w:val="00AF0745"/>
    <w:rsid w:val="00AF221D"/>
    <w:rsid w:val="00AF3101"/>
    <w:rsid w:val="00AF449D"/>
    <w:rsid w:val="00AF6280"/>
    <w:rsid w:val="00AF6ACD"/>
    <w:rsid w:val="00AF6B44"/>
    <w:rsid w:val="00AF729C"/>
    <w:rsid w:val="00AF7F15"/>
    <w:rsid w:val="00B01437"/>
    <w:rsid w:val="00B01F05"/>
    <w:rsid w:val="00B03B0E"/>
    <w:rsid w:val="00B0510B"/>
    <w:rsid w:val="00B057FB"/>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0F9"/>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186"/>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4F62"/>
    <w:rsid w:val="00BC6BBB"/>
    <w:rsid w:val="00BD02EE"/>
    <w:rsid w:val="00BD2081"/>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483C"/>
    <w:rsid w:val="00BF6304"/>
    <w:rsid w:val="00BF7CA7"/>
    <w:rsid w:val="00BF7DE0"/>
    <w:rsid w:val="00C00756"/>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0F3"/>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76"/>
    <w:rsid w:val="00C36FEA"/>
    <w:rsid w:val="00C377B7"/>
    <w:rsid w:val="00C401BA"/>
    <w:rsid w:val="00C4066B"/>
    <w:rsid w:val="00C41264"/>
    <w:rsid w:val="00C41892"/>
    <w:rsid w:val="00C41CE1"/>
    <w:rsid w:val="00C426A1"/>
    <w:rsid w:val="00C42C83"/>
    <w:rsid w:val="00C42DF8"/>
    <w:rsid w:val="00C45165"/>
    <w:rsid w:val="00C46509"/>
    <w:rsid w:val="00C47571"/>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6500"/>
    <w:rsid w:val="00CB73C2"/>
    <w:rsid w:val="00CB7C7A"/>
    <w:rsid w:val="00CC125B"/>
    <w:rsid w:val="00CC1BF1"/>
    <w:rsid w:val="00CC3698"/>
    <w:rsid w:val="00CC4136"/>
    <w:rsid w:val="00CC417F"/>
    <w:rsid w:val="00CC419A"/>
    <w:rsid w:val="00CC5AB1"/>
    <w:rsid w:val="00CC5F9E"/>
    <w:rsid w:val="00CC67A3"/>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769F"/>
    <w:rsid w:val="00D07E91"/>
    <w:rsid w:val="00D1005B"/>
    <w:rsid w:val="00D10E30"/>
    <w:rsid w:val="00D113A2"/>
    <w:rsid w:val="00D13AE1"/>
    <w:rsid w:val="00D14705"/>
    <w:rsid w:val="00D16294"/>
    <w:rsid w:val="00D17124"/>
    <w:rsid w:val="00D2178D"/>
    <w:rsid w:val="00D21FEC"/>
    <w:rsid w:val="00D22765"/>
    <w:rsid w:val="00D2431E"/>
    <w:rsid w:val="00D259C2"/>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0F8C"/>
    <w:rsid w:val="00D52DDC"/>
    <w:rsid w:val="00D53617"/>
    <w:rsid w:val="00D541A5"/>
    <w:rsid w:val="00D5479D"/>
    <w:rsid w:val="00D54D39"/>
    <w:rsid w:val="00D550EE"/>
    <w:rsid w:val="00D579AF"/>
    <w:rsid w:val="00D57C04"/>
    <w:rsid w:val="00D61313"/>
    <w:rsid w:val="00D6146F"/>
    <w:rsid w:val="00D61789"/>
    <w:rsid w:val="00D62525"/>
    <w:rsid w:val="00D6377B"/>
    <w:rsid w:val="00D63A43"/>
    <w:rsid w:val="00D63AB8"/>
    <w:rsid w:val="00D63ED7"/>
    <w:rsid w:val="00D6601F"/>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1F79"/>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308"/>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500F"/>
    <w:rsid w:val="00DF5AEE"/>
    <w:rsid w:val="00DF662A"/>
    <w:rsid w:val="00DF6F77"/>
    <w:rsid w:val="00DF7945"/>
    <w:rsid w:val="00E0202C"/>
    <w:rsid w:val="00E02EAA"/>
    <w:rsid w:val="00E03638"/>
    <w:rsid w:val="00E03B0B"/>
    <w:rsid w:val="00E03B33"/>
    <w:rsid w:val="00E03FE1"/>
    <w:rsid w:val="00E04E2B"/>
    <w:rsid w:val="00E06C72"/>
    <w:rsid w:val="00E072FE"/>
    <w:rsid w:val="00E07ADF"/>
    <w:rsid w:val="00E10175"/>
    <w:rsid w:val="00E10B16"/>
    <w:rsid w:val="00E10C80"/>
    <w:rsid w:val="00E12250"/>
    <w:rsid w:val="00E1319E"/>
    <w:rsid w:val="00E14F64"/>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696A"/>
    <w:rsid w:val="00E47121"/>
    <w:rsid w:val="00E4730F"/>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EC0"/>
    <w:rsid w:val="00E90FE0"/>
    <w:rsid w:val="00E9267C"/>
    <w:rsid w:val="00E92B3A"/>
    <w:rsid w:val="00E93CD9"/>
    <w:rsid w:val="00E9440A"/>
    <w:rsid w:val="00E9613C"/>
    <w:rsid w:val="00E96EC6"/>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575"/>
    <w:rsid w:val="00ED5BC7"/>
    <w:rsid w:val="00ED78AC"/>
    <w:rsid w:val="00EE011E"/>
    <w:rsid w:val="00EE1017"/>
    <w:rsid w:val="00EE1DAA"/>
    <w:rsid w:val="00EE3C05"/>
    <w:rsid w:val="00EE5E9A"/>
    <w:rsid w:val="00EE6051"/>
    <w:rsid w:val="00EE730D"/>
    <w:rsid w:val="00EE79EC"/>
    <w:rsid w:val="00EF1456"/>
    <w:rsid w:val="00EF1D11"/>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682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179"/>
    <w:rsid w:val="00F76714"/>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56C8"/>
    <w:rsid w:val="00FB5993"/>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5908923">
      <w:bodyDiv w:val="1"/>
      <w:marLeft w:val="0"/>
      <w:marRight w:val="0"/>
      <w:marTop w:val="0"/>
      <w:marBottom w:val="0"/>
      <w:divBdr>
        <w:top w:val="none" w:sz="0" w:space="0" w:color="auto"/>
        <w:left w:val="none" w:sz="0" w:space="0" w:color="auto"/>
        <w:bottom w:val="none" w:sz="0" w:space="0" w:color="auto"/>
        <w:right w:val="none" w:sz="0" w:space="0" w:color="auto"/>
      </w:divBdr>
      <w:divsChild>
        <w:div w:id="890117401">
          <w:marLeft w:val="1166"/>
          <w:marRight w:val="0"/>
          <w:marTop w:val="67"/>
          <w:marBottom w:val="0"/>
          <w:divBdr>
            <w:top w:val="none" w:sz="0" w:space="0" w:color="auto"/>
            <w:left w:val="none" w:sz="0" w:space="0" w:color="auto"/>
            <w:bottom w:val="none" w:sz="0" w:space="0" w:color="auto"/>
            <w:right w:val="none" w:sz="0" w:space="0" w:color="auto"/>
          </w:divBdr>
        </w:div>
        <w:div w:id="536309054">
          <w:marLeft w:val="1166"/>
          <w:marRight w:val="0"/>
          <w:marTop w:val="67"/>
          <w:marBottom w:val="0"/>
          <w:divBdr>
            <w:top w:val="none" w:sz="0" w:space="0" w:color="auto"/>
            <w:left w:val="none" w:sz="0" w:space="0" w:color="auto"/>
            <w:bottom w:val="none" w:sz="0" w:space="0" w:color="auto"/>
            <w:right w:val="none" w:sz="0" w:space="0" w:color="auto"/>
          </w:divBdr>
        </w:div>
        <w:div w:id="990445932">
          <w:marLeft w:val="1166"/>
          <w:marRight w:val="0"/>
          <w:marTop w:val="67"/>
          <w:marBottom w:val="0"/>
          <w:divBdr>
            <w:top w:val="none" w:sz="0" w:space="0" w:color="auto"/>
            <w:left w:val="none" w:sz="0" w:space="0" w:color="auto"/>
            <w:bottom w:val="none" w:sz="0" w:space="0" w:color="auto"/>
            <w:right w:val="none" w:sz="0" w:space="0" w:color="auto"/>
          </w:divBdr>
        </w:div>
        <w:div w:id="2109351792">
          <w:marLeft w:val="1166"/>
          <w:marRight w:val="0"/>
          <w:marTop w:val="67"/>
          <w:marBottom w:val="0"/>
          <w:divBdr>
            <w:top w:val="none" w:sz="0" w:space="0" w:color="auto"/>
            <w:left w:val="none" w:sz="0" w:space="0" w:color="auto"/>
            <w:bottom w:val="none" w:sz="0" w:space="0" w:color="auto"/>
            <w:right w:val="none" w:sz="0" w:space="0" w:color="auto"/>
          </w:divBdr>
        </w:div>
        <w:div w:id="491408519">
          <w:marLeft w:val="1166"/>
          <w:marRight w:val="0"/>
          <w:marTop w:val="67"/>
          <w:marBottom w:val="0"/>
          <w:divBdr>
            <w:top w:val="none" w:sz="0" w:space="0" w:color="auto"/>
            <w:left w:val="none" w:sz="0" w:space="0" w:color="auto"/>
            <w:bottom w:val="none" w:sz="0" w:space="0" w:color="auto"/>
            <w:right w:val="none" w:sz="0" w:space="0" w:color="auto"/>
          </w:divBdr>
        </w:div>
      </w:divsChild>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14466001">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2288983">
      <w:bodyDiv w:val="1"/>
      <w:marLeft w:val="0"/>
      <w:marRight w:val="0"/>
      <w:marTop w:val="0"/>
      <w:marBottom w:val="0"/>
      <w:divBdr>
        <w:top w:val="none" w:sz="0" w:space="0" w:color="auto"/>
        <w:left w:val="none" w:sz="0" w:space="0" w:color="auto"/>
        <w:bottom w:val="none" w:sz="0" w:space="0" w:color="auto"/>
        <w:right w:val="none" w:sz="0" w:space="0" w:color="auto"/>
      </w:divBdr>
      <w:divsChild>
        <w:div w:id="280381470">
          <w:marLeft w:val="1080"/>
          <w:marRight w:val="0"/>
          <w:marTop w:val="100"/>
          <w:marBottom w:val="0"/>
          <w:divBdr>
            <w:top w:val="none" w:sz="0" w:space="0" w:color="auto"/>
            <w:left w:val="none" w:sz="0" w:space="0" w:color="auto"/>
            <w:bottom w:val="none" w:sz="0" w:space="0" w:color="auto"/>
            <w:right w:val="none" w:sz="0" w:space="0" w:color="auto"/>
          </w:divBdr>
        </w:div>
        <w:div w:id="649139607">
          <w:marLeft w:val="1800"/>
          <w:marRight w:val="0"/>
          <w:marTop w:val="100"/>
          <w:marBottom w:val="0"/>
          <w:divBdr>
            <w:top w:val="none" w:sz="0" w:space="0" w:color="auto"/>
            <w:left w:val="none" w:sz="0" w:space="0" w:color="auto"/>
            <w:bottom w:val="none" w:sz="0" w:space="0" w:color="auto"/>
            <w:right w:val="none" w:sz="0" w:space="0" w:color="auto"/>
          </w:divBdr>
        </w:div>
        <w:div w:id="1797984354">
          <w:marLeft w:val="1800"/>
          <w:marRight w:val="0"/>
          <w:marTop w:val="100"/>
          <w:marBottom w:val="0"/>
          <w:divBdr>
            <w:top w:val="none" w:sz="0" w:space="0" w:color="auto"/>
            <w:left w:val="none" w:sz="0" w:space="0" w:color="auto"/>
            <w:bottom w:val="none" w:sz="0" w:space="0" w:color="auto"/>
            <w:right w:val="none" w:sz="0" w:space="0" w:color="auto"/>
          </w:divBdr>
        </w:div>
        <w:div w:id="1201361198">
          <w:marLeft w:val="1800"/>
          <w:marRight w:val="0"/>
          <w:marTop w:val="100"/>
          <w:marBottom w:val="0"/>
          <w:divBdr>
            <w:top w:val="none" w:sz="0" w:space="0" w:color="auto"/>
            <w:left w:val="none" w:sz="0" w:space="0" w:color="auto"/>
            <w:bottom w:val="none" w:sz="0" w:space="0" w:color="auto"/>
            <w:right w:val="none" w:sz="0" w:space="0" w:color="auto"/>
          </w:divBdr>
        </w:div>
        <w:div w:id="1070426335">
          <w:marLeft w:val="1080"/>
          <w:marRight w:val="0"/>
          <w:marTop w:val="100"/>
          <w:marBottom w:val="0"/>
          <w:divBdr>
            <w:top w:val="none" w:sz="0" w:space="0" w:color="auto"/>
            <w:left w:val="none" w:sz="0" w:space="0" w:color="auto"/>
            <w:bottom w:val="none" w:sz="0" w:space="0" w:color="auto"/>
            <w:right w:val="none" w:sz="0" w:space="0" w:color="auto"/>
          </w:divBdr>
        </w:div>
        <w:div w:id="451872652">
          <w:marLeft w:val="1800"/>
          <w:marRight w:val="0"/>
          <w:marTop w:val="100"/>
          <w:marBottom w:val="0"/>
          <w:divBdr>
            <w:top w:val="none" w:sz="0" w:space="0" w:color="auto"/>
            <w:left w:val="none" w:sz="0" w:space="0" w:color="auto"/>
            <w:bottom w:val="none" w:sz="0" w:space="0" w:color="auto"/>
            <w:right w:val="none" w:sz="0" w:space="0" w:color="auto"/>
          </w:divBdr>
        </w:div>
        <w:div w:id="1962765711">
          <w:marLeft w:val="1800"/>
          <w:marRight w:val="0"/>
          <w:marTop w:val="100"/>
          <w:marBottom w:val="0"/>
          <w:divBdr>
            <w:top w:val="none" w:sz="0" w:space="0" w:color="auto"/>
            <w:left w:val="none" w:sz="0" w:space="0" w:color="auto"/>
            <w:bottom w:val="none" w:sz="0" w:space="0" w:color="auto"/>
            <w:right w:val="none" w:sz="0" w:space="0" w:color="auto"/>
          </w:divBdr>
        </w:div>
        <w:div w:id="1571886256">
          <w:marLeft w:val="1080"/>
          <w:marRight w:val="0"/>
          <w:marTop w:val="100"/>
          <w:marBottom w:val="0"/>
          <w:divBdr>
            <w:top w:val="none" w:sz="0" w:space="0" w:color="auto"/>
            <w:left w:val="none" w:sz="0" w:space="0" w:color="auto"/>
            <w:bottom w:val="none" w:sz="0" w:space="0" w:color="auto"/>
            <w:right w:val="none" w:sz="0" w:space="0" w:color="auto"/>
          </w:divBdr>
        </w:div>
        <w:div w:id="838739024">
          <w:marLeft w:val="1800"/>
          <w:marRight w:val="0"/>
          <w:marTop w:val="100"/>
          <w:marBottom w:val="0"/>
          <w:divBdr>
            <w:top w:val="none" w:sz="0" w:space="0" w:color="auto"/>
            <w:left w:val="none" w:sz="0" w:space="0" w:color="auto"/>
            <w:bottom w:val="none" w:sz="0" w:space="0" w:color="auto"/>
            <w:right w:val="none" w:sz="0" w:space="0" w:color="auto"/>
          </w:divBdr>
        </w:div>
        <w:div w:id="1926113232">
          <w:marLeft w:val="1800"/>
          <w:marRight w:val="0"/>
          <w:marTop w:val="100"/>
          <w:marBottom w:val="0"/>
          <w:divBdr>
            <w:top w:val="none" w:sz="0" w:space="0" w:color="auto"/>
            <w:left w:val="none" w:sz="0" w:space="0" w:color="auto"/>
            <w:bottom w:val="none" w:sz="0" w:space="0" w:color="auto"/>
            <w:right w:val="none" w:sz="0" w:space="0" w:color="auto"/>
          </w:divBdr>
        </w:div>
        <w:div w:id="364871186">
          <w:marLeft w:val="1800"/>
          <w:marRight w:val="0"/>
          <w:marTop w:val="100"/>
          <w:marBottom w:val="0"/>
          <w:divBdr>
            <w:top w:val="none" w:sz="0" w:space="0" w:color="auto"/>
            <w:left w:val="none" w:sz="0" w:space="0" w:color="auto"/>
            <w:bottom w:val="none" w:sz="0" w:space="0" w:color="auto"/>
            <w:right w:val="none" w:sz="0" w:space="0" w:color="auto"/>
          </w:divBdr>
        </w:div>
        <w:div w:id="1981299049">
          <w:marLeft w:val="1080"/>
          <w:marRight w:val="0"/>
          <w:marTop w:val="100"/>
          <w:marBottom w:val="0"/>
          <w:divBdr>
            <w:top w:val="none" w:sz="0" w:space="0" w:color="auto"/>
            <w:left w:val="none" w:sz="0" w:space="0" w:color="auto"/>
            <w:bottom w:val="none" w:sz="0" w:space="0" w:color="auto"/>
            <w:right w:val="none" w:sz="0" w:space="0" w:color="auto"/>
          </w:divBdr>
        </w:div>
        <w:div w:id="2089959357">
          <w:marLeft w:val="1800"/>
          <w:marRight w:val="0"/>
          <w:marTop w:val="100"/>
          <w:marBottom w:val="0"/>
          <w:divBdr>
            <w:top w:val="none" w:sz="0" w:space="0" w:color="auto"/>
            <w:left w:val="none" w:sz="0" w:space="0" w:color="auto"/>
            <w:bottom w:val="none" w:sz="0" w:space="0" w:color="auto"/>
            <w:right w:val="none" w:sz="0" w:space="0" w:color="auto"/>
          </w:divBdr>
        </w:div>
        <w:div w:id="250286118">
          <w:marLeft w:val="1800"/>
          <w:marRight w:val="0"/>
          <w:marTop w:val="100"/>
          <w:marBottom w:val="0"/>
          <w:divBdr>
            <w:top w:val="none" w:sz="0" w:space="0" w:color="auto"/>
            <w:left w:val="none" w:sz="0" w:space="0" w:color="auto"/>
            <w:bottom w:val="none" w:sz="0" w:space="0" w:color="auto"/>
            <w:right w:val="none" w:sz="0" w:space="0" w:color="auto"/>
          </w:divBdr>
        </w:div>
        <w:div w:id="156113862">
          <w:marLeft w:val="1080"/>
          <w:marRight w:val="0"/>
          <w:marTop w:val="100"/>
          <w:marBottom w:val="0"/>
          <w:divBdr>
            <w:top w:val="none" w:sz="0" w:space="0" w:color="auto"/>
            <w:left w:val="none" w:sz="0" w:space="0" w:color="auto"/>
            <w:bottom w:val="none" w:sz="0" w:space="0" w:color="auto"/>
            <w:right w:val="none" w:sz="0" w:space="0" w:color="auto"/>
          </w:divBdr>
        </w:div>
        <w:div w:id="1613122923">
          <w:marLeft w:val="180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5818147">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75560070">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70E2F-E853-4871-A6BE-C9AFA4D7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5521</Characters>
  <Application>Microsoft Office Word</Application>
  <DocSecurity>0</DocSecurity>
  <Lines>46</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2021-10-22T07:38:00Z</dcterms:created>
  <dcterms:modified xsi:type="dcterms:W3CDTF">2021-10-22T07:38:00Z</dcterms:modified>
</cp:coreProperties>
</file>