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EBE15" w14:textId="4B209F02" w:rsidR="00F26BE6" w:rsidRDefault="00F26BE6" w:rsidP="00F26BE6">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w:t>
      </w:r>
      <w:r w:rsidR="004932B7">
        <w:rPr>
          <w:rFonts w:cs="Arial"/>
          <w:b/>
          <w:sz w:val="24"/>
          <w:szCs w:val="24"/>
        </w:rPr>
        <w:t>10</w:t>
      </w:r>
      <w:r w:rsidR="00E40C79">
        <w:rPr>
          <w:rFonts w:cs="Arial"/>
          <w:b/>
          <w:sz w:val="24"/>
          <w:szCs w:val="24"/>
        </w:rPr>
        <w:t>1</w:t>
      </w:r>
      <w:r w:rsidR="00BF40C1">
        <w:rPr>
          <w:rFonts w:cs="Arial"/>
          <w:b/>
          <w:sz w:val="24"/>
          <w:szCs w:val="24"/>
        </w:rPr>
        <w:t>-</w:t>
      </w:r>
      <w:r w:rsidR="00593AEE">
        <w:rPr>
          <w:rFonts w:cs="Arial"/>
          <w:b/>
          <w:sz w:val="24"/>
          <w:szCs w:val="24"/>
        </w:rPr>
        <w:t>e</w:t>
      </w:r>
      <w:r>
        <w:rPr>
          <w:rFonts w:cs="Arial"/>
          <w:b/>
          <w:sz w:val="24"/>
          <w:szCs w:val="24"/>
        </w:rPr>
        <w:tab/>
      </w:r>
      <w:r w:rsidR="000606F9" w:rsidRPr="000606F9">
        <w:rPr>
          <w:rFonts w:cs="Arial"/>
          <w:b/>
          <w:sz w:val="24"/>
          <w:szCs w:val="24"/>
        </w:rPr>
        <w:t>R4-2117526</w:t>
      </w:r>
    </w:p>
    <w:p w14:paraId="06BF1402" w14:textId="27585754" w:rsidR="00F26BE6" w:rsidRDefault="004932B7" w:rsidP="00F26BE6">
      <w:pPr>
        <w:pStyle w:val="CRCoverPage"/>
        <w:tabs>
          <w:tab w:val="right" w:pos="9639"/>
        </w:tabs>
        <w:spacing w:after="0"/>
        <w:rPr>
          <w:rFonts w:cs="Arial"/>
          <w:b/>
          <w:sz w:val="24"/>
          <w:szCs w:val="24"/>
        </w:rPr>
      </w:pPr>
      <w:r>
        <w:rPr>
          <w:rFonts w:cs="Arial"/>
          <w:b/>
          <w:sz w:val="24"/>
          <w:szCs w:val="24"/>
        </w:rPr>
        <w:t>1</w:t>
      </w:r>
      <w:r w:rsidR="00E40C79">
        <w:rPr>
          <w:rFonts w:cs="Arial"/>
          <w:b/>
          <w:sz w:val="24"/>
          <w:szCs w:val="24"/>
          <w:vertAlign w:val="superscript"/>
        </w:rPr>
        <w:t>st</w:t>
      </w:r>
      <w:r w:rsidR="00F26BE6" w:rsidRPr="00690ADD">
        <w:rPr>
          <w:rFonts w:cs="Arial"/>
          <w:b/>
          <w:sz w:val="24"/>
          <w:szCs w:val="24"/>
        </w:rPr>
        <w:t xml:space="preserve">– </w:t>
      </w:r>
      <w:r w:rsidR="00E40C79">
        <w:rPr>
          <w:rFonts w:cs="Arial"/>
          <w:b/>
          <w:sz w:val="24"/>
          <w:szCs w:val="24"/>
        </w:rPr>
        <w:t>1</w:t>
      </w:r>
      <w:r w:rsidR="00BF40C1">
        <w:rPr>
          <w:rFonts w:cs="Arial"/>
          <w:b/>
          <w:sz w:val="24"/>
          <w:szCs w:val="24"/>
        </w:rPr>
        <w:t>2</w:t>
      </w:r>
      <w:r w:rsidR="00F26BE6" w:rsidRPr="0085598E">
        <w:rPr>
          <w:rFonts w:cs="Arial"/>
          <w:b/>
          <w:sz w:val="24"/>
          <w:szCs w:val="24"/>
          <w:vertAlign w:val="superscript"/>
        </w:rPr>
        <w:t>th</w:t>
      </w:r>
      <w:r w:rsidR="00F26BE6">
        <w:rPr>
          <w:rFonts w:cs="Arial"/>
          <w:b/>
          <w:sz w:val="24"/>
          <w:szCs w:val="24"/>
        </w:rPr>
        <w:t xml:space="preserve"> </w:t>
      </w:r>
      <w:r w:rsidR="00E40C79">
        <w:rPr>
          <w:rFonts w:cs="Arial"/>
          <w:b/>
          <w:sz w:val="24"/>
          <w:szCs w:val="24"/>
        </w:rPr>
        <w:t xml:space="preserve">November </w:t>
      </w:r>
      <w:r w:rsidR="00F26BE6" w:rsidRPr="00690ADD">
        <w:rPr>
          <w:rFonts w:cs="Arial"/>
          <w:b/>
          <w:sz w:val="24"/>
          <w:szCs w:val="24"/>
        </w:rPr>
        <w:t>20</w:t>
      </w:r>
      <w:bookmarkEnd w:id="0"/>
      <w:r w:rsidR="00F26BE6">
        <w:rPr>
          <w:rFonts w:cs="Arial"/>
          <w:b/>
          <w:sz w:val="24"/>
          <w:szCs w:val="24"/>
        </w:rPr>
        <w:t>2</w:t>
      </w:r>
      <w:r w:rsidR="00803C45">
        <w:rPr>
          <w:rFonts w:cs="Arial"/>
          <w:b/>
          <w:sz w:val="24"/>
          <w:szCs w:val="24"/>
        </w:rPr>
        <w:t>1</w:t>
      </w:r>
    </w:p>
    <w:p w14:paraId="31AA9375" w14:textId="77777777" w:rsidR="00F26BE6" w:rsidRPr="0087636F" w:rsidRDefault="00F26BE6" w:rsidP="00F26BE6">
      <w:pPr>
        <w:pStyle w:val="CRCoverPage"/>
        <w:tabs>
          <w:tab w:val="right" w:pos="9639"/>
        </w:tabs>
        <w:spacing w:after="0"/>
        <w:rPr>
          <w:rFonts w:cs="Arial"/>
          <w:b/>
          <w:sz w:val="24"/>
          <w:szCs w:val="24"/>
        </w:rPr>
      </w:pPr>
    </w:p>
    <w:p w14:paraId="2078F563" w14:textId="3903F4B3"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715E6E">
        <w:rPr>
          <w:sz w:val="22"/>
        </w:rPr>
        <w:t>, Nokia Shanghai Bell</w:t>
      </w:r>
    </w:p>
    <w:p w14:paraId="5B6A96A7" w14:textId="58AB5B2D"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D0209F">
        <w:t xml:space="preserve">PC2 </w:t>
      </w:r>
      <w:r w:rsidR="00116D10">
        <w:t xml:space="preserve">Intra-band UL NC CA </w:t>
      </w:r>
      <w:r w:rsidR="008A4E43">
        <w:t>1LO MPR</w:t>
      </w:r>
    </w:p>
    <w:p w14:paraId="23226DA5" w14:textId="348D0783" w:rsidR="0043450E" w:rsidRPr="0001487E" w:rsidRDefault="0043450E" w:rsidP="0043450E">
      <w:pPr>
        <w:rPr>
          <w:sz w:val="22"/>
        </w:rPr>
      </w:pPr>
      <w:r w:rsidRPr="00093489">
        <w:rPr>
          <w:b/>
          <w:sz w:val="22"/>
        </w:rPr>
        <w:t xml:space="preserve">Agenda Item: </w:t>
      </w:r>
      <w:r w:rsidRPr="00093489">
        <w:rPr>
          <w:b/>
          <w:sz w:val="22"/>
        </w:rPr>
        <w:tab/>
      </w:r>
      <w:r w:rsidRPr="00093489">
        <w:rPr>
          <w:b/>
          <w:sz w:val="22"/>
        </w:rPr>
        <w:tab/>
      </w:r>
      <w:r w:rsidRPr="00093489">
        <w:rPr>
          <w:b/>
          <w:sz w:val="22"/>
        </w:rPr>
        <w:tab/>
      </w:r>
      <w:r w:rsidR="00093489" w:rsidRPr="00093489">
        <w:rPr>
          <w:b/>
          <w:sz w:val="22"/>
        </w:rPr>
        <w:t>8</w:t>
      </w:r>
      <w:r w:rsidR="00116D10" w:rsidRPr="00093489">
        <w:rPr>
          <w:b/>
          <w:sz w:val="22"/>
        </w:rPr>
        <w:t>.3.2.</w:t>
      </w:r>
      <w:r w:rsidR="00093489" w:rsidRPr="00093489">
        <w:rPr>
          <w:b/>
          <w:sz w:val="22"/>
        </w:rPr>
        <w:t>4</w:t>
      </w:r>
    </w:p>
    <w:p w14:paraId="7AD518C5" w14:textId="7BEB7FAE"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C028D">
        <w:rPr>
          <w:sz w:val="22"/>
        </w:rPr>
        <w:t>Approval</w:t>
      </w:r>
    </w:p>
    <w:p w14:paraId="5C2448DB" w14:textId="77777777" w:rsidR="0043450E" w:rsidRDefault="0043450E" w:rsidP="0043450E">
      <w:pPr>
        <w:pStyle w:val="Heading1"/>
      </w:pPr>
      <w:r>
        <w:t>1</w:t>
      </w:r>
      <w:r>
        <w:tab/>
        <w:t>Introduction</w:t>
      </w:r>
    </w:p>
    <w:p w14:paraId="4C7A44BA" w14:textId="77777777" w:rsidR="00E71B94" w:rsidRDefault="00E71B94" w:rsidP="00E71B94">
      <w:r>
        <w:t>The WF on NC CA [1], proposes further study on MPR for 1LO architectures, considering, for example, considering in-gap emission requirements that are stricter than -13 dBm/MHz SEM. Such analysis is provided in this contribution, considering -25 dBm/MHz and -30 dBm/MHz in-gap emission limits.</w:t>
      </w:r>
    </w:p>
    <w:p w14:paraId="16375C65" w14:textId="05EDB92C" w:rsidR="00470375" w:rsidRDefault="00470375" w:rsidP="00470375">
      <w:pPr>
        <w:pStyle w:val="Heading1"/>
      </w:pPr>
      <w:r>
        <w:t>2</w:t>
      </w:r>
      <w:r>
        <w:tab/>
        <w:t>Simulation scenario</w:t>
      </w:r>
      <w:r w:rsidR="00167A57">
        <w:t>s</w:t>
      </w:r>
      <w:r>
        <w:t xml:space="preserve"> and assumptions</w:t>
      </w:r>
    </w:p>
    <w:p w14:paraId="15F09F8F" w14:textId="42DA1E82" w:rsidR="00F7348E" w:rsidRDefault="00C92CEA" w:rsidP="00E10098">
      <w:r>
        <w:t xml:space="preserve">As </w:t>
      </w:r>
      <w:r w:rsidR="00116D10">
        <w:t xml:space="preserve">previously </w:t>
      </w:r>
      <w:r>
        <w:t>discussed</w:t>
      </w:r>
      <w:r w:rsidR="00116D10">
        <w:t xml:space="preserve">, for example, </w:t>
      </w:r>
      <w:r w:rsidR="00E71B94">
        <w:t xml:space="preserve">in </w:t>
      </w:r>
      <w:r w:rsidR="00116D10">
        <w:t>[2]</w:t>
      </w:r>
      <w:r>
        <w:t xml:space="preserve">, 1x26 dBm PA + 1LO with 200 MHz BW </w:t>
      </w:r>
      <w:r w:rsidR="00D0209F">
        <w:t>back-off</w:t>
      </w:r>
      <w:r>
        <w:t xml:space="preserve"> is simulated for PC2 intra-band UL non-contiguous CA. Scenarios </w:t>
      </w:r>
    </w:p>
    <w:p w14:paraId="73F6E37B" w14:textId="6577B39F" w:rsidR="00EA771B" w:rsidRDefault="00EF1DB5" w:rsidP="00F7348E">
      <w:pPr>
        <w:pStyle w:val="ListParagraph"/>
        <w:numPr>
          <w:ilvl w:val="0"/>
          <w:numId w:val="9"/>
        </w:numPr>
      </w:pPr>
      <w:r>
        <w:t xml:space="preserve">symmetric 20+20 MHz CA with </w:t>
      </w:r>
      <w:r w:rsidR="00EA771B">
        <w:t>5</w:t>
      </w:r>
      <w:r>
        <w:t>0 MHz gap</w:t>
      </w:r>
      <w:r w:rsidR="00F7348E">
        <w:t xml:space="preserve"> </w:t>
      </w:r>
      <w:r w:rsidR="00EA771B">
        <w:t>(-25 dBm/MHz SEM limit in gap),</w:t>
      </w:r>
    </w:p>
    <w:p w14:paraId="4B9172EC" w14:textId="1A56FEFC" w:rsidR="00EA771B" w:rsidRDefault="00EA771B" w:rsidP="00EA771B">
      <w:pPr>
        <w:pStyle w:val="ListParagraph"/>
        <w:numPr>
          <w:ilvl w:val="0"/>
          <w:numId w:val="9"/>
        </w:numPr>
      </w:pPr>
      <w:r>
        <w:t>symmetric 20+20 MHz CA with 60 MHz gap (general -30 dBm/MHz spurious limit in gap),</w:t>
      </w:r>
    </w:p>
    <w:p w14:paraId="38243E73" w14:textId="08AE7025" w:rsidR="00F7348E" w:rsidRDefault="00EA771B" w:rsidP="00F7348E">
      <w:pPr>
        <w:pStyle w:val="ListParagraph"/>
        <w:numPr>
          <w:ilvl w:val="0"/>
          <w:numId w:val="9"/>
        </w:numPr>
      </w:pPr>
      <w:r>
        <w:t>asymmetric 10+40 MHz CA with 60 MHz gap (-25 dB</w:t>
      </w:r>
      <w:r w:rsidR="00167A57">
        <w:t>m</w:t>
      </w:r>
      <w:r>
        <w:t xml:space="preserve">/MHz SEM limit in gap), </w:t>
      </w:r>
      <w:r w:rsidR="00C92CEA">
        <w:t>and</w:t>
      </w:r>
    </w:p>
    <w:p w14:paraId="5B3DCD26" w14:textId="5242812B" w:rsidR="00F7348E" w:rsidRDefault="00EF1DB5" w:rsidP="00F7348E">
      <w:pPr>
        <w:pStyle w:val="ListParagraph"/>
        <w:numPr>
          <w:ilvl w:val="0"/>
          <w:numId w:val="9"/>
        </w:numPr>
      </w:pPr>
      <w:r>
        <w:t xml:space="preserve">asymmetric </w:t>
      </w:r>
      <w:r w:rsidR="00EA771B">
        <w:t>1</w:t>
      </w:r>
      <w:r>
        <w:t xml:space="preserve">0+40 MHz CA with </w:t>
      </w:r>
      <w:r w:rsidR="00EA771B">
        <w:t>7</w:t>
      </w:r>
      <w:r>
        <w:t>0 MHz gap</w:t>
      </w:r>
      <w:r w:rsidR="00EA771B">
        <w:t xml:space="preserve"> (general -30 dB</w:t>
      </w:r>
      <w:r w:rsidR="00167A57">
        <w:t>m</w:t>
      </w:r>
      <w:r w:rsidR="00EA771B">
        <w:t>/MHz spurious limit in gap)</w:t>
      </w:r>
      <w:r>
        <w:t>.</w:t>
      </w:r>
    </w:p>
    <w:p w14:paraId="3DA73A2B" w14:textId="0C647BCA" w:rsidR="00E10098" w:rsidRDefault="00C92CEA" w:rsidP="00F7348E">
      <w:r>
        <w:t>are considered.</w:t>
      </w:r>
      <w:r w:rsidR="00EF1DB5">
        <w:t xml:space="preserve"> In the symmetric scenario</w:t>
      </w:r>
      <w:r w:rsidR="00EA771B">
        <w:t>s</w:t>
      </w:r>
      <w:r w:rsidR="00EF1DB5">
        <w:t xml:space="preserve">, </w:t>
      </w:r>
      <w:r w:rsidR="00D0209F">
        <w:t>MPR</w:t>
      </w:r>
      <w:r w:rsidR="00EF1DB5">
        <w:t xml:space="preserve"> is simulated while sweeping the LO suppression in order to find feasible suppression. In the asymmetric scenario,</w:t>
      </w:r>
      <w:r w:rsidR="00EA771B">
        <w:t xml:space="preserve"> MPR is simulated with varied IQ suppression levels</w:t>
      </w:r>
      <w:r w:rsidR="00167A57">
        <w:t xml:space="preserve"> and LO is excluded in order to highlight the IQ effects</w:t>
      </w:r>
      <w:r w:rsidR="00EF1DB5">
        <w:t>.</w:t>
      </w:r>
    </w:p>
    <w:p w14:paraId="7A6D7B28" w14:textId="6D0F4023" w:rsidR="00CA336E" w:rsidRDefault="00EF1DB5" w:rsidP="00E10098">
      <w:r>
        <w:t>In the symmetric scenario</w:t>
      </w:r>
      <w:r w:rsidR="00EA771B">
        <w:t>s</w:t>
      </w:r>
      <w:r w:rsidR="00CA336E">
        <w:t xml:space="preserve"> channel outer edge allocations are simulated in order to evaluate the worst-case behaviour.</w:t>
      </w:r>
      <w:r w:rsidR="00EA771B">
        <w:t xml:space="preserve"> In the asymmetric scenarios, 10 000 random allocations per multiple access scheme are simulated in order to include also worst-case IQ image allocations. It is assumed that one allocation cluster in located in each of the carriers.</w:t>
      </w:r>
    </w:p>
    <w:p w14:paraId="4E950E09" w14:textId="268CE6EB" w:rsidR="00E10098" w:rsidRDefault="00E10098" w:rsidP="00E10098">
      <w:r>
        <w:t>The simulation assumptions were as follows:</w:t>
      </w:r>
    </w:p>
    <w:p w14:paraId="57A161A0" w14:textId="70A1B85B" w:rsidR="00BF40C1" w:rsidRDefault="00BF40C1" w:rsidP="00E10098">
      <w:pPr>
        <w:pStyle w:val="ListParagraph"/>
        <w:numPr>
          <w:ilvl w:val="0"/>
          <w:numId w:val="8"/>
        </w:numPr>
      </w:pPr>
      <w:r>
        <w:t>IQ image and LO leakage</w:t>
      </w:r>
      <w:r w:rsidR="00167A57">
        <w:t xml:space="preserve"> suppressions</w:t>
      </w:r>
      <w:r w:rsidR="00116D10">
        <w:t xml:space="preserve"> are varied as discussed </w:t>
      </w:r>
      <w:r w:rsidR="00EA771B">
        <w:t>above</w:t>
      </w:r>
      <w:r w:rsidR="00E10098">
        <w:t>,</w:t>
      </w:r>
    </w:p>
    <w:p w14:paraId="1DCCDF5B" w14:textId="01480C19" w:rsidR="00BF40C1" w:rsidRDefault="00BF40C1" w:rsidP="00E10098">
      <w:pPr>
        <w:pStyle w:val="ListParagraph"/>
        <w:numPr>
          <w:ilvl w:val="0"/>
          <w:numId w:val="8"/>
        </w:numPr>
      </w:pPr>
      <w:r>
        <w:t>CIM3 = -60 dBc</w:t>
      </w:r>
      <w:r w:rsidR="00E10098">
        <w:t>,</w:t>
      </w:r>
    </w:p>
    <w:p w14:paraId="7C389261" w14:textId="2304D400" w:rsidR="00EA0331" w:rsidRDefault="00470375" w:rsidP="00E10098">
      <w:pPr>
        <w:pStyle w:val="ListParagraph"/>
        <w:numPr>
          <w:ilvl w:val="0"/>
          <w:numId w:val="8"/>
        </w:numPr>
      </w:pPr>
      <w:r>
        <w:t xml:space="preserve">PA calibration point was 20 MHz, 15 kHz, QPSK, DFT-S-OFMA, 100 RB at lower channel edge with </w:t>
      </w:r>
      <w:r w:rsidR="00353ADB">
        <w:t xml:space="preserve">1 </w:t>
      </w:r>
      <w:r>
        <w:t>dB MPR</w:t>
      </w:r>
      <w:r w:rsidR="00676A68">
        <w:t>,</w:t>
      </w:r>
      <w:r w:rsidR="00071E0D">
        <w:t xml:space="preserve"> and</w:t>
      </w:r>
    </w:p>
    <w:p w14:paraId="0AF43AED" w14:textId="790A1990" w:rsidR="00C22231" w:rsidRDefault="00C22231" w:rsidP="00C22231">
      <w:pPr>
        <w:pStyle w:val="ListParagraph"/>
        <w:numPr>
          <w:ilvl w:val="0"/>
          <w:numId w:val="8"/>
        </w:numPr>
      </w:pPr>
      <w:r>
        <w:t>no IBE or EVM was evaluated.</w:t>
      </w:r>
    </w:p>
    <w:p w14:paraId="709AFE89" w14:textId="22EA6A8C" w:rsidR="00EA0331" w:rsidRDefault="000B7337" w:rsidP="00167A57">
      <w:pPr>
        <w:pStyle w:val="Heading1"/>
      </w:pPr>
      <w:r>
        <w:t>3</w:t>
      </w:r>
      <w:r w:rsidR="006376BE">
        <w:tab/>
      </w:r>
      <w:r w:rsidR="00150207" w:rsidRPr="00167A57">
        <w:t>Back</w:t>
      </w:r>
      <w:r w:rsidR="00150207">
        <w:t xml:space="preserve">-off </w:t>
      </w:r>
      <w:r w:rsidR="00167A57">
        <w:t>r</w:t>
      </w:r>
      <w:r w:rsidR="00150207">
        <w:t>esults</w:t>
      </w:r>
      <w:r w:rsidR="000E5A41">
        <w:t xml:space="preserve"> </w:t>
      </w:r>
      <w:r w:rsidR="00167A57">
        <w:t>c</w:t>
      </w:r>
      <w:r w:rsidR="000E5A41">
        <w:t xml:space="preserve">onsidering LO </w:t>
      </w:r>
      <w:r w:rsidR="00167A57">
        <w:t>s</w:t>
      </w:r>
      <w:r w:rsidR="000E5A41">
        <w:t>uppression</w:t>
      </w:r>
    </w:p>
    <w:p w14:paraId="3EF5F544" w14:textId="78DCD9D6" w:rsidR="00FE0D60" w:rsidRPr="00FE0D60" w:rsidRDefault="00FE0D60" w:rsidP="00FE0D60">
      <w:r>
        <w:t>Below, MPR results are shown using removed LO case as a reference result. MPR results with finite LO suppression are then compared against this reference. Thus, we are able to see how much of LO suppression is necessary in order to reasonably approximate the reference scenario with different gap widths and in-gap emission limits.</w:t>
      </w:r>
    </w:p>
    <w:p w14:paraId="25C9D002" w14:textId="4B653259" w:rsidR="00474912" w:rsidRDefault="00EF1DB5" w:rsidP="00EF1DB5">
      <w:pPr>
        <w:pStyle w:val="Heading2"/>
      </w:pPr>
      <w:bookmarkStart w:id="1" w:name="_Hlk78562048"/>
      <w:r>
        <w:t>3.1</w:t>
      </w:r>
      <w:r>
        <w:tab/>
      </w:r>
      <w:r w:rsidR="004932B7">
        <w:t>Symmetric</w:t>
      </w:r>
      <w:r w:rsidR="004C735B">
        <w:t xml:space="preserve"> 20+20 </w:t>
      </w:r>
      <w:r>
        <w:t xml:space="preserve">MHz CA </w:t>
      </w:r>
      <w:r w:rsidR="004C735B">
        <w:t xml:space="preserve">with </w:t>
      </w:r>
      <w:r w:rsidR="000E5A41">
        <w:t xml:space="preserve">-25 dBm/MHz </w:t>
      </w:r>
      <w:r w:rsidR="00167A57">
        <w:t>i</w:t>
      </w:r>
      <w:r w:rsidR="000E5A41">
        <w:t xml:space="preserve">n-gap </w:t>
      </w:r>
      <w:r w:rsidR="00167A57">
        <w:t>l</w:t>
      </w:r>
      <w:r w:rsidR="000E5A41">
        <w:t>imit</w:t>
      </w:r>
    </w:p>
    <w:bookmarkEnd w:id="1"/>
    <w:p w14:paraId="7863ECE2" w14:textId="5D853C3D" w:rsidR="00A76B87" w:rsidRDefault="00FE0D60" w:rsidP="00A76B87">
      <w:r>
        <w:t xml:space="preserve">In Figure 1, </w:t>
      </w:r>
      <w:r w:rsidR="00D42036">
        <w:t xml:space="preserve">the reference scenario with the LO </w:t>
      </w:r>
      <w:r>
        <w:t xml:space="preserve">excluded </w:t>
      </w:r>
      <w:r w:rsidR="00D42036">
        <w:t>is shown</w:t>
      </w:r>
      <w:r>
        <w:t xml:space="preserve"> first</w:t>
      </w:r>
      <w:r w:rsidR="00D42036">
        <w:t xml:space="preserve">. Then, in the middle, </w:t>
      </w:r>
      <w:r w:rsidR="00A76B87">
        <w:t xml:space="preserve">default 28 dB LO suppression is applied. In this case, as can be seen in Figure 1, </w:t>
      </w:r>
      <w:r w:rsidR="00D0209F">
        <w:t>MPR</w:t>
      </w:r>
      <w:r w:rsidR="00A76B87">
        <w:t xml:space="preserve"> for all simulated allocation equals, or exceeds, 20 dB (blue dots at </w:t>
      </w:r>
      <w:r w:rsidR="00D42036">
        <w:t xml:space="preserve">the very </w:t>
      </w:r>
      <w:r w:rsidR="00A76B87">
        <w:t>top</w:t>
      </w:r>
      <w:r w:rsidR="00D42036">
        <w:t xml:space="preserve"> of the figure</w:t>
      </w:r>
      <w:r w:rsidR="00A76B87">
        <w:t xml:space="preserve">). Finally, when </w:t>
      </w:r>
      <w:r w:rsidR="00D42036">
        <w:t>4</w:t>
      </w:r>
      <w:r w:rsidR="00A76B87">
        <w:t>7 dB LO suppression is applied, it can be seen that the difference when compared to the reference scenario without LO become</w:t>
      </w:r>
      <w:r w:rsidR="00D42036">
        <w:t>s</w:t>
      </w:r>
      <w:r w:rsidR="00A76B87">
        <w:t xml:space="preserve"> small</w:t>
      </w:r>
      <w:r w:rsidR="00D42036">
        <w:t>, especially when considering the envelope of the back-off cloud.</w:t>
      </w:r>
    </w:p>
    <w:p w14:paraId="426C9126" w14:textId="12263610" w:rsidR="004932B7" w:rsidRDefault="007F768E" w:rsidP="004B691A">
      <w:r>
        <w:rPr>
          <w:noProof/>
        </w:rPr>
        <w:lastRenderedPageBreak/>
        <w:drawing>
          <wp:inline distT="0" distB="0" distL="0" distR="0" wp14:anchorId="5ACEBFFA" wp14:editId="0C9DC9FA">
            <wp:extent cx="1981200" cy="1485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81200" cy="1485900"/>
                    </a:xfrm>
                    <a:prstGeom prst="rect">
                      <a:avLst/>
                    </a:prstGeom>
                    <a:noFill/>
                    <a:ln>
                      <a:noFill/>
                    </a:ln>
                  </pic:spPr>
                </pic:pic>
              </a:graphicData>
            </a:graphic>
          </wp:inline>
        </w:drawing>
      </w:r>
      <w:r>
        <w:rPr>
          <w:noProof/>
        </w:rPr>
        <w:drawing>
          <wp:inline distT="0" distB="0" distL="0" distR="0" wp14:anchorId="1EBF4449" wp14:editId="30A7E530">
            <wp:extent cx="1981200" cy="1485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1200" cy="1485900"/>
                    </a:xfrm>
                    <a:prstGeom prst="rect">
                      <a:avLst/>
                    </a:prstGeom>
                    <a:noFill/>
                    <a:ln>
                      <a:noFill/>
                    </a:ln>
                  </pic:spPr>
                </pic:pic>
              </a:graphicData>
            </a:graphic>
          </wp:inline>
        </w:drawing>
      </w:r>
      <w:r>
        <w:rPr>
          <w:noProof/>
        </w:rPr>
        <w:drawing>
          <wp:inline distT="0" distB="0" distL="0" distR="0" wp14:anchorId="1A72C3C9" wp14:editId="4B9AF141">
            <wp:extent cx="1981200" cy="1485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1200" cy="1485900"/>
                    </a:xfrm>
                    <a:prstGeom prst="rect">
                      <a:avLst/>
                    </a:prstGeom>
                    <a:noFill/>
                    <a:ln>
                      <a:noFill/>
                    </a:ln>
                  </pic:spPr>
                </pic:pic>
              </a:graphicData>
            </a:graphic>
          </wp:inline>
        </w:drawing>
      </w:r>
    </w:p>
    <w:p w14:paraId="555E72FE" w14:textId="6A32B46B" w:rsidR="00E05D69" w:rsidRDefault="00E05D69" w:rsidP="004932B7">
      <w:pPr>
        <w:jc w:val="center"/>
      </w:pPr>
      <w:r>
        <w:t>Figure 1. Simulated back</w:t>
      </w:r>
      <w:r w:rsidR="00675C7C">
        <w:t>-</w:t>
      </w:r>
      <w:r>
        <w:t xml:space="preserve">off for 20+20 MHz CA with </w:t>
      </w:r>
      <w:r w:rsidR="00C46232">
        <w:t>5</w:t>
      </w:r>
      <w:r>
        <w:t xml:space="preserve">0 MHz </w:t>
      </w:r>
      <w:r w:rsidR="00C46232">
        <w:t>gap and -25 dBm/MHz in-</w:t>
      </w:r>
      <w:r>
        <w:t xml:space="preserve">gap </w:t>
      </w:r>
      <w:r w:rsidR="00C46232">
        <w:t xml:space="preserve">SEM </w:t>
      </w:r>
      <w:r>
        <w:t>as a function of the allocation bandwidth</w:t>
      </w:r>
      <w:r w:rsidR="00283A81">
        <w:t>,</w:t>
      </w:r>
      <w:r>
        <w:t xml:space="preserve"> without LO </w:t>
      </w:r>
      <w:r w:rsidR="00283A81">
        <w:t xml:space="preserve">shown </w:t>
      </w:r>
      <w:r>
        <w:t xml:space="preserve">as </w:t>
      </w:r>
      <w:r w:rsidR="00283A81">
        <w:t xml:space="preserve">a </w:t>
      </w:r>
      <w:r>
        <w:t xml:space="preserve">reference scenario </w:t>
      </w:r>
      <w:r w:rsidR="00283A81">
        <w:t>(</w:t>
      </w:r>
      <w:r w:rsidR="00C46232">
        <w:t>on the left</w:t>
      </w:r>
      <w:r w:rsidR="00283A81">
        <w:t>, the black dots in all figures)</w:t>
      </w:r>
      <w:r w:rsidR="00C46232">
        <w:t xml:space="preserve"> </w:t>
      </w:r>
      <w:r>
        <w:t xml:space="preserve">and </w:t>
      </w:r>
      <w:r w:rsidR="00C46232">
        <w:t>28 d</w:t>
      </w:r>
      <w:r w:rsidR="00283A81">
        <w:t>B (in the middle) and 47 dB (on the right)</w:t>
      </w:r>
      <w:r>
        <w:t xml:space="preserve"> LO suppression</w:t>
      </w:r>
      <w:r w:rsidR="00283A81">
        <w:t>s</w:t>
      </w:r>
      <w:r>
        <w:t xml:space="preserve"> </w:t>
      </w:r>
      <w:r w:rsidR="00283A81">
        <w:t xml:space="preserve">shown as </w:t>
      </w:r>
      <w:r>
        <w:t>the blue dots</w:t>
      </w:r>
      <w:r w:rsidR="00675C7C">
        <w:t>.</w:t>
      </w:r>
    </w:p>
    <w:p w14:paraId="5FB6FF9C" w14:textId="77777777" w:rsidR="004B691A" w:rsidRDefault="004B691A" w:rsidP="004932B7">
      <w:pPr>
        <w:jc w:val="center"/>
      </w:pPr>
    </w:p>
    <w:p w14:paraId="60C375E8" w14:textId="174267B9" w:rsidR="00675C7C" w:rsidRDefault="00675C7C" w:rsidP="00675C7C">
      <w:pPr>
        <w:rPr>
          <w:b/>
          <w:bCs/>
        </w:rPr>
      </w:pPr>
      <w:r w:rsidRPr="00675C7C">
        <w:rPr>
          <w:b/>
          <w:bCs/>
        </w:rPr>
        <w:t xml:space="preserve">Observation 1: </w:t>
      </w:r>
      <w:r w:rsidR="00D42036">
        <w:rPr>
          <w:b/>
          <w:bCs/>
        </w:rPr>
        <w:t>When considering -25 dBm/MHz in-gap SEM, 47</w:t>
      </w:r>
      <w:r>
        <w:rPr>
          <w:b/>
          <w:bCs/>
        </w:rPr>
        <w:t xml:space="preserve"> dB LO suppression </w:t>
      </w:r>
      <w:r w:rsidR="00FE0D60">
        <w:rPr>
          <w:b/>
          <w:bCs/>
        </w:rPr>
        <w:t xml:space="preserve">is needed for </w:t>
      </w:r>
      <w:r>
        <w:rPr>
          <w:b/>
          <w:bCs/>
        </w:rPr>
        <w:t xml:space="preserve">the back-off envelope </w:t>
      </w:r>
      <w:r w:rsidR="00FE0D60">
        <w:rPr>
          <w:b/>
          <w:bCs/>
        </w:rPr>
        <w:t>to approach</w:t>
      </w:r>
      <w:r>
        <w:rPr>
          <w:b/>
          <w:bCs/>
        </w:rPr>
        <w:t xml:space="preserve"> the envelope of the reference scenario where LO is excluded.</w:t>
      </w:r>
    </w:p>
    <w:p w14:paraId="7B898F47" w14:textId="56E49189" w:rsidR="000E5A41" w:rsidRDefault="000E5A41" w:rsidP="000E5A41">
      <w:pPr>
        <w:pStyle w:val="Heading2"/>
      </w:pPr>
      <w:r>
        <w:t>3.1</w:t>
      </w:r>
      <w:r>
        <w:tab/>
        <w:t xml:space="preserve">Symmetric 20+20 MHz CA with -30 dBm/MHz </w:t>
      </w:r>
      <w:r w:rsidR="00167A57">
        <w:t>i</w:t>
      </w:r>
      <w:r>
        <w:t xml:space="preserve">n-gap </w:t>
      </w:r>
      <w:r w:rsidR="00167A57">
        <w:t>l</w:t>
      </w:r>
      <w:r>
        <w:t>imit</w:t>
      </w:r>
    </w:p>
    <w:p w14:paraId="5BD0A580" w14:textId="028C405F" w:rsidR="004B691A" w:rsidRPr="00D42036" w:rsidRDefault="00D42036" w:rsidP="00675C7C">
      <w:r>
        <w:t>When considering the -30 dBm/MHz in-gap spurious emission limit, the back-off results are shown in Figure 2. Similarly, the reference scenario with the LO</w:t>
      </w:r>
      <w:r w:rsidR="00C46232">
        <w:t xml:space="preserve"> excluded</w:t>
      </w:r>
      <w:r>
        <w:t xml:space="preserve"> is shown first. Then, in the middle, default 28 dB LO suppression is applied again and MPR for all simulated allocation equals, or exceeds, 20 dB. With this emission limit, 52 dB LO suppression is needed in order to push needed back-off close to the reference scenario without the LO.</w:t>
      </w:r>
    </w:p>
    <w:p w14:paraId="603808DF" w14:textId="17D0B1AE" w:rsidR="004B691A" w:rsidRDefault="007F768E" w:rsidP="004B691A">
      <w:pPr>
        <w:jc w:val="center"/>
        <w:rPr>
          <w:b/>
          <w:bCs/>
        </w:rPr>
      </w:pPr>
      <w:r>
        <w:rPr>
          <w:b/>
          <w:bCs/>
          <w:noProof/>
        </w:rPr>
        <w:drawing>
          <wp:inline distT="0" distB="0" distL="0" distR="0" wp14:anchorId="6BA1B0C9" wp14:editId="6E8A1385">
            <wp:extent cx="1981200" cy="148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1200" cy="1485900"/>
                    </a:xfrm>
                    <a:prstGeom prst="rect">
                      <a:avLst/>
                    </a:prstGeom>
                    <a:noFill/>
                    <a:ln>
                      <a:noFill/>
                    </a:ln>
                  </pic:spPr>
                </pic:pic>
              </a:graphicData>
            </a:graphic>
          </wp:inline>
        </w:drawing>
      </w:r>
      <w:r>
        <w:rPr>
          <w:b/>
          <w:bCs/>
          <w:noProof/>
        </w:rPr>
        <w:drawing>
          <wp:inline distT="0" distB="0" distL="0" distR="0" wp14:anchorId="4731A67B" wp14:editId="7C19A862">
            <wp:extent cx="1981200" cy="14859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1200" cy="1485900"/>
                    </a:xfrm>
                    <a:prstGeom prst="rect">
                      <a:avLst/>
                    </a:prstGeom>
                    <a:noFill/>
                    <a:ln>
                      <a:noFill/>
                    </a:ln>
                  </pic:spPr>
                </pic:pic>
              </a:graphicData>
            </a:graphic>
          </wp:inline>
        </w:drawing>
      </w:r>
      <w:r>
        <w:rPr>
          <w:b/>
          <w:bCs/>
          <w:noProof/>
        </w:rPr>
        <w:drawing>
          <wp:inline distT="0" distB="0" distL="0" distR="0" wp14:anchorId="1136FC3D" wp14:editId="2F778908">
            <wp:extent cx="1981200" cy="148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0" cy="1485900"/>
                    </a:xfrm>
                    <a:prstGeom prst="rect">
                      <a:avLst/>
                    </a:prstGeom>
                    <a:noFill/>
                    <a:ln>
                      <a:noFill/>
                    </a:ln>
                  </pic:spPr>
                </pic:pic>
              </a:graphicData>
            </a:graphic>
          </wp:inline>
        </w:drawing>
      </w:r>
    </w:p>
    <w:p w14:paraId="065F81CE" w14:textId="4F2B3C9F" w:rsidR="00283A81" w:rsidRDefault="00283A81" w:rsidP="00283A81">
      <w:pPr>
        <w:jc w:val="center"/>
      </w:pPr>
      <w:r w:rsidRPr="00283A81">
        <w:t xml:space="preserve">Figure 2. Simulated back-off for 20+20 MHz CA with </w:t>
      </w:r>
      <w:r>
        <w:t>6</w:t>
      </w:r>
      <w:r w:rsidRPr="00283A81">
        <w:t xml:space="preserve">0 MHz gap and </w:t>
      </w:r>
      <w:r>
        <w:t xml:space="preserve">general </w:t>
      </w:r>
      <w:r w:rsidRPr="00283A81">
        <w:t>-</w:t>
      </w:r>
      <w:r>
        <w:t>30</w:t>
      </w:r>
      <w:r w:rsidRPr="00283A81">
        <w:t xml:space="preserve"> dBm/MHz in-gap </w:t>
      </w:r>
      <w:r>
        <w:t>spurious limit</w:t>
      </w:r>
      <w:r w:rsidRPr="00283A81">
        <w:t xml:space="preserve"> as a function of the allocation bandwidth</w:t>
      </w:r>
      <w:r>
        <w:t>,</w:t>
      </w:r>
      <w:r w:rsidRPr="00283A81">
        <w:t xml:space="preserve"> without LO shown as reference scenario (on the left</w:t>
      </w:r>
      <w:r>
        <w:t>, the</w:t>
      </w:r>
      <w:r w:rsidRPr="00283A81">
        <w:t xml:space="preserve"> the black dots</w:t>
      </w:r>
      <w:r>
        <w:t xml:space="preserve"> in all figures</w:t>
      </w:r>
      <w:r w:rsidRPr="00283A81">
        <w:t>) and 28 dB (in the middle)</w:t>
      </w:r>
      <w:r>
        <w:t xml:space="preserve"> and 52 dB (on the right) LO suppressions shown as the blue dots.</w:t>
      </w:r>
    </w:p>
    <w:p w14:paraId="47A54719" w14:textId="19036C2B" w:rsidR="00283A81" w:rsidRPr="000A1655" w:rsidRDefault="00283A81" w:rsidP="00283A81"/>
    <w:p w14:paraId="61C8C8FA" w14:textId="37B44316" w:rsidR="00D42036" w:rsidRDefault="00D42036" w:rsidP="00D42036">
      <w:pPr>
        <w:rPr>
          <w:b/>
          <w:bCs/>
        </w:rPr>
      </w:pPr>
      <w:r w:rsidRPr="00675C7C">
        <w:rPr>
          <w:b/>
          <w:bCs/>
        </w:rPr>
        <w:t xml:space="preserve">Observation </w:t>
      </w:r>
      <w:r>
        <w:rPr>
          <w:b/>
          <w:bCs/>
        </w:rPr>
        <w:t>2</w:t>
      </w:r>
      <w:r w:rsidRPr="00675C7C">
        <w:rPr>
          <w:b/>
          <w:bCs/>
        </w:rPr>
        <w:t xml:space="preserve">: </w:t>
      </w:r>
      <w:r>
        <w:rPr>
          <w:b/>
          <w:bCs/>
        </w:rPr>
        <w:t xml:space="preserve">When considering </w:t>
      </w:r>
      <w:r w:rsidR="00FE0D60">
        <w:rPr>
          <w:b/>
          <w:bCs/>
        </w:rPr>
        <w:t xml:space="preserve">general </w:t>
      </w:r>
      <w:r>
        <w:rPr>
          <w:b/>
          <w:bCs/>
        </w:rPr>
        <w:t xml:space="preserve">-30 dBm/MHz in-gap </w:t>
      </w:r>
      <w:r w:rsidR="00FE0D60">
        <w:rPr>
          <w:b/>
          <w:bCs/>
        </w:rPr>
        <w:t>spurious limit</w:t>
      </w:r>
      <w:r>
        <w:rPr>
          <w:b/>
          <w:bCs/>
        </w:rPr>
        <w:t xml:space="preserve">, </w:t>
      </w:r>
      <w:r w:rsidR="00FE0D60">
        <w:rPr>
          <w:b/>
          <w:bCs/>
        </w:rPr>
        <w:t>52</w:t>
      </w:r>
      <w:r>
        <w:rPr>
          <w:b/>
          <w:bCs/>
        </w:rPr>
        <w:t xml:space="preserve"> dB LO </w:t>
      </w:r>
      <w:r w:rsidR="00FE0D60">
        <w:rPr>
          <w:b/>
          <w:bCs/>
        </w:rPr>
        <w:t>suppression is needed for the back-off envelope to approach the envelope of the reference scenario where LO is excluded</w:t>
      </w:r>
      <w:r>
        <w:rPr>
          <w:b/>
          <w:bCs/>
        </w:rPr>
        <w:t>.</w:t>
      </w:r>
    </w:p>
    <w:p w14:paraId="18DEE870" w14:textId="77777777" w:rsidR="004932B7" w:rsidRDefault="004932B7" w:rsidP="002C5FC3"/>
    <w:p w14:paraId="4CFC5422" w14:textId="010499E3" w:rsidR="000E5A41" w:rsidRDefault="000E5A41" w:rsidP="000E5A41">
      <w:pPr>
        <w:pStyle w:val="Heading1"/>
      </w:pPr>
      <w:r>
        <w:t>4</w:t>
      </w:r>
      <w:r>
        <w:tab/>
        <w:t xml:space="preserve">Back-off </w:t>
      </w:r>
      <w:r w:rsidR="00167A57">
        <w:t>r</w:t>
      </w:r>
      <w:r>
        <w:t xml:space="preserve">esults </w:t>
      </w:r>
      <w:r w:rsidR="00167A57">
        <w:t>c</w:t>
      </w:r>
      <w:r>
        <w:t xml:space="preserve">onsidering IQ </w:t>
      </w:r>
      <w:r w:rsidR="00167A57">
        <w:t>i</w:t>
      </w:r>
      <w:r>
        <w:t xml:space="preserve">mage </w:t>
      </w:r>
      <w:r w:rsidR="00167A57">
        <w:t>s</w:t>
      </w:r>
      <w:r>
        <w:t>uppression</w:t>
      </w:r>
    </w:p>
    <w:p w14:paraId="679D6874" w14:textId="61F6A7ED" w:rsidR="00FE0D60" w:rsidRDefault="00FE0D60" w:rsidP="00FE0D60">
      <w:r>
        <w:t>In this section the LO is excluded in the simulated signal in order to highlight additional IQ effects in asymmetric CA scenarios. Above reported LO effects are expected to apply also in the asymmetric CA.</w:t>
      </w:r>
    </w:p>
    <w:p w14:paraId="33DD874E" w14:textId="3FC84F0C" w:rsidR="00A76B87" w:rsidRDefault="000E5A41" w:rsidP="00A76B87">
      <w:pPr>
        <w:pStyle w:val="Heading2"/>
      </w:pPr>
      <w:r>
        <w:t>4</w:t>
      </w:r>
      <w:r w:rsidR="00A76B87">
        <w:t>.</w:t>
      </w:r>
      <w:r>
        <w:t>1</w:t>
      </w:r>
      <w:r w:rsidR="00A76B87">
        <w:tab/>
        <w:t xml:space="preserve">Asymmetric </w:t>
      </w:r>
      <w:r>
        <w:t>1</w:t>
      </w:r>
      <w:r w:rsidR="00A76B87">
        <w:t xml:space="preserve">0+40 MHz CA with </w:t>
      </w:r>
      <w:r>
        <w:t xml:space="preserve">-25 dBm/MHz </w:t>
      </w:r>
      <w:r w:rsidR="00167A57">
        <w:t>i</w:t>
      </w:r>
      <w:r>
        <w:t>n-gap limit</w:t>
      </w:r>
    </w:p>
    <w:p w14:paraId="13941435" w14:textId="3F060B64" w:rsidR="00FE0D60" w:rsidRDefault="00FE0D60" w:rsidP="00FE0D60">
      <w:r>
        <w:t>In Figure 3, the reference scenario with the IQ image excluded is shown first. Then, in the middle, default 28 dB IQ suppression is applied. In this case, as can be seen in Figure 3, MPR for many simulated allocation equals, or exceeds, 20 dB (blue dots at the very top of the figure) and for most of the allocations clearly exceeds the levels of the reference scenario without the IQ image.. Finally, when 36 dB IQ suppression is applied, it can be seen that the necessary back-off needed approaches the reference scenario with only small differences.</w:t>
      </w:r>
    </w:p>
    <w:p w14:paraId="145EEC55" w14:textId="7954FE0F" w:rsidR="00EB4DB2" w:rsidRDefault="007F768E" w:rsidP="00FE0D60">
      <w:r>
        <w:rPr>
          <w:noProof/>
          <w:lang w:val="fi-FI"/>
        </w:rPr>
        <w:lastRenderedPageBreak/>
        <w:drawing>
          <wp:inline distT="0" distB="0" distL="0" distR="0" wp14:anchorId="3A80C0BE" wp14:editId="26189731">
            <wp:extent cx="1981200" cy="14859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1200" cy="1485900"/>
                    </a:xfrm>
                    <a:prstGeom prst="rect">
                      <a:avLst/>
                    </a:prstGeom>
                    <a:noFill/>
                    <a:ln>
                      <a:noFill/>
                    </a:ln>
                  </pic:spPr>
                </pic:pic>
              </a:graphicData>
            </a:graphic>
          </wp:inline>
        </w:drawing>
      </w:r>
      <w:r>
        <w:rPr>
          <w:noProof/>
          <w:lang w:val="fi-FI"/>
        </w:rPr>
        <w:drawing>
          <wp:inline distT="0" distB="0" distL="0" distR="0" wp14:anchorId="28D85A6C" wp14:editId="22DF2C60">
            <wp:extent cx="1981200" cy="14859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1200" cy="1485900"/>
                    </a:xfrm>
                    <a:prstGeom prst="rect">
                      <a:avLst/>
                    </a:prstGeom>
                    <a:noFill/>
                    <a:ln>
                      <a:noFill/>
                    </a:ln>
                  </pic:spPr>
                </pic:pic>
              </a:graphicData>
            </a:graphic>
          </wp:inline>
        </w:drawing>
      </w:r>
      <w:r>
        <w:rPr>
          <w:noProof/>
        </w:rPr>
        <w:drawing>
          <wp:inline distT="0" distB="0" distL="0" distR="0" wp14:anchorId="6388577F" wp14:editId="22538654">
            <wp:extent cx="1981200" cy="14859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1200" cy="1485900"/>
                    </a:xfrm>
                    <a:prstGeom prst="rect">
                      <a:avLst/>
                    </a:prstGeom>
                    <a:noFill/>
                    <a:ln>
                      <a:noFill/>
                    </a:ln>
                  </pic:spPr>
                </pic:pic>
              </a:graphicData>
            </a:graphic>
          </wp:inline>
        </w:drawing>
      </w:r>
    </w:p>
    <w:p w14:paraId="433D2547" w14:textId="75DBB31D" w:rsidR="00283A81" w:rsidRDefault="00FE0D60" w:rsidP="00283A81">
      <w:pPr>
        <w:jc w:val="center"/>
      </w:pPr>
      <w:r>
        <w:t>Figure 3.</w:t>
      </w:r>
      <w:r w:rsidR="00283A81" w:rsidRPr="00283A81">
        <w:t xml:space="preserve"> </w:t>
      </w:r>
      <w:r w:rsidR="00283A81">
        <w:t>Simulated back-off for 10+40 MHz CA with 60 MHz gap and -25 dBm/MHz in-gap SEM as a function of the allocation bandwidth, without IQ image shown as a reference scenario (on the left, the black dots in all figures) and 28 dB (in the middle) and 36 dB (on the right) IQ image suppressions shown as the blue dots.</w:t>
      </w:r>
    </w:p>
    <w:p w14:paraId="23E21340" w14:textId="1BCBF8C0" w:rsidR="00FE0D60" w:rsidRDefault="00FE0D60" w:rsidP="00283A81"/>
    <w:p w14:paraId="74C7CE6F" w14:textId="4ED0B4C8" w:rsidR="00FE0D60" w:rsidRDefault="00FE0D60" w:rsidP="00FE0D60">
      <w:pPr>
        <w:rPr>
          <w:b/>
          <w:bCs/>
        </w:rPr>
      </w:pPr>
      <w:r w:rsidRPr="00675C7C">
        <w:rPr>
          <w:b/>
          <w:bCs/>
        </w:rPr>
        <w:t xml:space="preserve">Observation </w:t>
      </w:r>
      <w:r>
        <w:rPr>
          <w:b/>
          <w:bCs/>
        </w:rPr>
        <w:t>3</w:t>
      </w:r>
      <w:r w:rsidRPr="00675C7C">
        <w:rPr>
          <w:b/>
          <w:bCs/>
        </w:rPr>
        <w:t xml:space="preserve">: </w:t>
      </w:r>
      <w:r>
        <w:rPr>
          <w:b/>
          <w:bCs/>
        </w:rPr>
        <w:t xml:space="preserve">When considering -25 dBm/MHz in-gap SEM, 36 dB IQ image suppression is needed for the back-off envelope to approach the envelope of the reference scenario where </w:t>
      </w:r>
      <w:r w:rsidR="00C46232">
        <w:rPr>
          <w:b/>
          <w:bCs/>
        </w:rPr>
        <w:t>IQ image</w:t>
      </w:r>
      <w:r>
        <w:rPr>
          <w:b/>
          <w:bCs/>
        </w:rPr>
        <w:t xml:space="preserve"> is excluded.</w:t>
      </w:r>
    </w:p>
    <w:p w14:paraId="713E0EB9" w14:textId="77777777" w:rsidR="00FE0D60" w:rsidRPr="00FE0D60" w:rsidRDefault="00FE0D60" w:rsidP="00C46232"/>
    <w:p w14:paraId="76E2B1BB" w14:textId="03E47842" w:rsidR="000E5A41" w:rsidRDefault="000E5A41" w:rsidP="000E5A41">
      <w:pPr>
        <w:pStyle w:val="Heading2"/>
      </w:pPr>
      <w:r>
        <w:t>4.2</w:t>
      </w:r>
      <w:r>
        <w:tab/>
        <w:t>Asymmetric 10+40 MHz CA with -</w:t>
      </w:r>
      <w:r w:rsidR="005D5D5E">
        <w:t>30</w:t>
      </w:r>
      <w:r>
        <w:t xml:space="preserve"> dBm/MHz </w:t>
      </w:r>
      <w:r w:rsidR="00167A57">
        <w:t>i</w:t>
      </w:r>
      <w:r>
        <w:t>n-gap limit</w:t>
      </w:r>
    </w:p>
    <w:p w14:paraId="20859739" w14:textId="12FE930A" w:rsidR="00C46232" w:rsidRPr="00D42036" w:rsidRDefault="00C46232" w:rsidP="00C46232">
      <w:r>
        <w:t>When considering the -30 dBm/MHz in-gap spurious emission limit, the back-off results are shown in Figure 4. Similarly, the reference scenario with the IQ image excluded is shown first. Then, in the middle, default 28 dB IQ image suppression is applied and high back-</w:t>
      </w:r>
      <w:r w:rsidR="005A5C40">
        <w:t xml:space="preserve">off </w:t>
      </w:r>
      <w:r>
        <w:t>results are observed, approaching 20 dB for many of the allocations. With this emission limit, 42 dB IQ image suppression is needed in order to push needed back-off close to the reference scenario without the IQ image.</w:t>
      </w:r>
    </w:p>
    <w:p w14:paraId="6D644130" w14:textId="134C6A15" w:rsidR="00675C7C" w:rsidRDefault="007F768E" w:rsidP="00FE0D60">
      <w:pPr>
        <w:jc w:val="center"/>
      </w:pPr>
      <w:r>
        <w:rPr>
          <w:noProof/>
        </w:rPr>
        <w:drawing>
          <wp:inline distT="0" distB="0" distL="0" distR="0" wp14:anchorId="6B37A62E" wp14:editId="0AE112D0">
            <wp:extent cx="1981200" cy="14859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81200" cy="1485900"/>
                    </a:xfrm>
                    <a:prstGeom prst="rect">
                      <a:avLst/>
                    </a:prstGeom>
                    <a:noFill/>
                    <a:ln>
                      <a:noFill/>
                    </a:ln>
                  </pic:spPr>
                </pic:pic>
              </a:graphicData>
            </a:graphic>
          </wp:inline>
        </w:drawing>
      </w:r>
      <w:r>
        <w:rPr>
          <w:noProof/>
        </w:rPr>
        <w:drawing>
          <wp:inline distT="0" distB="0" distL="0" distR="0" wp14:anchorId="2508BDF5" wp14:editId="56A75311">
            <wp:extent cx="1981200" cy="14859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81200" cy="1485900"/>
                    </a:xfrm>
                    <a:prstGeom prst="rect">
                      <a:avLst/>
                    </a:prstGeom>
                    <a:noFill/>
                    <a:ln>
                      <a:noFill/>
                    </a:ln>
                  </pic:spPr>
                </pic:pic>
              </a:graphicData>
            </a:graphic>
          </wp:inline>
        </w:drawing>
      </w:r>
      <w:r>
        <w:rPr>
          <w:noProof/>
        </w:rPr>
        <w:drawing>
          <wp:inline distT="0" distB="0" distL="0" distR="0" wp14:anchorId="60A39742" wp14:editId="1B5B294F">
            <wp:extent cx="1981200" cy="14859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81200" cy="1485900"/>
                    </a:xfrm>
                    <a:prstGeom prst="rect">
                      <a:avLst/>
                    </a:prstGeom>
                    <a:noFill/>
                    <a:ln>
                      <a:noFill/>
                    </a:ln>
                  </pic:spPr>
                </pic:pic>
              </a:graphicData>
            </a:graphic>
          </wp:inline>
        </w:drawing>
      </w:r>
    </w:p>
    <w:p w14:paraId="75759BF5" w14:textId="3F937501" w:rsidR="00FE0D60" w:rsidRDefault="00FE0D60" w:rsidP="00FE0D60">
      <w:pPr>
        <w:jc w:val="center"/>
      </w:pPr>
      <w:r>
        <w:t xml:space="preserve">Figure 4. </w:t>
      </w:r>
      <w:r w:rsidR="00283A81">
        <w:t xml:space="preserve">Simulated back-off for 10+40 MHz CA with </w:t>
      </w:r>
      <w:r w:rsidR="005A5C40">
        <w:t>7</w:t>
      </w:r>
      <w:r w:rsidR="00283A81">
        <w:t xml:space="preserve">0 MHz gap and </w:t>
      </w:r>
      <w:r w:rsidR="005A5C40">
        <w:t xml:space="preserve">general </w:t>
      </w:r>
      <w:r w:rsidR="00283A81">
        <w:t>-</w:t>
      </w:r>
      <w:r w:rsidR="005A5C40">
        <w:t>30</w:t>
      </w:r>
      <w:r w:rsidR="00283A81">
        <w:t xml:space="preserve"> dBm/MHz in-gap </w:t>
      </w:r>
      <w:r w:rsidR="005A5C40">
        <w:t>spurious limit</w:t>
      </w:r>
      <w:r w:rsidR="00283A81">
        <w:t xml:space="preserve"> as a function of the allocation bandwidth, without IQ image shown as a reference scenario (on the left, the black dots in all figures) and 28 dB (in the middle) and </w:t>
      </w:r>
      <w:r w:rsidR="005A5C40">
        <w:t>42</w:t>
      </w:r>
      <w:r w:rsidR="00283A81">
        <w:t xml:space="preserve"> dB (on the right) IQ image suppressions shown as the blue dots.</w:t>
      </w:r>
    </w:p>
    <w:p w14:paraId="6EF4F75D" w14:textId="5C4E14FB" w:rsidR="00C46232" w:rsidRDefault="00C46232" w:rsidP="00C46232">
      <w:pPr>
        <w:rPr>
          <w:b/>
          <w:bCs/>
        </w:rPr>
      </w:pPr>
      <w:r w:rsidRPr="00675C7C">
        <w:rPr>
          <w:b/>
          <w:bCs/>
        </w:rPr>
        <w:t xml:space="preserve">Observation </w:t>
      </w:r>
      <w:r>
        <w:rPr>
          <w:b/>
          <w:bCs/>
        </w:rPr>
        <w:t>4</w:t>
      </w:r>
      <w:r w:rsidRPr="00675C7C">
        <w:rPr>
          <w:b/>
          <w:bCs/>
        </w:rPr>
        <w:t xml:space="preserve">: </w:t>
      </w:r>
      <w:r>
        <w:rPr>
          <w:b/>
          <w:bCs/>
        </w:rPr>
        <w:t>When considering general -30 dBm/MHz in-gap spurious limit, 42 dB IQ image suppression is needed for the back-off envelope to approach the envelope of the reference scenario where IQ image is excluded.</w:t>
      </w:r>
    </w:p>
    <w:p w14:paraId="524CA4BF" w14:textId="77777777" w:rsidR="00C46232" w:rsidRDefault="00C46232" w:rsidP="00675C7C">
      <w:pPr>
        <w:rPr>
          <w:b/>
          <w:bCs/>
        </w:rPr>
      </w:pPr>
    </w:p>
    <w:p w14:paraId="7E7F5300" w14:textId="242A3804" w:rsidR="001C1819" w:rsidRDefault="001C1819" w:rsidP="001C1819">
      <w:pPr>
        <w:pStyle w:val="Heading1"/>
      </w:pPr>
      <w:r>
        <w:t>5</w:t>
      </w:r>
      <w:r>
        <w:tab/>
        <w:t>Summary</w:t>
      </w:r>
    </w:p>
    <w:p w14:paraId="02B3C3CE" w14:textId="7C23BBBB" w:rsidR="001C1819" w:rsidRDefault="00A9061F" w:rsidP="001C1819">
      <w:r>
        <w:t xml:space="preserve">Herein, the </w:t>
      </w:r>
      <w:r w:rsidR="007D229F">
        <w:t>LO and IQ image suppression results in case of different in-gap emission limits are summarized in Table 1.</w:t>
      </w:r>
    </w:p>
    <w:p w14:paraId="42892CB2" w14:textId="7AB98D64" w:rsidR="001C1819" w:rsidRPr="001C1819" w:rsidRDefault="00A9061F" w:rsidP="00A9061F">
      <w:pPr>
        <w:jc w:val="center"/>
      </w:pPr>
      <w:r>
        <w:t xml:space="preserve">Table 1. Summary of LO and IQ image suppression </w:t>
      </w:r>
      <w:r w:rsidR="00DE0A15">
        <w:t xml:space="preserve">requirements </w:t>
      </w:r>
      <w:r>
        <w:t>in case of different in-gap emission limits.</w:t>
      </w:r>
    </w:p>
    <w:tbl>
      <w:tblPr>
        <w:tblStyle w:val="TableGrid"/>
        <w:tblW w:w="0" w:type="auto"/>
        <w:jc w:val="center"/>
        <w:tblLook w:val="04A0" w:firstRow="1" w:lastRow="0" w:firstColumn="1" w:lastColumn="0" w:noHBand="0" w:noVBand="1"/>
      </w:tblPr>
      <w:tblGrid>
        <w:gridCol w:w="3209"/>
        <w:gridCol w:w="2155"/>
        <w:gridCol w:w="2155"/>
      </w:tblGrid>
      <w:tr w:rsidR="001C1819" w:rsidRPr="00A9061F" w14:paraId="3D4A35D2" w14:textId="77777777" w:rsidTr="00A9061F">
        <w:trPr>
          <w:jc w:val="center"/>
        </w:trPr>
        <w:tc>
          <w:tcPr>
            <w:tcW w:w="3209" w:type="dxa"/>
            <w:vAlign w:val="center"/>
          </w:tcPr>
          <w:p w14:paraId="7E82AB9E" w14:textId="1FADCEE8" w:rsidR="001C1819" w:rsidRPr="00A9061F" w:rsidRDefault="001C1819" w:rsidP="00764E0B">
            <w:pPr>
              <w:spacing w:before="40" w:after="40"/>
              <w:rPr>
                <w:b/>
                <w:bCs/>
              </w:rPr>
            </w:pPr>
            <w:r w:rsidRPr="00A9061F">
              <w:rPr>
                <w:b/>
                <w:bCs/>
              </w:rPr>
              <w:t xml:space="preserve">In-gap </w:t>
            </w:r>
            <w:r w:rsidR="00A9061F">
              <w:rPr>
                <w:b/>
                <w:bCs/>
              </w:rPr>
              <w:t>e</w:t>
            </w:r>
            <w:r w:rsidRPr="00A9061F">
              <w:rPr>
                <w:b/>
                <w:bCs/>
              </w:rPr>
              <w:t xml:space="preserve">mission </w:t>
            </w:r>
            <w:r w:rsidR="00764E0B">
              <w:rPr>
                <w:b/>
                <w:bCs/>
              </w:rPr>
              <w:t>l</w:t>
            </w:r>
            <w:r w:rsidRPr="00A9061F">
              <w:rPr>
                <w:b/>
                <w:bCs/>
              </w:rPr>
              <w:t>imit</w:t>
            </w:r>
          </w:p>
        </w:tc>
        <w:tc>
          <w:tcPr>
            <w:tcW w:w="2155" w:type="dxa"/>
            <w:vAlign w:val="center"/>
          </w:tcPr>
          <w:p w14:paraId="75FEBD76" w14:textId="77ABB5A0" w:rsidR="001C1819" w:rsidRPr="00A9061F" w:rsidRDefault="001C1819" w:rsidP="00764E0B">
            <w:pPr>
              <w:spacing w:before="40" w:after="40"/>
              <w:jc w:val="center"/>
              <w:rPr>
                <w:b/>
                <w:bCs/>
              </w:rPr>
            </w:pPr>
            <w:r w:rsidRPr="00A9061F">
              <w:rPr>
                <w:b/>
                <w:bCs/>
              </w:rPr>
              <w:t>LO suppression</w:t>
            </w:r>
            <w:r w:rsidR="00764E0B">
              <w:rPr>
                <w:b/>
                <w:bCs/>
              </w:rPr>
              <w:t xml:space="preserve"> requirement</w:t>
            </w:r>
          </w:p>
        </w:tc>
        <w:tc>
          <w:tcPr>
            <w:tcW w:w="2155" w:type="dxa"/>
            <w:vAlign w:val="center"/>
          </w:tcPr>
          <w:p w14:paraId="48B75BD1" w14:textId="1DC82258" w:rsidR="001C1819" w:rsidRPr="00A9061F" w:rsidRDefault="001C1819" w:rsidP="00764E0B">
            <w:pPr>
              <w:spacing w:before="40" w:after="40"/>
              <w:jc w:val="center"/>
              <w:rPr>
                <w:b/>
                <w:bCs/>
              </w:rPr>
            </w:pPr>
            <w:r w:rsidRPr="00A9061F">
              <w:rPr>
                <w:b/>
                <w:bCs/>
              </w:rPr>
              <w:t>IQ image suppression</w:t>
            </w:r>
            <w:r w:rsidR="00764E0B">
              <w:rPr>
                <w:b/>
                <w:bCs/>
              </w:rPr>
              <w:t xml:space="preserve"> requirement</w:t>
            </w:r>
          </w:p>
        </w:tc>
      </w:tr>
      <w:tr w:rsidR="001C1819" w14:paraId="6C9B9E5C" w14:textId="77777777" w:rsidTr="00A9061F">
        <w:trPr>
          <w:jc w:val="center"/>
        </w:trPr>
        <w:tc>
          <w:tcPr>
            <w:tcW w:w="3209" w:type="dxa"/>
            <w:vAlign w:val="center"/>
          </w:tcPr>
          <w:p w14:paraId="62FF8B69" w14:textId="3433F8B0" w:rsidR="001C1819" w:rsidRDefault="001C1819" w:rsidP="00764E0B">
            <w:pPr>
              <w:spacing w:before="40" w:after="40"/>
            </w:pPr>
            <w:r>
              <w:t>SEM -13 dBm/MHz</w:t>
            </w:r>
            <w:r w:rsidR="00A9061F">
              <w:t xml:space="preserve"> </w:t>
            </w:r>
            <w:r w:rsidR="00A9061F" w:rsidRPr="00E71B94">
              <w:t>[2]</w:t>
            </w:r>
          </w:p>
        </w:tc>
        <w:tc>
          <w:tcPr>
            <w:tcW w:w="2155" w:type="dxa"/>
            <w:vAlign w:val="center"/>
          </w:tcPr>
          <w:p w14:paraId="009417FC" w14:textId="12B75A39" w:rsidR="001C1819" w:rsidRDefault="001C1819" w:rsidP="00764E0B">
            <w:pPr>
              <w:spacing w:before="40" w:after="40"/>
              <w:jc w:val="center"/>
            </w:pPr>
            <w:r>
              <w:t>37 dB</w:t>
            </w:r>
          </w:p>
        </w:tc>
        <w:tc>
          <w:tcPr>
            <w:tcW w:w="2155" w:type="dxa"/>
            <w:vAlign w:val="center"/>
          </w:tcPr>
          <w:p w14:paraId="4C68D40C" w14:textId="55322750" w:rsidR="001C1819" w:rsidRDefault="001C1819" w:rsidP="00764E0B">
            <w:pPr>
              <w:spacing w:before="40" w:after="40"/>
              <w:jc w:val="center"/>
            </w:pPr>
            <w:r>
              <w:t>32 dB</w:t>
            </w:r>
          </w:p>
        </w:tc>
      </w:tr>
      <w:tr w:rsidR="001C1819" w14:paraId="646233F2" w14:textId="77777777" w:rsidTr="00A9061F">
        <w:trPr>
          <w:jc w:val="center"/>
        </w:trPr>
        <w:tc>
          <w:tcPr>
            <w:tcW w:w="3209" w:type="dxa"/>
            <w:vAlign w:val="center"/>
          </w:tcPr>
          <w:p w14:paraId="29171819" w14:textId="3A98FB3D" w:rsidR="001C1819" w:rsidRDefault="001C1819" w:rsidP="00764E0B">
            <w:pPr>
              <w:spacing w:before="40" w:after="40"/>
            </w:pPr>
            <w:r>
              <w:t>SEM -25 dBm/MHz</w:t>
            </w:r>
          </w:p>
        </w:tc>
        <w:tc>
          <w:tcPr>
            <w:tcW w:w="2155" w:type="dxa"/>
            <w:vAlign w:val="center"/>
          </w:tcPr>
          <w:p w14:paraId="7604477A" w14:textId="6266B477" w:rsidR="001C1819" w:rsidRDefault="001C1819" w:rsidP="00764E0B">
            <w:pPr>
              <w:spacing w:before="40" w:after="40"/>
              <w:jc w:val="center"/>
            </w:pPr>
            <w:r>
              <w:t>47 dB</w:t>
            </w:r>
          </w:p>
        </w:tc>
        <w:tc>
          <w:tcPr>
            <w:tcW w:w="2155" w:type="dxa"/>
            <w:vAlign w:val="center"/>
          </w:tcPr>
          <w:p w14:paraId="1D370FB4" w14:textId="6FFF16A9" w:rsidR="001C1819" w:rsidRDefault="001C1819" w:rsidP="00764E0B">
            <w:pPr>
              <w:spacing w:before="40" w:after="40"/>
              <w:jc w:val="center"/>
            </w:pPr>
            <w:r>
              <w:t>36 dB</w:t>
            </w:r>
          </w:p>
        </w:tc>
      </w:tr>
      <w:tr w:rsidR="001C1819" w14:paraId="3A641BD5" w14:textId="77777777" w:rsidTr="00A9061F">
        <w:trPr>
          <w:jc w:val="center"/>
        </w:trPr>
        <w:tc>
          <w:tcPr>
            <w:tcW w:w="3209" w:type="dxa"/>
            <w:vAlign w:val="center"/>
          </w:tcPr>
          <w:p w14:paraId="266FB6AA" w14:textId="6BC5E8C2" w:rsidR="001C1819" w:rsidRDefault="001C1819" w:rsidP="00764E0B">
            <w:pPr>
              <w:spacing w:before="40" w:after="40"/>
            </w:pPr>
            <w:r>
              <w:t>Spurious emissions -30 dBm/MHz</w:t>
            </w:r>
          </w:p>
        </w:tc>
        <w:tc>
          <w:tcPr>
            <w:tcW w:w="2155" w:type="dxa"/>
            <w:vAlign w:val="center"/>
          </w:tcPr>
          <w:p w14:paraId="26BF52E1" w14:textId="7641ED89" w:rsidR="001C1819" w:rsidRDefault="001C1819" w:rsidP="00764E0B">
            <w:pPr>
              <w:spacing w:before="40" w:after="40"/>
              <w:jc w:val="center"/>
            </w:pPr>
            <w:r>
              <w:t>52 dB</w:t>
            </w:r>
          </w:p>
        </w:tc>
        <w:tc>
          <w:tcPr>
            <w:tcW w:w="2155" w:type="dxa"/>
            <w:vAlign w:val="center"/>
          </w:tcPr>
          <w:p w14:paraId="14DB4148" w14:textId="649182D8" w:rsidR="001C1819" w:rsidRDefault="001C1819" w:rsidP="00764E0B">
            <w:pPr>
              <w:spacing w:before="40" w:after="40"/>
              <w:jc w:val="center"/>
            </w:pPr>
            <w:r>
              <w:t>42 dB</w:t>
            </w:r>
          </w:p>
        </w:tc>
      </w:tr>
    </w:tbl>
    <w:p w14:paraId="77C42B46" w14:textId="77777777" w:rsidR="00BE4B6D" w:rsidRPr="009954C8" w:rsidRDefault="0039349F" w:rsidP="00BE4B6D">
      <w:r>
        <w:lastRenderedPageBreak/>
        <w:t xml:space="preserve">Furthermore, </w:t>
      </w:r>
      <w:r w:rsidR="00BE4B6D" w:rsidRPr="009954C8">
        <w:t>PC2 1PA intra-band UL NC CA MPR when necessary LO and IQ image suppression requirements are met can be defined as</w:t>
      </w:r>
    </w:p>
    <w:p w14:paraId="3BBD07E1" w14:textId="77777777" w:rsidR="00BE4B6D" w:rsidRPr="00BE4B6D" w:rsidRDefault="00BE4B6D" w:rsidP="00BE4B6D">
      <w:pPr>
        <w:ind w:left="3124" w:firstLine="284"/>
      </w:pPr>
      <w:r w:rsidRPr="00BE4B6D">
        <w:t>14.5;</w:t>
      </w:r>
      <w:r w:rsidRPr="00BE4B6D">
        <w:tab/>
      </w:r>
      <w:r w:rsidRPr="00BE4B6D">
        <w:tab/>
      </w:r>
      <w:r w:rsidRPr="00BE4B6D">
        <w:tab/>
      </w:r>
      <w:r w:rsidRPr="00BE4B6D">
        <w:tab/>
      </w:r>
      <w:r w:rsidRPr="00BE4B6D">
        <w:tab/>
        <w:t>0 &lt;= B &lt;= 1.44</w:t>
      </w:r>
    </w:p>
    <w:p w14:paraId="5DE4087F" w14:textId="2037BD2A" w:rsidR="00BE4B6D" w:rsidRPr="00BE4B6D" w:rsidRDefault="00BE4B6D" w:rsidP="00BE4B6D">
      <w:pPr>
        <w:ind w:left="3124" w:firstLine="284"/>
      </w:pPr>
      <w:r w:rsidRPr="00BE4B6D">
        <w:t xml:space="preserve">15 - 0.361 </w:t>
      </w:r>
      <w:r w:rsidR="00184E49">
        <w:t>B</w:t>
      </w:r>
      <w:r w:rsidRPr="00BE4B6D">
        <w:t>;</w:t>
      </w:r>
      <w:r w:rsidRPr="00BE4B6D">
        <w:tab/>
      </w:r>
      <w:r w:rsidRPr="00BE4B6D">
        <w:tab/>
      </w:r>
      <w:r w:rsidRPr="00BE4B6D">
        <w:tab/>
        <w:t>1.44 &lt; B &lt;= 25</w:t>
      </w:r>
    </w:p>
    <w:p w14:paraId="1026CE1A" w14:textId="2ABF1E0B" w:rsidR="00BE4B6D" w:rsidRPr="00BE4B6D" w:rsidRDefault="00BE4B6D" w:rsidP="00BE4B6D">
      <w:pPr>
        <w:ind w:left="3124" w:firstLine="284"/>
      </w:pPr>
      <w:r w:rsidRPr="00BE4B6D">
        <w:t xml:space="preserve">6.45 - 0.0182 </w:t>
      </w:r>
      <w:r w:rsidR="00184E49">
        <w:t>B</w:t>
      </w:r>
      <w:r w:rsidRPr="00BE4B6D">
        <w:t>;</w:t>
      </w:r>
      <w:r w:rsidRPr="00BE4B6D">
        <w:tab/>
      </w:r>
      <w:r w:rsidRPr="00BE4B6D">
        <w:tab/>
        <w:t>25 &lt; B &lt;= BW</w:t>
      </w:r>
      <w:r w:rsidRPr="00BE4B6D">
        <w:rPr>
          <w:vertAlign w:val="subscript"/>
        </w:rPr>
        <w:t>agg</w:t>
      </w:r>
      <w:r>
        <w:t>,</w:t>
      </w:r>
    </w:p>
    <w:p w14:paraId="0F8B988B" w14:textId="3BBD6661" w:rsidR="00E71B94" w:rsidRDefault="00E71B94" w:rsidP="00BE4B6D">
      <w:r w:rsidRPr="00E71B94">
        <w:t xml:space="preserve">where B is the </w:t>
      </w:r>
      <w:r w:rsidR="00395A56">
        <w:t xml:space="preserve">combined </w:t>
      </w:r>
      <w:r w:rsidRPr="00E71B94">
        <w:t>allocation bandwidth and BW</w:t>
      </w:r>
      <w:r w:rsidRPr="00E71B94">
        <w:rPr>
          <w:vertAlign w:val="subscript"/>
        </w:rPr>
        <w:t>agg</w:t>
      </w:r>
      <w:r w:rsidRPr="00E71B94">
        <w:t xml:space="preserve"> the combined bandwidth of the aggregated CCs.</w:t>
      </w:r>
      <w:r w:rsidR="00124711">
        <w:t xml:space="preserve"> This is also shown in Figure 5</w:t>
      </w:r>
      <w:r w:rsidR="00C13163">
        <w:t>, together with combined results presented above</w:t>
      </w:r>
      <w:r w:rsidR="00124711">
        <w:t>.</w:t>
      </w:r>
      <w:r w:rsidR="0023736A">
        <w:t xml:space="preserve"> When the suppression requirements are met based on the applicable emission limits, as </w:t>
      </w:r>
      <w:r w:rsidR="00124711">
        <w:t>summarized</w:t>
      </w:r>
      <w:r w:rsidR="0023736A">
        <w:t xml:space="preserve"> in Table 1, this MPR applies for all simulated scenarios presented in [2] and in here.</w:t>
      </w:r>
    </w:p>
    <w:p w14:paraId="509A40F9" w14:textId="140578B4" w:rsidR="00124711" w:rsidRDefault="007F768E" w:rsidP="00124711">
      <w:pPr>
        <w:jc w:val="center"/>
      </w:pPr>
      <w:r>
        <w:rPr>
          <w:noProof/>
        </w:rPr>
        <w:drawing>
          <wp:inline distT="0" distB="0" distL="0" distR="0" wp14:anchorId="1E1830C3" wp14:editId="6A7B374D">
            <wp:extent cx="3600450" cy="26955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00450" cy="2695575"/>
                    </a:xfrm>
                    <a:prstGeom prst="rect">
                      <a:avLst/>
                    </a:prstGeom>
                    <a:noFill/>
                    <a:ln>
                      <a:noFill/>
                    </a:ln>
                  </pic:spPr>
                </pic:pic>
              </a:graphicData>
            </a:graphic>
          </wp:inline>
        </w:drawing>
      </w:r>
    </w:p>
    <w:p w14:paraId="1BD75BEA" w14:textId="37C4B6C0" w:rsidR="00124711" w:rsidRDefault="00124711" w:rsidP="00124711">
      <w:pPr>
        <w:jc w:val="center"/>
      </w:pPr>
      <w:r>
        <w:t xml:space="preserve">Figure 5. </w:t>
      </w:r>
      <w:r w:rsidR="00C13163">
        <w:t>Combined back-off results when required LO and IQ suppressions are applied together with the proposed MPR</w:t>
      </w:r>
      <w:r>
        <w:t>.</w:t>
      </w:r>
    </w:p>
    <w:p w14:paraId="7A16CBB5" w14:textId="77777777" w:rsidR="00263DBF" w:rsidRPr="00263DBF" w:rsidRDefault="00263DBF" w:rsidP="00263DBF">
      <w:pPr>
        <w:rPr>
          <w:b/>
          <w:bCs/>
        </w:rPr>
      </w:pPr>
      <w:r w:rsidRPr="00263DBF">
        <w:rPr>
          <w:b/>
          <w:bCs/>
        </w:rPr>
        <w:t>Observation 5: PC2 1PA intra-band UL NC CA MPR when necessary LO and IQ image suppression requirements are met can be defined as</w:t>
      </w:r>
    </w:p>
    <w:p w14:paraId="5791DFDB" w14:textId="77777777" w:rsidR="00263DBF" w:rsidRPr="00263DBF" w:rsidRDefault="00263DBF" w:rsidP="00263DBF">
      <w:pPr>
        <w:ind w:left="3124" w:firstLine="284"/>
        <w:rPr>
          <w:b/>
          <w:bCs/>
        </w:rPr>
      </w:pPr>
      <w:r w:rsidRPr="00263DBF">
        <w:rPr>
          <w:b/>
          <w:bCs/>
        </w:rPr>
        <w:t>14.5;</w:t>
      </w:r>
      <w:r w:rsidRPr="00263DBF">
        <w:rPr>
          <w:b/>
          <w:bCs/>
        </w:rPr>
        <w:tab/>
      </w:r>
      <w:r w:rsidRPr="00263DBF">
        <w:rPr>
          <w:b/>
          <w:bCs/>
        </w:rPr>
        <w:tab/>
      </w:r>
      <w:r w:rsidRPr="00263DBF">
        <w:rPr>
          <w:b/>
          <w:bCs/>
        </w:rPr>
        <w:tab/>
      </w:r>
      <w:r w:rsidRPr="00263DBF">
        <w:rPr>
          <w:b/>
          <w:bCs/>
        </w:rPr>
        <w:tab/>
      </w:r>
      <w:r w:rsidRPr="00263DBF">
        <w:rPr>
          <w:b/>
          <w:bCs/>
        </w:rPr>
        <w:tab/>
        <w:t>0 &lt;= B &lt;= 1.44</w:t>
      </w:r>
    </w:p>
    <w:p w14:paraId="1245AD34" w14:textId="1BD831DA" w:rsidR="00263DBF" w:rsidRPr="00263DBF" w:rsidRDefault="00263DBF" w:rsidP="00263DBF">
      <w:pPr>
        <w:ind w:left="3124" w:firstLine="284"/>
        <w:rPr>
          <w:b/>
          <w:bCs/>
        </w:rPr>
      </w:pPr>
      <w:r w:rsidRPr="00263DBF">
        <w:rPr>
          <w:b/>
          <w:bCs/>
        </w:rPr>
        <w:t xml:space="preserve">15 - 0.361 </w:t>
      </w:r>
      <w:r w:rsidR="00184E49">
        <w:rPr>
          <w:b/>
          <w:bCs/>
        </w:rPr>
        <w:t>B</w:t>
      </w:r>
      <w:r w:rsidRPr="00263DBF">
        <w:rPr>
          <w:b/>
          <w:bCs/>
        </w:rPr>
        <w:t>;</w:t>
      </w:r>
      <w:r w:rsidRPr="00263DBF">
        <w:rPr>
          <w:b/>
          <w:bCs/>
        </w:rPr>
        <w:tab/>
      </w:r>
      <w:r w:rsidRPr="00263DBF">
        <w:rPr>
          <w:b/>
          <w:bCs/>
        </w:rPr>
        <w:tab/>
      </w:r>
      <w:r w:rsidRPr="00263DBF">
        <w:rPr>
          <w:b/>
          <w:bCs/>
        </w:rPr>
        <w:tab/>
        <w:t>1.44 &lt; B &lt;= 25</w:t>
      </w:r>
    </w:p>
    <w:p w14:paraId="161252CC" w14:textId="68A2228C" w:rsidR="00263DBF" w:rsidRPr="00263DBF" w:rsidRDefault="00263DBF" w:rsidP="00263DBF">
      <w:pPr>
        <w:ind w:left="3124" w:firstLine="284"/>
        <w:rPr>
          <w:b/>
          <w:bCs/>
        </w:rPr>
      </w:pPr>
      <w:r w:rsidRPr="00263DBF">
        <w:rPr>
          <w:b/>
          <w:bCs/>
        </w:rPr>
        <w:t xml:space="preserve">6.45 - 0.0182 </w:t>
      </w:r>
      <w:r w:rsidR="00184E49">
        <w:rPr>
          <w:b/>
          <w:bCs/>
        </w:rPr>
        <w:t>B</w:t>
      </w:r>
      <w:r w:rsidRPr="00263DBF">
        <w:rPr>
          <w:b/>
          <w:bCs/>
        </w:rPr>
        <w:t>;</w:t>
      </w:r>
      <w:r w:rsidRPr="00263DBF">
        <w:rPr>
          <w:b/>
          <w:bCs/>
        </w:rPr>
        <w:tab/>
      </w:r>
      <w:r w:rsidRPr="00263DBF">
        <w:rPr>
          <w:b/>
          <w:bCs/>
        </w:rPr>
        <w:tab/>
        <w:t>25 &lt; B &lt;= BW</w:t>
      </w:r>
      <w:r w:rsidRPr="00263DBF">
        <w:rPr>
          <w:b/>
          <w:bCs/>
          <w:vertAlign w:val="subscript"/>
        </w:rPr>
        <w:t>agg</w:t>
      </w:r>
      <w:r w:rsidRPr="00263DBF">
        <w:rPr>
          <w:b/>
          <w:bCs/>
        </w:rPr>
        <w:t>,</w:t>
      </w:r>
    </w:p>
    <w:p w14:paraId="10A3C3D0" w14:textId="57FF2AB5" w:rsidR="00263DBF" w:rsidRDefault="00263DBF" w:rsidP="00263DBF"/>
    <w:p w14:paraId="7B845ED2" w14:textId="1B49506F" w:rsidR="008D3AD6" w:rsidRDefault="001C1819" w:rsidP="00BF40C1">
      <w:pPr>
        <w:pStyle w:val="Heading1"/>
      </w:pPr>
      <w:r>
        <w:t>6</w:t>
      </w:r>
      <w:r w:rsidR="008D3AD6">
        <w:tab/>
      </w:r>
      <w:r w:rsidR="008D3AD6" w:rsidRPr="00BF40C1">
        <w:t>Conclusion</w:t>
      </w:r>
    </w:p>
    <w:p w14:paraId="179B88A4" w14:textId="0B4EF758" w:rsidR="00947B31" w:rsidRDefault="00675C7C" w:rsidP="00947B31">
      <w:r>
        <w:t xml:space="preserve">In this contribution we have presented further simulation results considering </w:t>
      </w:r>
      <w:r w:rsidR="00D0209F">
        <w:t>PC2</w:t>
      </w:r>
      <w:r>
        <w:t xml:space="preserve"> UL NC CA. Regarding symmetric CA combinations it was observed that</w:t>
      </w:r>
      <w:r w:rsidR="00BE4B6D">
        <w:t>:</w:t>
      </w:r>
    </w:p>
    <w:p w14:paraId="600DA2BB" w14:textId="6850FA37" w:rsidR="00C46232" w:rsidRDefault="00C46232" w:rsidP="00C46232">
      <w:pPr>
        <w:rPr>
          <w:b/>
          <w:bCs/>
        </w:rPr>
      </w:pPr>
      <w:r w:rsidRPr="00675C7C">
        <w:rPr>
          <w:b/>
          <w:bCs/>
        </w:rPr>
        <w:t xml:space="preserve">Observation 1: </w:t>
      </w:r>
      <w:r>
        <w:rPr>
          <w:b/>
          <w:bCs/>
        </w:rPr>
        <w:t>When considering -25 dBm/MHz in-gap SEM, 47 dB LO suppression is needed for the back-off envelope to approach the envelope of the reference scenario where LO is excluded.</w:t>
      </w:r>
    </w:p>
    <w:p w14:paraId="4A4624E0" w14:textId="60CE208F" w:rsidR="00C46232" w:rsidRDefault="00C46232" w:rsidP="00C46232">
      <w:pPr>
        <w:rPr>
          <w:b/>
          <w:bCs/>
        </w:rPr>
      </w:pPr>
      <w:r w:rsidRPr="00675C7C">
        <w:rPr>
          <w:b/>
          <w:bCs/>
        </w:rPr>
        <w:t xml:space="preserve">Observation </w:t>
      </w:r>
      <w:r>
        <w:rPr>
          <w:b/>
          <w:bCs/>
        </w:rPr>
        <w:t>2</w:t>
      </w:r>
      <w:r w:rsidRPr="00675C7C">
        <w:rPr>
          <w:b/>
          <w:bCs/>
        </w:rPr>
        <w:t xml:space="preserve">: </w:t>
      </w:r>
      <w:r>
        <w:rPr>
          <w:b/>
          <w:bCs/>
        </w:rPr>
        <w:t>When considering general -30 dBm/MHz in-gap spurious limit, 52 dB LO suppression is needed for the back-off envelope to approach the envelope of the reference scenario where LO is excluded.</w:t>
      </w:r>
    </w:p>
    <w:p w14:paraId="5EC40023" w14:textId="11209A0D" w:rsidR="00C46232" w:rsidRPr="00C46232" w:rsidRDefault="00C46232" w:rsidP="00C46232">
      <w:r>
        <w:t>In parallel, considering asymmetric CA combinations, it was observed that</w:t>
      </w:r>
      <w:r w:rsidR="00BE4B6D">
        <w:t>:</w:t>
      </w:r>
    </w:p>
    <w:p w14:paraId="523B4C84" w14:textId="77777777" w:rsidR="00C46232" w:rsidRDefault="00C46232" w:rsidP="00C46232">
      <w:pPr>
        <w:rPr>
          <w:b/>
          <w:bCs/>
        </w:rPr>
      </w:pPr>
      <w:r w:rsidRPr="00675C7C">
        <w:rPr>
          <w:b/>
          <w:bCs/>
        </w:rPr>
        <w:t xml:space="preserve">Observation </w:t>
      </w:r>
      <w:r>
        <w:rPr>
          <w:b/>
          <w:bCs/>
        </w:rPr>
        <w:t>3</w:t>
      </w:r>
      <w:r w:rsidRPr="00675C7C">
        <w:rPr>
          <w:b/>
          <w:bCs/>
        </w:rPr>
        <w:t xml:space="preserve">: </w:t>
      </w:r>
      <w:r>
        <w:rPr>
          <w:b/>
          <w:bCs/>
        </w:rPr>
        <w:t>When considering -25 dBm/MHz in-gap SEM, 36 dB IQ image suppression is needed for the back-off envelope to approach the envelope of the reference scenario where IQ image is excluded.</w:t>
      </w:r>
    </w:p>
    <w:p w14:paraId="059BEFAB" w14:textId="0E9E87F8" w:rsidR="00C46232" w:rsidRDefault="00C46232" w:rsidP="00C46232">
      <w:pPr>
        <w:rPr>
          <w:b/>
          <w:bCs/>
        </w:rPr>
      </w:pPr>
      <w:r w:rsidRPr="00675C7C">
        <w:rPr>
          <w:b/>
          <w:bCs/>
        </w:rPr>
        <w:t xml:space="preserve">Observation </w:t>
      </w:r>
      <w:r>
        <w:rPr>
          <w:b/>
          <w:bCs/>
        </w:rPr>
        <w:t>4</w:t>
      </w:r>
      <w:r w:rsidRPr="00675C7C">
        <w:rPr>
          <w:b/>
          <w:bCs/>
        </w:rPr>
        <w:t xml:space="preserve">: </w:t>
      </w:r>
      <w:r>
        <w:rPr>
          <w:b/>
          <w:bCs/>
        </w:rPr>
        <w:t>When considering general -30 dBm/MHz in-gap spurious limit, 42 dB IQ image suppression is needed for the back-off envelope to approach the envelope of the reference scenario where IQ image is excluded.</w:t>
      </w:r>
    </w:p>
    <w:p w14:paraId="525F1DB7" w14:textId="77777777" w:rsidR="00263DBF" w:rsidRDefault="00263DBF" w:rsidP="00C13163">
      <w:r>
        <w:lastRenderedPageBreak/>
        <w:t>Furthermore</w:t>
      </w:r>
      <w:r w:rsidR="00F1168B">
        <w:t>,</w:t>
      </w:r>
    </w:p>
    <w:p w14:paraId="3367D317" w14:textId="77777777" w:rsidR="00263DBF" w:rsidRPr="00263DBF" w:rsidRDefault="00263DBF" w:rsidP="00263DBF">
      <w:pPr>
        <w:rPr>
          <w:b/>
          <w:bCs/>
        </w:rPr>
      </w:pPr>
      <w:r w:rsidRPr="00263DBF">
        <w:rPr>
          <w:b/>
          <w:bCs/>
        </w:rPr>
        <w:t>Observation 5: PC2 1PA intra-band UL NC CA MPR when necessary LO and IQ image suppression requirements are met can be defined as</w:t>
      </w:r>
    </w:p>
    <w:p w14:paraId="3119FA9D" w14:textId="77777777" w:rsidR="00263DBF" w:rsidRPr="00263DBF" w:rsidRDefault="00263DBF" w:rsidP="00263DBF">
      <w:pPr>
        <w:ind w:left="3124" w:firstLine="284"/>
        <w:rPr>
          <w:b/>
          <w:bCs/>
        </w:rPr>
      </w:pPr>
      <w:r w:rsidRPr="00263DBF">
        <w:rPr>
          <w:b/>
          <w:bCs/>
        </w:rPr>
        <w:t>14.5;</w:t>
      </w:r>
      <w:r w:rsidRPr="00263DBF">
        <w:rPr>
          <w:b/>
          <w:bCs/>
        </w:rPr>
        <w:tab/>
      </w:r>
      <w:r w:rsidRPr="00263DBF">
        <w:rPr>
          <w:b/>
          <w:bCs/>
        </w:rPr>
        <w:tab/>
      </w:r>
      <w:r w:rsidRPr="00263DBF">
        <w:rPr>
          <w:b/>
          <w:bCs/>
        </w:rPr>
        <w:tab/>
      </w:r>
      <w:r w:rsidRPr="00263DBF">
        <w:rPr>
          <w:b/>
          <w:bCs/>
        </w:rPr>
        <w:tab/>
      </w:r>
      <w:r w:rsidRPr="00263DBF">
        <w:rPr>
          <w:b/>
          <w:bCs/>
        </w:rPr>
        <w:tab/>
        <w:t>0 &lt;= B &lt;= 1.44</w:t>
      </w:r>
    </w:p>
    <w:p w14:paraId="4CB02A08" w14:textId="2E79AD15" w:rsidR="00263DBF" w:rsidRPr="00263DBF" w:rsidRDefault="00263DBF" w:rsidP="00263DBF">
      <w:pPr>
        <w:ind w:left="3124" w:firstLine="284"/>
        <w:rPr>
          <w:b/>
          <w:bCs/>
        </w:rPr>
      </w:pPr>
      <w:r w:rsidRPr="00263DBF">
        <w:rPr>
          <w:b/>
          <w:bCs/>
        </w:rPr>
        <w:t xml:space="preserve">15 - 0.361 </w:t>
      </w:r>
      <w:r w:rsidR="00184E49">
        <w:rPr>
          <w:b/>
          <w:bCs/>
        </w:rPr>
        <w:t>B</w:t>
      </w:r>
      <w:r w:rsidRPr="00263DBF">
        <w:rPr>
          <w:b/>
          <w:bCs/>
        </w:rPr>
        <w:t>;</w:t>
      </w:r>
      <w:r w:rsidRPr="00263DBF">
        <w:rPr>
          <w:b/>
          <w:bCs/>
        </w:rPr>
        <w:tab/>
      </w:r>
      <w:r w:rsidRPr="00263DBF">
        <w:rPr>
          <w:b/>
          <w:bCs/>
        </w:rPr>
        <w:tab/>
      </w:r>
      <w:r w:rsidRPr="00263DBF">
        <w:rPr>
          <w:b/>
          <w:bCs/>
        </w:rPr>
        <w:tab/>
        <w:t>1.44 &lt; B &lt;= 25</w:t>
      </w:r>
    </w:p>
    <w:p w14:paraId="2D9FE000" w14:textId="18BDD3BE" w:rsidR="00C13163" w:rsidRPr="00263DBF" w:rsidRDefault="00263DBF" w:rsidP="00263DBF">
      <w:pPr>
        <w:ind w:left="3124" w:firstLine="284"/>
        <w:rPr>
          <w:b/>
          <w:bCs/>
        </w:rPr>
      </w:pPr>
      <w:r w:rsidRPr="00263DBF">
        <w:rPr>
          <w:b/>
          <w:bCs/>
        </w:rPr>
        <w:t xml:space="preserve">6.45 - 0.0182 </w:t>
      </w:r>
      <w:r w:rsidR="00184E49">
        <w:rPr>
          <w:b/>
          <w:bCs/>
        </w:rPr>
        <w:t>B</w:t>
      </w:r>
      <w:r w:rsidRPr="00263DBF">
        <w:rPr>
          <w:b/>
          <w:bCs/>
        </w:rPr>
        <w:t>;</w:t>
      </w:r>
      <w:r w:rsidRPr="00263DBF">
        <w:rPr>
          <w:b/>
          <w:bCs/>
        </w:rPr>
        <w:tab/>
      </w:r>
      <w:r w:rsidRPr="00263DBF">
        <w:rPr>
          <w:b/>
          <w:bCs/>
        </w:rPr>
        <w:tab/>
        <w:t>25 &lt; B &lt;= BW</w:t>
      </w:r>
      <w:r w:rsidRPr="00263DBF">
        <w:rPr>
          <w:b/>
          <w:bCs/>
          <w:vertAlign w:val="subscript"/>
        </w:rPr>
        <w:t>agg</w:t>
      </w:r>
      <w:r w:rsidRPr="00263DBF">
        <w:rPr>
          <w:b/>
          <w:bCs/>
        </w:rPr>
        <w:t>,</w:t>
      </w:r>
    </w:p>
    <w:p w14:paraId="197B98C9" w14:textId="088F0E05" w:rsidR="009954C8" w:rsidRDefault="009954C8" w:rsidP="009954C8">
      <w:pPr>
        <w:rPr>
          <w:lang w:eastAsia="ja-JP"/>
        </w:rPr>
      </w:pPr>
      <w:r>
        <w:rPr>
          <w:lang w:eastAsia="ja-JP"/>
        </w:rPr>
        <w:t xml:space="preserve">Based on </w:t>
      </w:r>
      <w:r w:rsidR="00263DBF">
        <w:rPr>
          <w:lang w:eastAsia="ja-JP"/>
        </w:rPr>
        <w:t>these</w:t>
      </w:r>
      <w:r>
        <w:rPr>
          <w:lang w:eastAsia="ja-JP"/>
        </w:rPr>
        <w:t xml:space="preserve"> observations we can</w:t>
      </w:r>
      <w:r w:rsidR="00263DBF">
        <w:rPr>
          <w:lang w:eastAsia="ja-JP"/>
        </w:rPr>
        <w:t xml:space="preserve"> finally</w:t>
      </w:r>
      <w:r>
        <w:rPr>
          <w:lang w:eastAsia="ja-JP"/>
        </w:rPr>
        <w:t xml:space="preserve"> note that</w:t>
      </w:r>
      <w:r w:rsidR="000E2C0C">
        <w:rPr>
          <w:lang w:eastAsia="ja-JP"/>
        </w:rPr>
        <w:t>:</w:t>
      </w:r>
    </w:p>
    <w:p w14:paraId="35A103E7" w14:textId="18A60158" w:rsidR="009954C8" w:rsidRDefault="009954C8" w:rsidP="009954C8">
      <w:pPr>
        <w:pStyle w:val="ListParagraph"/>
        <w:numPr>
          <w:ilvl w:val="0"/>
          <w:numId w:val="12"/>
        </w:numPr>
        <w:overflowPunct/>
        <w:autoSpaceDE/>
        <w:autoSpaceDN/>
        <w:adjustRightInd/>
        <w:spacing w:after="0"/>
        <w:textAlignment w:val="auto"/>
        <w:rPr>
          <w:lang w:eastAsia="ja-JP"/>
        </w:rPr>
      </w:pPr>
      <w:r>
        <w:rPr>
          <w:lang w:eastAsia="ja-JP"/>
        </w:rPr>
        <w:t xml:space="preserve">Significantly </w:t>
      </w:r>
      <w:r w:rsidR="000E2C0C">
        <w:rPr>
          <w:lang w:eastAsia="ja-JP"/>
        </w:rPr>
        <w:t xml:space="preserve">improved </w:t>
      </w:r>
      <w:r>
        <w:rPr>
          <w:lang w:eastAsia="ja-JP"/>
        </w:rPr>
        <w:t xml:space="preserve">modulator suppression performance </w:t>
      </w:r>
      <w:r w:rsidR="000E2C0C">
        <w:rPr>
          <w:lang w:eastAsia="ja-JP"/>
        </w:rPr>
        <w:t xml:space="preserve">compared to </w:t>
      </w:r>
      <w:r>
        <w:rPr>
          <w:lang w:eastAsia="ja-JP"/>
        </w:rPr>
        <w:t>min</w:t>
      </w:r>
      <w:r w:rsidR="000E2C0C">
        <w:rPr>
          <w:lang w:eastAsia="ja-JP"/>
        </w:rPr>
        <w:t>imum</w:t>
      </w:r>
      <w:r>
        <w:rPr>
          <w:lang w:eastAsia="ja-JP"/>
        </w:rPr>
        <w:t xml:space="preserve"> requirement is </w:t>
      </w:r>
      <w:r w:rsidR="000E2C0C">
        <w:rPr>
          <w:lang w:eastAsia="ja-JP"/>
        </w:rPr>
        <w:t>needed in order to avoid very high MPR.</w:t>
      </w:r>
    </w:p>
    <w:p w14:paraId="7D1F8730" w14:textId="573BA084" w:rsidR="009954C8" w:rsidRDefault="009954C8" w:rsidP="009954C8">
      <w:pPr>
        <w:pStyle w:val="ListParagraph"/>
        <w:numPr>
          <w:ilvl w:val="0"/>
          <w:numId w:val="12"/>
        </w:numPr>
        <w:overflowPunct/>
        <w:autoSpaceDE/>
        <w:autoSpaceDN/>
        <w:adjustRightInd/>
        <w:spacing w:after="0"/>
        <w:textAlignment w:val="auto"/>
        <w:rPr>
          <w:lang w:eastAsia="ja-JP"/>
        </w:rPr>
      </w:pPr>
      <w:r>
        <w:rPr>
          <w:lang w:eastAsia="ja-JP"/>
        </w:rPr>
        <w:t xml:space="preserve">Even </w:t>
      </w:r>
      <w:r w:rsidR="000E2C0C">
        <w:rPr>
          <w:lang w:eastAsia="ja-JP"/>
        </w:rPr>
        <w:t xml:space="preserve">if </w:t>
      </w:r>
      <w:r>
        <w:rPr>
          <w:lang w:eastAsia="ja-JP"/>
        </w:rPr>
        <w:t xml:space="preserve">UE can </w:t>
      </w:r>
      <w:r w:rsidR="000E2C0C">
        <w:rPr>
          <w:lang w:eastAsia="ja-JP"/>
        </w:rPr>
        <w:t>fulfil these requirements</w:t>
      </w:r>
      <w:r>
        <w:rPr>
          <w:lang w:eastAsia="ja-JP"/>
        </w:rPr>
        <w:t xml:space="preserve">, the </w:t>
      </w:r>
      <w:r w:rsidR="00263DBF">
        <w:rPr>
          <w:lang w:eastAsia="ja-JP"/>
        </w:rPr>
        <w:t>MPR</w:t>
      </w:r>
      <w:r>
        <w:rPr>
          <w:lang w:eastAsia="ja-JP"/>
        </w:rPr>
        <w:t xml:space="preserve"> is still significant</w:t>
      </w:r>
    </w:p>
    <w:p w14:paraId="2AF71650" w14:textId="263F5990" w:rsidR="009954C8" w:rsidRDefault="009954C8" w:rsidP="005633A4">
      <w:pPr>
        <w:pStyle w:val="ListParagraph"/>
        <w:numPr>
          <w:ilvl w:val="0"/>
          <w:numId w:val="12"/>
        </w:numPr>
        <w:overflowPunct/>
        <w:autoSpaceDE/>
        <w:autoSpaceDN/>
        <w:adjustRightInd/>
        <w:spacing w:after="0"/>
        <w:textAlignment w:val="auto"/>
        <w:rPr>
          <w:lang w:eastAsia="ja-JP"/>
        </w:rPr>
      </w:pPr>
      <w:r>
        <w:rPr>
          <w:lang w:eastAsia="ja-JP"/>
        </w:rPr>
        <w:t>Architecture</w:t>
      </w:r>
      <w:r w:rsidR="00263DBF">
        <w:rPr>
          <w:lang w:eastAsia="ja-JP"/>
        </w:rPr>
        <w:t>-</w:t>
      </w:r>
      <w:r>
        <w:rPr>
          <w:lang w:eastAsia="ja-JP"/>
        </w:rPr>
        <w:t xml:space="preserve">specific MPR will increase future work at an accelerating </w:t>
      </w:r>
      <w:r w:rsidR="000E2C0C">
        <w:rPr>
          <w:lang w:eastAsia="ja-JP"/>
        </w:rPr>
        <w:t>pace</w:t>
      </w:r>
      <w:r>
        <w:rPr>
          <w:lang w:eastAsia="ja-JP"/>
        </w:rPr>
        <w:t xml:space="preserve"> since we need</w:t>
      </w:r>
      <w:r w:rsidR="000E2C0C">
        <w:rPr>
          <w:lang w:eastAsia="ja-JP"/>
        </w:rPr>
        <w:t>, for example,</w:t>
      </w:r>
      <w:r>
        <w:rPr>
          <w:lang w:eastAsia="ja-JP"/>
        </w:rPr>
        <w:t xml:space="preserve"> to specify </w:t>
      </w:r>
      <w:bookmarkStart w:id="2" w:name="_GoBack"/>
      <w:bookmarkEnd w:id="2"/>
      <w:r>
        <w:rPr>
          <w:lang w:eastAsia="ja-JP"/>
        </w:rPr>
        <w:t>A-MPR</w:t>
      </w:r>
      <w:r w:rsidR="00263DBF">
        <w:rPr>
          <w:lang w:eastAsia="ja-JP"/>
        </w:rPr>
        <w:t>s</w:t>
      </w:r>
      <w:r>
        <w:rPr>
          <w:lang w:eastAsia="ja-JP"/>
        </w:rPr>
        <w:t xml:space="preserve"> for UL CA </w:t>
      </w:r>
      <w:r w:rsidR="000E2C0C">
        <w:rPr>
          <w:lang w:eastAsia="ja-JP"/>
        </w:rPr>
        <w:t>considering different architectures.</w:t>
      </w:r>
    </w:p>
    <w:p w14:paraId="049ADDE7" w14:textId="77777777" w:rsidR="009954C8" w:rsidRDefault="009954C8" w:rsidP="000E2C0C">
      <w:pPr>
        <w:overflowPunct/>
        <w:autoSpaceDE/>
        <w:autoSpaceDN/>
        <w:adjustRightInd/>
        <w:spacing w:after="0"/>
        <w:textAlignment w:val="auto"/>
        <w:rPr>
          <w:lang w:eastAsia="ja-JP"/>
        </w:rPr>
      </w:pPr>
    </w:p>
    <w:p w14:paraId="641FD0C7" w14:textId="7A6A9770" w:rsidR="009954C8" w:rsidRDefault="000E2C0C" w:rsidP="009954C8">
      <w:pPr>
        <w:rPr>
          <w:lang w:eastAsia="ja-JP"/>
        </w:rPr>
      </w:pPr>
      <w:r>
        <w:rPr>
          <w:lang w:eastAsia="ja-JP"/>
        </w:rPr>
        <w:t>Thus,</w:t>
      </w:r>
      <w:r w:rsidR="009954C8">
        <w:rPr>
          <w:lang w:eastAsia="ja-JP"/>
        </w:rPr>
        <w:t xml:space="preserve"> we propose to remove one LO architectures from the discussion</w:t>
      </w:r>
      <w:r w:rsidR="00CB6362">
        <w:rPr>
          <w:lang w:eastAsia="ja-JP"/>
        </w:rPr>
        <w:t>:</w:t>
      </w:r>
    </w:p>
    <w:p w14:paraId="33995AB4" w14:textId="60481813" w:rsidR="009954C8" w:rsidRPr="009954C8" w:rsidRDefault="009954C8" w:rsidP="009954C8">
      <w:pPr>
        <w:rPr>
          <w:b/>
          <w:bCs/>
        </w:rPr>
      </w:pPr>
      <w:r w:rsidRPr="009954C8">
        <w:rPr>
          <w:b/>
          <w:bCs/>
          <w:lang w:eastAsia="ja-JP"/>
        </w:rPr>
        <w:t>Proposal</w:t>
      </w:r>
      <w:r w:rsidR="000E2C0C">
        <w:rPr>
          <w:b/>
          <w:bCs/>
          <w:lang w:eastAsia="ja-JP"/>
        </w:rPr>
        <w:t xml:space="preserve"> 1</w:t>
      </w:r>
      <w:r w:rsidRPr="009954C8">
        <w:rPr>
          <w:b/>
          <w:bCs/>
          <w:lang w:eastAsia="ja-JP"/>
        </w:rPr>
        <w:t>: Remove one LO architectures from the discussion</w:t>
      </w:r>
      <w:r w:rsidR="00184E49">
        <w:rPr>
          <w:b/>
          <w:bCs/>
          <w:lang w:eastAsia="ja-JP"/>
        </w:rPr>
        <w:t>.</w:t>
      </w:r>
    </w:p>
    <w:p w14:paraId="561E3900" w14:textId="1ED53CD8" w:rsidR="00165DA2" w:rsidRDefault="000A1655" w:rsidP="00BF40C1">
      <w:pPr>
        <w:pStyle w:val="Heading1"/>
      </w:pPr>
      <w:r>
        <w:t>6</w:t>
      </w:r>
      <w:r w:rsidR="00165DA2">
        <w:tab/>
      </w:r>
      <w:r w:rsidR="00165DA2" w:rsidRPr="00BF40C1">
        <w:t>Reference</w:t>
      </w:r>
      <w:r w:rsidR="00435A51" w:rsidRPr="00BF40C1">
        <w:t>s</w:t>
      </w:r>
    </w:p>
    <w:p w14:paraId="52507BB6" w14:textId="1D547241" w:rsidR="00D8365E" w:rsidRPr="00E71B94" w:rsidRDefault="00E10098" w:rsidP="00E71B94">
      <w:pPr>
        <w:rPr>
          <w:lang w:val="en-US"/>
        </w:rPr>
      </w:pPr>
      <w:r w:rsidRPr="00E71B94">
        <w:t xml:space="preserve">[1] </w:t>
      </w:r>
      <w:r w:rsidR="00E71B94" w:rsidRPr="00E71B94">
        <w:t>R4-2114948</w:t>
      </w:r>
      <w:r w:rsidR="00C92CEA" w:rsidRPr="00E71B94">
        <w:t xml:space="preserve">, </w:t>
      </w:r>
      <w:r w:rsidR="00E71B94" w:rsidRPr="00E71B94">
        <w:t>WF on PC2 intra-band UL NC CA and contiguous CA with 2Tx architecture</w:t>
      </w:r>
      <w:r w:rsidR="00C92CEA" w:rsidRPr="00E71B94">
        <w:rPr>
          <w:lang w:val="en-US"/>
        </w:rPr>
        <w:t>, Skyworks</w:t>
      </w:r>
    </w:p>
    <w:p w14:paraId="1E2FBF80" w14:textId="6A298F15" w:rsidR="00116D10" w:rsidRDefault="00116D10" w:rsidP="00E71B94">
      <w:r w:rsidRPr="00386DA9">
        <w:t xml:space="preserve">[2] </w:t>
      </w:r>
      <w:r w:rsidR="00386DA9" w:rsidRPr="00386DA9">
        <w:t>R4-</w:t>
      </w:r>
      <w:r w:rsidR="008A4E43" w:rsidRPr="008A4E43">
        <w:t>2112022</w:t>
      </w:r>
      <w:r w:rsidRPr="00386DA9">
        <w:t xml:space="preserve">, </w:t>
      </w:r>
      <w:r w:rsidR="008A4E43" w:rsidRPr="008A4E43">
        <w:t>PC2 Intra-band UL NC CA MPR Simulations with 1PA</w:t>
      </w:r>
      <w:r w:rsidRPr="00386DA9">
        <w:t xml:space="preserve">, </w:t>
      </w:r>
      <w:r w:rsidRPr="00E71B94">
        <w:t>Nokia, Nokia Shanghai Bell</w:t>
      </w:r>
    </w:p>
    <w:p w14:paraId="57D1C987" w14:textId="39BCFA7E" w:rsidR="00E71B94" w:rsidRPr="00E71B94" w:rsidRDefault="00E71B94" w:rsidP="00E71B94">
      <w:r>
        <w:t xml:space="preserve">[3] </w:t>
      </w:r>
      <w:r w:rsidRPr="00E71B94">
        <w:t>R4-2109261</w:t>
      </w:r>
      <w:r>
        <w:rPr>
          <w:rFonts w:cs="Arial"/>
          <w:b/>
          <w:sz w:val="24"/>
          <w:szCs w:val="24"/>
        </w:rPr>
        <w:t xml:space="preserve">, </w:t>
      </w:r>
      <w:r>
        <w:t>PC2 1PA Intra-band UL NC CA MPR, Nokia, Nokia Shanghai Bell</w:t>
      </w:r>
    </w:p>
    <w:sectPr w:rsidR="00E71B94" w:rsidRPr="00E71B94" w:rsidSect="0053247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425"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E7596" w14:textId="77777777" w:rsidR="00B93734" w:rsidRDefault="00B93734" w:rsidP="002B3503">
      <w:pPr>
        <w:spacing w:after="0"/>
      </w:pPr>
      <w:r>
        <w:separator/>
      </w:r>
    </w:p>
  </w:endnote>
  <w:endnote w:type="continuationSeparator" w:id="0">
    <w:p w14:paraId="7F3AAA1E" w14:textId="77777777" w:rsidR="00B93734" w:rsidRDefault="00B93734"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C13B" w14:textId="77777777" w:rsidR="00CB50D4" w:rsidRDefault="00CB50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E37D6" w14:textId="77777777" w:rsidR="00CB50D4" w:rsidRDefault="00CB50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3CD24" w14:textId="77777777" w:rsidR="00CB50D4" w:rsidRDefault="00CB50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B3CF3" w14:textId="77777777" w:rsidR="00B93734" w:rsidRDefault="00B93734" w:rsidP="002B3503">
      <w:pPr>
        <w:spacing w:after="0"/>
      </w:pPr>
      <w:r>
        <w:separator/>
      </w:r>
    </w:p>
  </w:footnote>
  <w:footnote w:type="continuationSeparator" w:id="0">
    <w:p w14:paraId="5D9EA202" w14:textId="77777777" w:rsidR="00B93734" w:rsidRDefault="00B93734"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CB50D4" w:rsidRDefault="00CB50D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5B140" w14:textId="77777777" w:rsidR="00CB50D4" w:rsidRDefault="00CB50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999EF" w14:textId="77777777" w:rsidR="00CB50D4" w:rsidRDefault="00CB50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0F3D"/>
    <w:multiLevelType w:val="hybridMultilevel"/>
    <w:tmpl w:val="73F26B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7D94CE8"/>
    <w:multiLevelType w:val="hybridMultilevel"/>
    <w:tmpl w:val="37B692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D6875AD"/>
    <w:multiLevelType w:val="hybridMultilevel"/>
    <w:tmpl w:val="76006F1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8377B55"/>
    <w:multiLevelType w:val="hybridMultilevel"/>
    <w:tmpl w:val="7EB20D74"/>
    <w:lvl w:ilvl="0" w:tplc="D72C5230">
      <w:start w:val="16"/>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82405BA"/>
    <w:multiLevelType w:val="hybridMultilevel"/>
    <w:tmpl w:val="A39AE4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DD53528"/>
    <w:multiLevelType w:val="hybridMultilevel"/>
    <w:tmpl w:val="FDFE99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5C696FF1"/>
    <w:multiLevelType w:val="hybridMultilevel"/>
    <w:tmpl w:val="78B2D2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022A7C"/>
    <w:multiLevelType w:val="hybridMultilevel"/>
    <w:tmpl w:val="33825C1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5"/>
  </w:num>
  <w:num w:numId="4">
    <w:abstractNumId w:val="8"/>
  </w:num>
  <w:num w:numId="5">
    <w:abstractNumId w:val="6"/>
  </w:num>
  <w:num w:numId="6">
    <w:abstractNumId w:val="9"/>
  </w:num>
  <w:num w:numId="7">
    <w:abstractNumId w:val="0"/>
  </w:num>
  <w:num w:numId="8">
    <w:abstractNumId w:val="1"/>
  </w:num>
  <w:num w:numId="9">
    <w:abstractNumId w:val="7"/>
  </w:num>
  <w:num w:numId="10">
    <w:abstractNumId w:val="10"/>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953"/>
    <w:rsid w:val="00001871"/>
    <w:rsid w:val="00056531"/>
    <w:rsid w:val="00056BDC"/>
    <w:rsid w:val="000606F9"/>
    <w:rsid w:val="00071E0D"/>
    <w:rsid w:val="00091F0B"/>
    <w:rsid w:val="00093489"/>
    <w:rsid w:val="000A1655"/>
    <w:rsid w:val="000A42E4"/>
    <w:rsid w:val="000A621D"/>
    <w:rsid w:val="000A6473"/>
    <w:rsid w:val="000B4E56"/>
    <w:rsid w:val="000B5E8E"/>
    <w:rsid w:val="000B7337"/>
    <w:rsid w:val="000B7507"/>
    <w:rsid w:val="000D0229"/>
    <w:rsid w:val="000E2C0C"/>
    <w:rsid w:val="000E5A41"/>
    <w:rsid w:val="000F2546"/>
    <w:rsid w:val="000F50EC"/>
    <w:rsid w:val="00101626"/>
    <w:rsid w:val="001049CA"/>
    <w:rsid w:val="00111B4F"/>
    <w:rsid w:val="00116D10"/>
    <w:rsid w:val="00124711"/>
    <w:rsid w:val="00131B06"/>
    <w:rsid w:val="001354E3"/>
    <w:rsid w:val="001364A1"/>
    <w:rsid w:val="0015000E"/>
    <w:rsid w:val="00150207"/>
    <w:rsid w:val="00152947"/>
    <w:rsid w:val="00160C85"/>
    <w:rsid w:val="0016131F"/>
    <w:rsid w:val="00161A3D"/>
    <w:rsid w:val="00165DA2"/>
    <w:rsid w:val="00167A57"/>
    <w:rsid w:val="00184E49"/>
    <w:rsid w:val="001953B8"/>
    <w:rsid w:val="001A1356"/>
    <w:rsid w:val="001A37B5"/>
    <w:rsid w:val="001B77A6"/>
    <w:rsid w:val="001C1819"/>
    <w:rsid w:val="001C2855"/>
    <w:rsid w:val="001D1626"/>
    <w:rsid w:val="001F083D"/>
    <w:rsid w:val="00207C42"/>
    <w:rsid w:val="002127E2"/>
    <w:rsid w:val="00214C87"/>
    <w:rsid w:val="00215035"/>
    <w:rsid w:val="0023736A"/>
    <w:rsid w:val="00261EB5"/>
    <w:rsid w:val="00263DBF"/>
    <w:rsid w:val="00270309"/>
    <w:rsid w:val="00283A81"/>
    <w:rsid w:val="00291DDD"/>
    <w:rsid w:val="002A54C5"/>
    <w:rsid w:val="002A7181"/>
    <w:rsid w:val="002B25C2"/>
    <w:rsid w:val="002B3503"/>
    <w:rsid w:val="002B7A24"/>
    <w:rsid w:val="002C5FC3"/>
    <w:rsid w:val="002F6A38"/>
    <w:rsid w:val="00312FD1"/>
    <w:rsid w:val="00331118"/>
    <w:rsid w:val="00334608"/>
    <w:rsid w:val="0034274F"/>
    <w:rsid w:val="00347DEA"/>
    <w:rsid w:val="00353ADB"/>
    <w:rsid w:val="003777FE"/>
    <w:rsid w:val="00386DA9"/>
    <w:rsid w:val="0039349F"/>
    <w:rsid w:val="00395A56"/>
    <w:rsid w:val="003F1967"/>
    <w:rsid w:val="00403EF4"/>
    <w:rsid w:val="00415412"/>
    <w:rsid w:val="00416EE9"/>
    <w:rsid w:val="0042109F"/>
    <w:rsid w:val="00426A90"/>
    <w:rsid w:val="0043450E"/>
    <w:rsid w:val="004353CD"/>
    <w:rsid w:val="00435A51"/>
    <w:rsid w:val="00453BA5"/>
    <w:rsid w:val="00454E53"/>
    <w:rsid w:val="00464BAD"/>
    <w:rsid w:val="00470375"/>
    <w:rsid w:val="0047269F"/>
    <w:rsid w:val="00474912"/>
    <w:rsid w:val="00482477"/>
    <w:rsid w:val="00491386"/>
    <w:rsid w:val="004932B7"/>
    <w:rsid w:val="00493B83"/>
    <w:rsid w:val="00494F18"/>
    <w:rsid w:val="004A41DA"/>
    <w:rsid w:val="004A4B1B"/>
    <w:rsid w:val="004B691A"/>
    <w:rsid w:val="004C0103"/>
    <w:rsid w:val="004C58F9"/>
    <w:rsid w:val="004C735B"/>
    <w:rsid w:val="004D0C67"/>
    <w:rsid w:val="004D38A8"/>
    <w:rsid w:val="004D3D81"/>
    <w:rsid w:val="004E4BF3"/>
    <w:rsid w:val="00532474"/>
    <w:rsid w:val="00545B26"/>
    <w:rsid w:val="00553FC9"/>
    <w:rsid w:val="00560A63"/>
    <w:rsid w:val="00564B2E"/>
    <w:rsid w:val="0056504C"/>
    <w:rsid w:val="00566E4B"/>
    <w:rsid w:val="00570B14"/>
    <w:rsid w:val="00585E98"/>
    <w:rsid w:val="00593AEE"/>
    <w:rsid w:val="00594743"/>
    <w:rsid w:val="005A4AB9"/>
    <w:rsid w:val="005A5C40"/>
    <w:rsid w:val="005B2640"/>
    <w:rsid w:val="005C12BE"/>
    <w:rsid w:val="005C48EA"/>
    <w:rsid w:val="005D5D5E"/>
    <w:rsid w:val="005E5DF0"/>
    <w:rsid w:val="005F6CE3"/>
    <w:rsid w:val="00602EB6"/>
    <w:rsid w:val="00606EF4"/>
    <w:rsid w:val="00614533"/>
    <w:rsid w:val="006376BE"/>
    <w:rsid w:val="006379C7"/>
    <w:rsid w:val="00641C2E"/>
    <w:rsid w:val="00641E1F"/>
    <w:rsid w:val="006531E4"/>
    <w:rsid w:val="00664DF6"/>
    <w:rsid w:val="00675A4C"/>
    <w:rsid w:val="00675C7C"/>
    <w:rsid w:val="00676A68"/>
    <w:rsid w:val="006919C7"/>
    <w:rsid w:val="006A3399"/>
    <w:rsid w:val="006A3650"/>
    <w:rsid w:val="006A6B9C"/>
    <w:rsid w:val="006C198A"/>
    <w:rsid w:val="006C6840"/>
    <w:rsid w:val="006D5D9A"/>
    <w:rsid w:val="006E0AFE"/>
    <w:rsid w:val="006E6862"/>
    <w:rsid w:val="006E7DBE"/>
    <w:rsid w:val="00705A53"/>
    <w:rsid w:val="00715E6E"/>
    <w:rsid w:val="0072141E"/>
    <w:rsid w:val="00726265"/>
    <w:rsid w:val="00730F90"/>
    <w:rsid w:val="00734EBD"/>
    <w:rsid w:val="00763629"/>
    <w:rsid w:val="00764E0B"/>
    <w:rsid w:val="007A0711"/>
    <w:rsid w:val="007B2B10"/>
    <w:rsid w:val="007B2E62"/>
    <w:rsid w:val="007D20DF"/>
    <w:rsid w:val="007D229F"/>
    <w:rsid w:val="007D641B"/>
    <w:rsid w:val="007E0B9E"/>
    <w:rsid w:val="007F3181"/>
    <w:rsid w:val="007F4A42"/>
    <w:rsid w:val="007F768E"/>
    <w:rsid w:val="00803C45"/>
    <w:rsid w:val="008236E4"/>
    <w:rsid w:val="00850296"/>
    <w:rsid w:val="00860A01"/>
    <w:rsid w:val="00874193"/>
    <w:rsid w:val="00897104"/>
    <w:rsid w:val="008A4493"/>
    <w:rsid w:val="008A4E43"/>
    <w:rsid w:val="008B10F5"/>
    <w:rsid w:val="008C028D"/>
    <w:rsid w:val="008D10E7"/>
    <w:rsid w:val="008D3AD6"/>
    <w:rsid w:val="008E41BB"/>
    <w:rsid w:val="008E57B1"/>
    <w:rsid w:val="0091383D"/>
    <w:rsid w:val="009159AA"/>
    <w:rsid w:val="00940559"/>
    <w:rsid w:val="00947B31"/>
    <w:rsid w:val="009954C8"/>
    <w:rsid w:val="00996062"/>
    <w:rsid w:val="009B1E68"/>
    <w:rsid w:val="009E4ECB"/>
    <w:rsid w:val="00A06C6D"/>
    <w:rsid w:val="00A21B5B"/>
    <w:rsid w:val="00A2770A"/>
    <w:rsid w:val="00A41675"/>
    <w:rsid w:val="00A451E8"/>
    <w:rsid w:val="00A47EDC"/>
    <w:rsid w:val="00A51ACB"/>
    <w:rsid w:val="00A6018C"/>
    <w:rsid w:val="00A7317E"/>
    <w:rsid w:val="00A76B87"/>
    <w:rsid w:val="00A84026"/>
    <w:rsid w:val="00A9061F"/>
    <w:rsid w:val="00AB24AA"/>
    <w:rsid w:val="00AB55F9"/>
    <w:rsid w:val="00AE3616"/>
    <w:rsid w:val="00AE6327"/>
    <w:rsid w:val="00AF7CB0"/>
    <w:rsid w:val="00B029EE"/>
    <w:rsid w:val="00B2130D"/>
    <w:rsid w:val="00B42818"/>
    <w:rsid w:val="00B4385F"/>
    <w:rsid w:val="00B46BB0"/>
    <w:rsid w:val="00B65B59"/>
    <w:rsid w:val="00B7292B"/>
    <w:rsid w:val="00B93734"/>
    <w:rsid w:val="00BA2E01"/>
    <w:rsid w:val="00BA4205"/>
    <w:rsid w:val="00BA7DDF"/>
    <w:rsid w:val="00BC764C"/>
    <w:rsid w:val="00BE37F6"/>
    <w:rsid w:val="00BE4B6D"/>
    <w:rsid w:val="00BF40C1"/>
    <w:rsid w:val="00BF4B17"/>
    <w:rsid w:val="00C07117"/>
    <w:rsid w:val="00C13163"/>
    <w:rsid w:val="00C21554"/>
    <w:rsid w:val="00C22231"/>
    <w:rsid w:val="00C22DCD"/>
    <w:rsid w:val="00C3189A"/>
    <w:rsid w:val="00C3512C"/>
    <w:rsid w:val="00C46232"/>
    <w:rsid w:val="00C613BD"/>
    <w:rsid w:val="00C74380"/>
    <w:rsid w:val="00C8115D"/>
    <w:rsid w:val="00C81190"/>
    <w:rsid w:val="00C92CEA"/>
    <w:rsid w:val="00CA0229"/>
    <w:rsid w:val="00CA324A"/>
    <w:rsid w:val="00CA336E"/>
    <w:rsid w:val="00CA56B1"/>
    <w:rsid w:val="00CB50D4"/>
    <w:rsid w:val="00CB6362"/>
    <w:rsid w:val="00CC1137"/>
    <w:rsid w:val="00CD5859"/>
    <w:rsid w:val="00CE413C"/>
    <w:rsid w:val="00CF138C"/>
    <w:rsid w:val="00CF4404"/>
    <w:rsid w:val="00D0209F"/>
    <w:rsid w:val="00D275CC"/>
    <w:rsid w:val="00D31141"/>
    <w:rsid w:val="00D42036"/>
    <w:rsid w:val="00D602F1"/>
    <w:rsid w:val="00D767C4"/>
    <w:rsid w:val="00D77CF5"/>
    <w:rsid w:val="00D8365E"/>
    <w:rsid w:val="00DC1586"/>
    <w:rsid w:val="00DE0A15"/>
    <w:rsid w:val="00E05D69"/>
    <w:rsid w:val="00E10098"/>
    <w:rsid w:val="00E32B5A"/>
    <w:rsid w:val="00E33B68"/>
    <w:rsid w:val="00E355CC"/>
    <w:rsid w:val="00E402BB"/>
    <w:rsid w:val="00E40C79"/>
    <w:rsid w:val="00E71B94"/>
    <w:rsid w:val="00E86C8F"/>
    <w:rsid w:val="00E962C5"/>
    <w:rsid w:val="00EA0331"/>
    <w:rsid w:val="00EA3488"/>
    <w:rsid w:val="00EA5C2C"/>
    <w:rsid w:val="00EA771B"/>
    <w:rsid w:val="00EB4DB2"/>
    <w:rsid w:val="00EB5F7D"/>
    <w:rsid w:val="00EC2764"/>
    <w:rsid w:val="00EC52B4"/>
    <w:rsid w:val="00EC589F"/>
    <w:rsid w:val="00EC5E34"/>
    <w:rsid w:val="00ED566A"/>
    <w:rsid w:val="00EE5A9C"/>
    <w:rsid w:val="00EF1DB5"/>
    <w:rsid w:val="00EF20E6"/>
    <w:rsid w:val="00F07FED"/>
    <w:rsid w:val="00F1168B"/>
    <w:rsid w:val="00F26BE6"/>
    <w:rsid w:val="00F579B5"/>
    <w:rsid w:val="00F7348E"/>
    <w:rsid w:val="00F7460F"/>
    <w:rsid w:val="00F93A40"/>
    <w:rsid w:val="00F96CA4"/>
    <w:rsid w:val="00F97D64"/>
    <w:rsid w:val="00FA58F7"/>
    <w:rsid w:val="00FC5E09"/>
    <w:rsid w:val="00FD085A"/>
    <w:rsid w:val="00FD3526"/>
    <w:rsid w:val="00FD543C"/>
    <w:rsid w:val="00FE0D60"/>
    <w:rsid w:val="00FE3746"/>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553F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53FC9"/>
    <w:pPr>
      <w:pBdr>
        <w:top w:val="none" w:sz="0" w:space="0" w:color="auto"/>
      </w:pBdr>
      <w:spacing w:before="180"/>
      <w:outlineLvl w:val="1"/>
    </w:pPr>
    <w:rPr>
      <w:sz w:val="32"/>
    </w:rPr>
  </w:style>
  <w:style w:type="paragraph" w:styleId="Heading3">
    <w:name w:val="heading 3"/>
    <w:basedOn w:val="Heading2"/>
    <w:next w:val="Normal"/>
    <w:qFormat/>
    <w:rsid w:val="00553FC9"/>
    <w:pPr>
      <w:spacing w:before="120"/>
      <w:outlineLvl w:val="2"/>
    </w:pPr>
    <w:rPr>
      <w:sz w:val="28"/>
    </w:rPr>
  </w:style>
  <w:style w:type="paragraph" w:styleId="Heading4">
    <w:name w:val="heading 4"/>
    <w:basedOn w:val="Heading3"/>
    <w:next w:val="Normal"/>
    <w:qFormat/>
    <w:rsid w:val="00553FC9"/>
    <w:pPr>
      <w:ind w:left="1418" w:hanging="1418"/>
      <w:outlineLvl w:val="3"/>
    </w:pPr>
    <w:rPr>
      <w:sz w:val="24"/>
    </w:rPr>
  </w:style>
  <w:style w:type="paragraph" w:styleId="Heading5">
    <w:name w:val="heading 5"/>
    <w:basedOn w:val="Heading4"/>
    <w:next w:val="Normal"/>
    <w:qFormat/>
    <w:rsid w:val="00553FC9"/>
    <w:pPr>
      <w:ind w:left="1701" w:hanging="1701"/>
      <w:outlineLvl w:val="4"/>
    </w:pPr>
    <w:rPr>
      <w:sz w:val="22"/>
    </w:rPr>
  </w:style>
  <w:style w:type="paragraph" w:styleId="Heading6">
    <w:name w:val="heading 6"/>
    <w:basedOn w:val="H6"/>
    <w:next w:val="Normal"/>
    <w:qFormat/>
    <w:rsid w:val="00553FC9"/>
    <w:pPr>
      <w:outlineLvl w:val="5"/>
    </w:pPr>
  </w:style>
  <w:style w:type="paragraph" w:styleId="Heading7">
    <w:name w:val="heading 7"/>
    <w:basedOn w:val="H6"/>
    <w:next w:val="Normal"/>
    <w:qFormat/>
    <w:rsid w:val="00553FC9"/>
    <w:pPr>
      <w:outlineLvl w:val="6"/>
    </w:pPr>
  </w:style>
  <w:style w:type="paragraph" w:styleId="Heading8">
    <w:name w:val="heading 8"/>
    <w:basedOn w:val="Heading1"/>
    <w:next w:val="Normal"/>
    <w:qFormat/>
    <w:rsid w:val="00553FC9"/>
    <w:pPr>
      <w:ind w:left="0" w:firstLine="0"/>
      <w:outlineLvl w:val="7"/>
    </w:pPr>
  </w:style>
  <w:style w:type="paragraph" w:styleId="Heading9">
    <w:name w:val="heading 9"/>
    <w:basedOn w:val="Heading8"/>
    <w:next w:val="Normal"/>
    <w:qFormat/>
    <w:rsid w:val="00553F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53FC9"/>
    <w:pPr>
      <w:spacing w:before="180"/>
      <w:ind w:left="2693" w:hanging="2693"/>
    </w:pPr>
    <w:rPr>
      <w:b/>
    </w:rPr>
  </w:style>
  <w:style w:type="paragraph" w:styleId="TOC1">
    <w:name w:val="toc 1"/>
    <w:semiHidden/>
    <w:rsid w:val="00553F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53F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53FC9"/>
    <w:pPr>
      <w:ind w:left="1701" w:hanging="1701"/>
    </w:pPr>
  </w:style>
  <w:style w:type="paragraph" w:styleId="TOC4">
    <w:name w:val="toc 4"/>
    <w:basedOn w:val="TOC3"/>
    <w:semiHidden/>
    <w:rsid w:val="00553FC9"/>
    <w:pPr>
      <w:ind w:left="1418" w:hanging="1418"/>
    </w:pPr>
  </w:style>
  <w:style w:type="paragraph" w:styleId="TOC3">
    <w:name w:val="toc 3"/>
    <w:basedOn w:val="TOC2"/>
    <w:semiHidden/>
    <w:rsid w:val="00553FC9"/>
    <w:pPr>
      <w:ind w:left="1134" w:hanging="1134"/>
    </w:pPr>
  </w:style>
  <w:style w:type="paragraph" w:styleId="TOC2">
    <w:name w:val="toc 2"/>
    <w:basedOn w:val="TOC1"/>
    <w:semiHidden/>
    <w:rsid w:val="00553FC9"/>
    <w:pPr>
      <w:keepNext w:val="0"/>
      <w:spacing w:before="0"/>
      <w:ind w:left="851" w:hanging="851"/>
    </w:pPr>
    <w:rPr>
      <w:sz w:val="20"/>
    </w:rPr>
  </w:style>
  <w:style w:type="paragraph" w:styleId="Index2">
    <w:name w:val="index 2"/>
    <w:basedOn w:val="Index1"/>
    <w:semiHidden/>
    <w:rsid w:val="00553FC9"/>
    <w:pPr>
      <w:ind w:left="284"/>
    </w:pPr>
  </w:style>
  <w:style w:type="paragraph" w:styleId="Index1">
    <w:name w:val="index 1"/>
    <w:basedOn w:val="Normal"/>
    <w:semiHidden/>
    <w:rsid w:val="00553FC9"/>
    <w:pPr>
      <w:keepLines/>
      <w:spacing w:after="0"/>
    </w:pPr>
  </w:style>
  <w:style w:type="paragraph" w:customStyle="1" w:styleId="ZH">
    <w:name w:val="ZH"/>
    <w:rsid w:val="00553FC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53FC9"/>
    <w:pPr>
      <w:outlineLvl w:val="9"/>
    </w:pPr>
  </w:style>
  <w:style w:type="paragraph" w:styleId="ListNumber2">
    <w:name w:val="List Number 2"/>
    <w:basedOn w:val="ListNumber"/>
    <w:semiHidden/>
    <w:rsid w:val="00553FC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53FC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53FC9"/>
    <w:rPr>
      <w:b/>
      <w:position w:val="6"/>
      <w:sz w:val="16"/>
    </w:rPr>
  </w:style>
  <w:style w:type="paragraph" w:styleId="FootnoteText">
    <w:name w:val="footnote text"/>
    <w:basedOn w:val="Normal"/>
    <w:semiHidden/>
    <w:rsid w:val="00553FC9"/>
    <w:pPr>
      <w:keepLines/>
      <w:spacing w:after="0"/>
      <w:ind w:left="454" w:hanging="454"/>
    </w:pPr>
    <w:rPr>
      <w:sz w:val="16"/>
    </w:rPr>
  </w:style>
  <w:style w:type="paragraph" w:customStyle="1" w:styleId="TAH">
    <w:name w:val="TAH"/>
    <w:basedOn w:val="TAC"/>
    <w:link w:val="TAHCar"/>
    <w:qFormat/>
    <w:rsid w:val="00553FC9"/>
    <w:rPr>
      <w:b/>
    </w:rPr>
  </w:style>
  <w:style w:type="paragraph" w:customStyle="1" w:styleId="TAC">
    <w:name w:val="TAC"/>
    <w:basedOn w:val="TAL"/>
    <w:link w:val="TACChar"/>
    <w:qFormat/>
    <w:rsid w:val="00553FC9"/>
    <w:pPr>
      <w:jc w:val="center"/>
    </w:pPr>
  </w:style>
  <w:style w:type="paragraph" w:customStyle="1" w:styleId="TF">
    <w:name w:val="TF"/>
    <w:basedOn w:val="TH"/>
    <w:rsid w:val="00553FC9"/>
    <w:pPr>
      <w:keepNext w:val="0"/>
      <w:spacing w:before="0" w:after="240"/>
    </w:pPr>
  </w:style>
  <w:style w:type="paragraph" w:customStyle="1" w:styleId="NO">
    <w:name w:val="NO"/>
    <w:basedOn w:val="Normal"/>
    <w:rsid w:val="00553FC9"/>
    <w:pPr>
      <w:keepLines/>
      <w:ind w:left="1135" w:hanging="851"/>
    </w:pPr>
  </w:style>
  <w:style w:type="paragraph" w:styleId="TOC9">
    <w:name w:val="toc 9"/>
    <w:basedOn w:val="TOC8"/>
    <w:semiHidden/>
    <w:rsid w:val="00553FC9"/>
    <w:pPr>
      <w:ind w:left="1418" w:hanging="1418"/>
    </w:pPr>
  </w:style>
  <w:style w:type="paragraph" w:customStyle="1" w:styleId="EX">
    <w:name w:val="EX"/>
    <w:basedOn w:val="Normal"/>
    <w:rsid w:val="00553FC9"/>
    <w:pPr>
      <w:keepLines/>
      <w:ind w:left="1702" w:hanging="1418"/>
    </w:pPr>
  </w:style>
  <w:style w:type="paragraph" w:customStyle="1" w:styleId="FP">
    <w:name w:val="FP"/>
    <w:basedOn w:val="Normal"/>
    <w:rsid w:val="00553FC9"/>
    <w:pPr>
      <w:spacing w:after="0"/>
    </w:pPr>
  </w:style>
  <w:style w:type="paragraph" w:customStyle="1" w:styleId="LD">
    <w:name w:val="LD"/>
    <w:rsid w:val="00553FC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53FC9"/>
    <w:pPr>
      <w:spacing w:after="0"/>
    </w:pPr>
  </w:style>
  <w:style w:type="paragraph" w:customStyle="1" w:styleId="EW">
    <w:name w:val="EW"/>
    <w:basedOn w:val="EX"/>
    <w:rsid w:val="00553FC9"/>
    <w:pPr>
      <w:spacing w:after="0"/>
    </w:pPr>
  </w:style>
  <w:style w:type="paragraph" w:styleId="TOC6">
    <w:name w:val="toc 6"/>
    <w:basedOn w:val="TOC5"/>
    <w:next w:val="Normal"/>
    <w:semiHidden/>
    <w:rsid w:val="00553FC9"/>
    <w:pPr>
      <w:ind w:left="1985" w:hanging="1985"/>
    </w:pPr>
  </w:style>
  <w:style w:type="paragraph" w:styleId="TOC7">
    <w:name w:val="toc 7"/>
    <w:basedOn w:val="TOC6"/>
    <w:next w:val="Normal"/>
    <w:semiHidden/>
    <w:rsid w:val="00553FC9"/>
    <w:pPr>
      <w:ind w:left="2268" w:hanging="2268"/>
    </w:pPr>
  </w:style>
  <w:style w:type="paragraph" w:styleId="ListBullet2">
    <w:name w:val="List Bullet 2"/>
    <w:basedOn w:val="ListBullet"/>
    <w:semiHidden/>
    <w:rsid w:val="00553FC9"/>
    <w:pPr>
      <w:ind w:left="851"/>
    </w:pPr>
  </w:style>
  <w:style w:type="paragraph" w:styleId="ListBullet3">
    <w:name w:val="List Bullet 3"/>
    <w:basedOn w:val="ListBullet2"/>
    <w:semiHidden/>
    <w:rsid w:val="00553FC9"/>
    <w:pPr>
      <w:ind w:left="1135"/>
    </w:pPr>
  </w:style>
  <w:style w:type="paragraph" w:styleId="ListNumber">
    <w:name w:val="List Number"/>
    <w:basedOn w:val="List"/>
    <w:semiHidden/>
    <w:rsid w:val="00553FC9"/>
  </w:style>
  <w:style w:type="paragraph" w:customStyle="1" w:styleId="EQ">
    <w:name w:val="EQ"/>
    <w:basedOn w:val="Normal"/>
    <w:next w:val="Normal"/>
    <w:link w:val="EQChar"/>
    <w:rsid w:val="00553FC9"/>
    <w:pPr>
      <w:keepLines/>
      <w:tabs>
        <w:tab w:val="center" w:pos="4536"/>
        <w:tab w:val="right" w:pos="9072"/>
      </w:tabs>
    </w:pPr>
    <w:rPr>
      <w:noProof/>
    </w:rPr>
  </w:style>
  <w:style w:type="paragraph" w:customStyle="1" w:styleId="TH">
    <w:name w:val="TH"/>
    <w:basedOn w:val="Normal"/>
    <w:link w:val="THChar"/>
    <w:rsid w:val="00553FC9"/>
    <w:pPr>
      <w:keepNext/>
      <w:keepLines/>
      <w:spacing w:before="60"/>
      <w:jc w:val="center"/>
    </w:pPr>
    <w:rPr>
      <w:rFonts w:ascii="Arial" w:hAnsi="Arial"/>
      <w:b/>
    </w:rPr>
  </w:style>
  <w:style w:type="paragraph" w:customStyle="1" w:styleId="NF">
    <w:name w:val="NF"/>
    <w:basedOn w:val="NO"/>
    <w:rsid w:val="00553FC9"/>
    <w:pPr>
      <w:keepNext/>
      <w:spacing w:after="0"/>
    </w:pPr>
    <w:rPr>
      <w:rFonts w:ascii="Arial" w:hAnsi="Arial"/>
      <w:sz w:val="18"/>
    </w:rPr>
  </w:style>
  <w:style w:type="paragraph" w:customStyle="1" w:styleId="PL">
    <w:name w:val="PL"/>
    <w:rsid w:val="00553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53FC9"/>
    <w:pPr>
      <w:jc w:val="right"/>
    </w:pPr>
  </w:style>
  <w:style w:type="paragraph" w:customStyle="1" w:styleId="H6">
    <w:name w:val="H6"/>
    <w:basedOn w:val="Heading5"/>
    <w:next w:val="Normal"/>
    <w:rsid w:val="00553FC9"/>
    <w:pPr>
      <w:ind w:left="1985" w:hanging="1985"/>
      <w:outlineLvl w:val="9"/>
    </w:pPr>
    <w:rPr>
      <w:sz w:val="20"/>
    </w:rPr>
  </w:style>
  <w:style w:type="paragraph" w:customStyle="1" w:styleId="TAN">
    <w:name w:val="TAN"/>
    <w:basedOn w:val="TAL"/>
    <w:link w:val="TANChar"/>
    <w:rsid w:val="00553FC9"/>
    <w:pPr>
      <w:ind w:left="851" w:hanging="851"/>
    </w:pPr>
  </w:style>
  <w:style w:type="paragraph" w:customStyle="1" w:styleId="TAL">
    <w:name w:val="TAL"/>
    <w:basedOn w:val="Normal"/>
    <w:rsid w:val="00553FC9"/>
    <w:pPr>
      <w:keepNext/>
      <w:keepLines/>
      <w:spacing w:after="0"/>
    </w:pPr>
    <w:rPr>
      <w:rFonts w:ascii="Arial" w:hAnsi="Arial"/>
      <w:sz w:val="18"/>
    </w:rPr>
  </w:style>
  <w:style w:type="paragraph" w:customStyle="1" w:styleId="ZA">
    <w:name w:val="ZA"/>
    <w:rsid w:val="00553F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53F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53FC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53F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53FC9"/>
    <w:pPr>
      <w:framePr w:wrap="notBeside" w:y="16161"/>
    </w:pPr>
  </w:style>
  <w:style w:type="character" w:customStyle="1" w:styleId="ZGSM">
    <w:name w:val="ZGSM"/>
    <w:rsid w:val="00553FC9"/>
  </w:style>
  <w:style w:type="paragraph" w:styleId="List2">
    <w:name w:val="List 2"/>
    <w:basedOn w:val="List"/>
    <w:semiHidden/>
    <w:rsid w:val="00553FC9"/>
    <w:pPr>
      <w:ind w:left="851"/>
    </w:pPr>
  </w:style>
  <w:style w:type="paragraph" w:customStyle="1" w:styleId="ZG">
    <w:name w:val="ZG"/>
    <w:rsid w:val="00553F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553FC9"/>
    <w:pPr>
      <w:ind w:left="1135"/>
    </w:pPr>
  </w:style>
  <w:style w:type="paragraph" w:styleId="List4">
    <w:name w:val="List 4"/>
    <w:basedOn w:val="List3"/>
    <w:semiHidden/>
    <w:rsid w:val="00553FC9"/>
    <w:pPr>
      <w:ind w:left="1418"/>
    </w:pPr>
  </w:style>
  <w:style w:type="paragraph" w:styleId="List5">
    <w:name w:val="List 5"/>
    <w:basedOn w:val="List4"/>
    <w:semiHidden/>
    <w:rsid w:val="00553FC9"/>
    <w:pPr>
      <w:ind w:left="1702"/>
    </w:pPr>
  </w:style>
  <w:style w:type="paragraph" w:customStyle="1" w:styleId="EditorsNote">
    <w:name w:val="Editor's Note"/>
    <w:basedOn w:val="NO"/>
    <w:rsid w:val="00553FC9"/>
    <w:rPr>
      <w:color w:val="FF0000"/>
    </w:rPr>
  </w:style>
  <w:style w:type="paragraph" w:styleId="List">
    <w:name w:val="List"/>
    <w:basedOn w:val="Normal"/>
    <w:semiHidden/>
    <w:rsid w:val="00553FC9"/>
    <w:pPr>
      <w:ind w:left="568" w:hanging="284"/>
    </w:pPr>
  </w:style>
  <w:style w:type="paragraph" w:styleId="ListBullet">
    <w:name w:val="List Bullet"/>
    <w:basedOn w:val="List"/>
    <w:semiHidden/>
    <w:rsid w:val="00553FC9"/>
  </w:style>
  <w:style w:type="paragraph" w:styleId="ListBullet4">
    <w:name w:val="List Bullet 4"/>
    <w:basedOn w:val="ListBullet3"/>
    <w:semiHidden/>
    <w:rsid w:val="00553FC9"/>
    <w:pPr>
      <w:ind w:left="1418"/>
    </w:pPr>
  </w:style>
  <w:style w:type="paragraph" w:styleId="ListBullet5">
    <w:name w:val="List Bullet 5"/>
    <w:basedOn w:val="ListBullet4"/>
    <w:semiHidden/>
    <w:rsid w:val="00553FC9"/>
    <w:pPr>
      <w:ind w:left="1702"/>
    </w:pPr>
  </w:style>
  <w:style w:type="paragraph" w:customStyle="1" w:styleId="B1">
    <w:name w:val="B1"/>
    <w:basedOn w:val="List"/>
    <w:rsid w:val="00553FC9"/>
  </w:style>
  <w:style w:type="paragraph" w:customStyle="1" w:styleId="B2">
    <w:name w:val="B2"/>
    <w:basedOn w:val="List2"/>
    <w:rsid w:val="00553FC9"/>
  </w:style>
  <w:style w:type="paragraph" w:customStyle="1" w:styleId="B3">
    <w:name w:val="B3"/>
    <w:basedOn w:val="List3"/>
    <w:rsid w:val="00553FC9"/>
  </w:style>
  <w:style w:type="paragraph" w:customStyle="1" w:styleId="B4">
    <w:name w:val="B4"/>
    <w:basedOn w:val="List4"/>
    <w:rsid w:val="00553FC9"/>
  </w:style>
  <w:style w:type="paragraph" w:customStyle="1" w:styleId="B5">
    <w:name w:val="B5"/>
    <w:basedOn w:val="List5"/>
    <w:rsid w:val="00553FC9"/>
  </w:style>
  <w:style w:type="paragraph" w:styleId="Footer">
    <w:name w:val="footer"/>
    <w:basedOn w:val="Header"/>
    <w:semiHidden/>
    <w:rsid w:val="00553FC9"/>
    <w:pPr>
      <w:jc w:val="center"/>
    </w:pPr>
    <w:rPr>
      <w:i/>
    </w:rPr>
  </w:style>
  <w:style w:type="paragraph" w:customStyle="1" w:styleId="ZTD">
    <w:name w:val="ZTD"/>
    <w:basedOn w:val="ZB"/>
    <w:rsid w:val="00553FC9"/>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DC1586"/>
    <w:rPr>
      <w:rFonts w:ascii="Arial" w:hAnsi="Arial"/>
      <w:b/>
      <w:lang w:val="en-GB" w:eastAsia="en-US"/>
    </w:rPr>
  </w:style>
  <w:style w:type="character" w:customStyle="1" w:styleId="TANChar">
    <w:name w:val="TAN Char"/>
    <w:link w:val="TAN"/>
    <w:rsid w:val="00DC1586"/>
    <w:rPr>
      <w:rFonts w:ascii="Arial" w:hAnsi="Arial"/>
      <w:sz w:val="18"/>
      <w:lang w:val="en-GB" w:eastAsia="en-US"/>
    </w:rPr>
  </w:style>
  <w:style w:type="character" w:customStyle="1" w:styleId="EQChar">
    <w:name w:val="EQ Char"/>
    <w:link w:val="EQ"/>
    <w:rsid w:val="00532474"/>
    <w:rPr>
      <w:rFonts w:ascii="Times New Roman" w:hAnsi="Times New Roman"/>
      <w:noProof/>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53ADB"/>
    <w:rPr>
      <w:rFonts w:ascii="Times New Roman" w:hAnsi="Times New Roman"/>
      <w:lang w:val="en-GB" w:eastAsia="en-US"/>
    </w:rPr>
  </w:style>
  <w:style w:type="paragraph" w:customStyle="1" w:styleId="TableText">
    <w:name w:val="TableText"/>
    <w:basedOn w:val="BodyTextIndent"/>
    <w:qFormat/>
    <w:rsid w:val="00403EF4"/>
    <w:pPr>
      <w:spacing w:after="180"/>
      <w:ind w:leftChars="400" w:left="851"/>
    </w:pPr>
    <w:rPr>
      <w:rFonts w:eastAsia="Malgun Gothic"/>
    </w:rPr>
  </w:style>
  <w:style w:type="paragraph" w:styleId="BodyTextIndent">
    <w:name w:val="Body Text Indent"/>
    <w:basedOn w:val="Normal"/>
    <w:link w:val="BodyTextIndentChar"/>
    <w:uiPriority w:val="99"/>
    <w:semiHidden/>
    <w:unhideWhenUsed/>
    <w:rsid w:val="00403EF4"/>
    <w:pPr>
      <w:spacing w:after="120"/>
      <w:ind w:left="283"/>
    </w:pPr>
  </w:style>
  <w:style w:type="character" w:customStyle="1" w:styleId="BodyTextIndentChar">
    <w:name w:val="Body Text Indent Char"/>
    <w:basedOn w:val="DefaultParagraphFont"/>
    <w:link w:val="BodyTextIndent"/>
    <w:uiPriority w:val="99"/>
    <w:semiHidden/>
    <w:rsid w:val="00403EF4"/>
    <w:rPr>
      <w:rFonts w:ascii="Times New Roman" w:hAnsi="Times New Roman"/>
      <w:lang w:val="en-GB" w:eastAsia="en-US"/>
    </w:rPr>
  </w:style>
  <w:style w:type="character" w:customStyle="1" w:styleId="Heading2Char">
    <w:name w:val="Heading 2 Char"/>
    <w:basedOn w:val="DefaultParagraphFont"/>
    <w:link w:val="Heading2"/>
    <w:rsid w:val="00A76B87"/>
    <w:rPr>
      <w:rFonts w:ascii="Arial" w:hAnsi="Arial"/>
      <w:sz w:val="32"/>
      <w:lang w:val="en-GB" w:eastAsia="en-US"/>
    </w:rPr>
  </w:style>
  <w:style w:type="table" w:styleId="TableGrid">
    <w:name w:val="Table Grid"/>
    <w:basedOn w:val="TableNormal"/>
    <w:uiPriority w:val="59"/>
    <w:rsid w:val="001C1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44595632">
      <w:bodyDiv w:val="1"/>
      <w:marLeft w:val="0"/>
      <w:marRight w:val="0"/>
      <w:marTop w:val="0"/>
      <w:marBottom w:val="0"/>
      <w:divBdr>
        <w:top w:val="none" w:sz="0" w:space="0" w:color="auto"/>
        <w:left w:val="none" w:sz="0" w:space="0" w:color="auto"/>
        <w:bottom w:val="none" w:sz="0" w:space="0" w:color="auto"/>
        <w:right w:val="none" w:sz="0" w:space="0" w:color="auto"/>
      </w:divBdr>
    </w:div>
    <w:div w:id="528879526">
      <w:bodyDiv w:val="1"/>
      <w:marLeft w:val="0"/>
      <w:marRight w:val="0"/>
      <w:marTop w:val="0"/>
      <w:marBottom w:val="0"/>
      <w:divBdr>
        <w:top w:val="none" w:sz="0" w:space="0" w:color="auto"/>
        <w:left w:val="none" w:sz="0" w:space="0" w:color="auto"/>
        <w:bottom w:val="none" w:sz="0" w:space="0" w:color="auto"/>
        <w:right w:val="none" w:sz="0" w:space="0" w:color="auto"/>
      </w:divBdr>
    </w:div>
    <w:div w:id="541331405">
      <w:bodyDiv w:val="1"/>
      <w:marLeft w:val="0"/>
      <w:marRight w:val="0"/>
      <w:marTop w:val="0"/>
      <w:marBottom w:val="0"/>
      <w:divBdr>
        <w:top w:val="none" w:sz="0" w:space="0" w:color="auto"/>
        <w:left w:val="none" w:sz="0" w:space="0" w:color="auto"/>
        <w:bottom w:val="none" w:sz="0" w:space="0" w:color="auto"/>
        <w:right w:val="none" w:sz="0" w:space="0" w:color="auto"/>
      </w:divBdr>
    </w:div>
    <w:div w:id="612857317">
      <w:bodyDiv w:val="1"/>
      <w:marLeft w:val="0"/>
      <w:marRight w:val="0"/>
      <w:marTop w:val="0"/>
      <w:marBottom w:val="0"/>
      <w:divBdr>
        <w:top w:val="none" w:sz="0" w:space="0" w:color="auto"/>
        <w:left w:val="none" w:sz="0" w:space="0" w:color="auto"/>
        <w:bottom w:val="none" w:sz="0" w:space="0" w:color="auto"/>
        <w:right w:val="none" w:sz="0" w:space="0" w:color="auto"/>
      </w:divBdr>
    </w:div>
    <w:div w:id="815102240">
      <w:bodyDiv w:val="1"/>
      <w:marLeft w:val="0"/>
      <w:marRight w:val="0"/>
      <w:marTop w:val="0"/>
      <w:marBottom w:val="0"/>
      <w:divBdr>
        <w:top w:val="none" w:sz="0" w:space="0" w:color="auto"/>
        <w:left w:val="none" w:sz="0" w:space="0" w:color="auto"/>
        <w:bottom w:val="none" w:sz="0" w:space="0" w:color="auto"/>
        <w:right w:val="none" w:sz="0" w:space="0" w:color="auto"/>
      </w:divBdr>
    </w:div>
    <w:div w:id="822627964">
      <w:bodyDiv w:val="1"/>
      <w:marLeft w:val="0"/>
      <w:marRight w:val="0"/>
      <w:marTop w:val="0"/>
      <w:marBottom w:val="0"/>
      <w:divBdr>
        <w:top w:val="none" w:sz="0" w:space="0" w:color="auto"/>
        <w:left w:val="none" w:sz="0" w:space="0" w:color="auto"/>
        <w:bottom w:val="none" w:sz="0" w:space="0" w:color="auto"/>
        <w:right w:val="none" w:sz="0" w:space="0" w:color="auto"/>
      </w:divBdr>
    </w:div>
    <w:div w:id="953823760">
      <w:bodyDiv w:val="1"/>
      <w:marLeft w:val="0"/>
      <w:marRight w:val="0"/>
      <w:marTop w:val="0"/>
      <w:marBottom w:val="0"/>
      <w:divBdr>
        <w:top w:val="none" w:sz="0" w:space="0" w:color="auto"/>
        <w:left w:val="none" w:sz="0" w:space="0" w:color="auto"/>
        <w:bottom w:val="none" w:sz="0" w:space="0" w:color="auto"/>
        <w:right w:val="none" w:sz="0" w:space="0" w:color="auto"/>
      </w:divBdr>
    </w:div>
    <w:div w:id="989092683">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83110786">
      <w:bodyDiv w:val="1"/>
      <w:marLeft w:val="0"/>
      <w:marRight w:val="0"/>
      <w:marTop w:val="0"/>
      <w:marBottom w:val="0"/>
      <w:divBdr>
        <w:top w:val="none" w:sz="0" w:space="0" w:color="auto"/>
        <w:left w:val="none" w:sz="0" w:space="0" w:color="auto"/>
        <w:bottom w:val="none" w:sz="0" w:space="0" w:color="auto"/>
        <w:right w:val="none" w:sz="0" w:space="0" w:color="auto"/>
      </w:divBdr>
    </w:div>
    <w:div w:id="1860701434">
      <w:bodyDiv w:val="1"/>
      <w:marLeft w:val="0"/>
      <w:marRight w:val="0"/>
      <w:marTop w:val="0"/>
      <w:marBottom w:val="0"/>
      <w:divBdr>
        <w:top w:val="none" w:sz="0" w:space="0" w:color="auto"/>
        <w:left w:val="none" w:sz="0" w:space="0" w:color="auto"/>
        <w:bottom w:val="none" w:sz="0" w:space="0" w:color="auto"/>
        <w:right w:val="none" w:sz="0" w:space="0" w:color="auto"/>
      </w:divBdr>
    </w:div>
    <w:div w:id="186404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127</TotalTime>
  <Pages>5</Pages>
  <Words>1134</Words>
  <Characters>9187</Characters>
  <Application>Microsoft Office Word</Application>
  <DocSecurity>0</DocSecurity>
  <Lines>76</Lines>
  <Paragraphs>20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Marttila, Jaakko (Nokia - FI/Tampere)</cp:lastModifiedBy>
  <cp:revision>7</cp:revision>
  <cp:lastPrinted>1899-12-31T22:00:00Z</cp:lastPrinted>
  <dcterms:created xsi:type="dcterms:W3CDTF">2021-10-21T07:13:00Z</dcterms:created>
  <dcterms:modified xsi:type="dcterms:W3CDTF">2021-10-21T09:26:00Z</dcterms:modified>
</cp:coreProperties>
</file>