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77A" w:rsidRPr="00B23518" w:rsidRDefault="0078177A" w:rsidP="0078177A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B62423">
        <w:rPr>
          <w:rFonts w:ascii="Arial" w:hAnsi="Arial" w:cs="Arial"/>
          <w:b/>
          <w:sz w:val="24"/>
          <w:szCs w:val="24"/>
        </w:rPr>
        <w:t>117361</w:t>
      </w:r>
    </w:p>
    <w:p w:rsidR="0078177A" w:rsidRPr="00C53146" w:rsidRDefault="0078177A" w:rsidP="0078177A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November 01-12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8177A">
        <w:rPr>
          <w:rFonts w:ascii="Arial" w:hAnsi="Arial" w:cs="Arial"/>
          <w:b w:val="0"/>
        </w:rPr>
        <w:t>8.8.2.3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182559" w:rsidRPr="00182559">
        <w:rPr>
          <w:rFonts w:ascii="Arial" w:hAnsi="Arial" w:cs="Arial"/>
          <w:b w:val="0"/>
        </w:rPr>
        <w:t xml:space="preserve">Discussion on </w:t>
      </w:r>
      <w:r w:rsidR="00092021">
        <w:rPr>
          <w:rFonts w:ascii="Arial" w:hAnsi="Arial" w:cs="Arial"/>
          <w:b w:val="0"/>
        </w:rPr>
        <w:t xml:space="preserve">L1-SINR measurements </w:t>
      </w:r>
      <w:r w:rsidR="00182559" w:rsidRPr="00182559">
        <w:rPr>
          <w:rFonts w:ascii="Arial" w:hAnsi="Arial" w:cs="Arial"/>
          <w:b w:val="0"/>
        </w:rPr>
        <w:t>for FR1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492142" w:rsidP="00FD73FA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FR1 HST during the past RAN4 meetings and a WF on</w:t>
      </w:r>
      <w:r>
        <w:rPr>
          <w:rFonts w:eastAsia="宋体"/>
          <w:lang w:eastAsia="zh-CN"/>
        </w:rPr>
        <w:t xml:space="preserve"> RRM requirements for NR FR1 HST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</w:t>
      </w:r>
      <w:r w:rsidR="009611E4">
        <w:rPr>
          <w:lang w:eastAsia="zh-CN"/>
        </w:rPr>
        <w:t xml:space="preserve">But </w:t>
      </w:r>
      <w:r>
        <w:rPr>
          <w:lang w:eastAsia="zh-CN"/>
        </w:rPr>
        <w:t xml:space="preserve">L1-SINR issues are still open. 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</w:t>
      </w:r>
      <w:bookmarkStart w:id="2" w:name="OLE_LINK5"/>
      <w:bookmarkStart w:id="3" w:name="OLE_LINK6"/>
      <w:r w:rsidR="00492142">
        <w:rPr>
          <w:lang w:eastAsia="zh-CN"/>
        </w:rPr>
        <w:t>our consideration of L1-SINR measurements for FR1 HST</w:t>
      </w:r>
      <w:r w:rsidR="00585571">
        <w:rPr>
          <w:lang w:eastAsia="zh-CN"/>
        </w:rPr>
        <w:t xml:space="preserve"> </w:t>
      </w:r>
      <w:r w:rsidR="006318D2">
        <w:t>and</w:t>
      </w:r>
      <w:bookmarkEnd w:id="2"/>
      <w:bookmarkEnd w:id="3"/>
      <w:r w:rsidR="006318D2">
        <w:t xml:space="preserve">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FC2425" w:rsidRDefault="003D2403" w:rsidP="00784BCA">
      <w:pPr>
        <w:spacing w:after="120"/>
        <w:rPr>
          <w:rFonts w:eastAsia="宋体"/>
          <w:lang w:eastAsia="zh-CN"/>
        </w:rPr>
      </w:pPr>
      <w:r w:rsidRPr="003D240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492142" w:rsidTr="00492142">
        <w:tc>
          <w:tcPr>
            <w:tcW w:w="8856" w:type="dxa"/>
          </w:tcPr>
          <w:p w:rsidR="00492142" w:rsidRDefault="00492142" w:rsidP="0049214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3-1: whether L1-SINR measurement is applicable to HST</w:t>
            </w:r>
          </w:p>
          <w:p w:rsidR="00492142" w:rsidRDefault="00492142" w:rsidP="00492142">
            <w:pPr>
              <w:pStyle w:val="a9"/>
              <w:numPr>
                <w:ilvl w:val="0"/>
                <w:numId w:val="24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 (CMCC, vivo): Yes. The configuration of CMR/IMR is up to network configuration, there is no restriction on L1-SINR for HST scenario </w:t>
            </w:r>
          </w:p>
          <w:p w:rsidR="00492142" w:rsidRDefault="00492142" w:rsidP="00492142">
            <w:pPr>
              <w:pStyle w:val="a9"/>
              <w:numPr>
                <w:ilvl w:val="0"/>
                <w:numId w:val="24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 (MTK, OPPO, Ericsson, HW, Apple, QC, Nokia, Intel): RAN4 needs to confirm whether L1-SINR measurement is applicable for HST or not</w:t>
            </w:r>
          </w:p>
          <w:p w:rsidR="00492142" w:rsidRDefault="00492142" w:rsidP="0049214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3-2: If L1-SINR measurement is applicable to HST, whether it is necessary to specify upper bound of side condition for L1-SINR measurement</w:t>
            </w:r>
          </w:p>
          <w:p w:rsidR="00492142" w:rsidRDefault="00492142" w:rsidP="00492142">
            <w:pPr>
              <w:pStyle w:val="a9"/>
              <w:numPr>
                <w:ilvl w:val="0"/>
                <w:numId w:val="24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Companies are encouraged to evaluate whether an applicable upper bound for L1-SINR is needed and what is the concrete value of the upper bound, if needed.</w:t>
            </w:r>
          </w:p>
          <w:p w:rsidR="00492142" w:rsidRDefault="00492142" w:rsidP="00492142">
            <w:pPr>
              <w:pStyle w:val="a9"/>
              <w:numPr>
                <w:ilvl w:val="0"/>
                <w:numId w:val="24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Following is the simulation assumption for information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30"/>
              <w:gridCol w:w="1800"/>
              <w:gridCol w:w="1800"/>
            </w:tblGrid>
            <w:tr w:rsidR="00492142" w:rsidTr="00492142">
              <w:trPr>
                <w:trHeight w:val="218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b/>
                      <w:lang w:val="en-US" w:eastAsia="ja-JP"/>
                    </w:rPr>
                  </w:pPr>
                  <w:r>
                    <w:rPr>
                      <w:b/>
                      <w:lang w:eastAsia="ja-JP"/>
                    </w:rPr>
                    <w:t>Simulation parameters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Comments/values</w:t>
                  </w:r>
                </w:p>
              </w:tc>
            </w:tr>
            <w:tr w:rsidR="00492142" w:rsidTr="00492142">
              <w:trPr>
                <w:trHeight w:val="95"/>
              </w:trPr>
              <w:tc>
                <w:tcPr>
                  <w:tcW w:w="566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Carrier frequency for Cell 1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3.6 GHz</w:t>
                  </w:r>
                </w:p>
              </w:tc>
            </w:tr>
            <w:tr w:rsidR="00492142" w:rsidTr="00492142">
              <w:trPr>
                <w:trHeight w:val="457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channel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AWGN</w:t>
                  </w:r>
                </w:p>
              </w:tc>
            </w:tr>
            <w:tr w:rsidR="00492142" w:rsidTr="00492142">
              <w:trPr>
                <w:trHeight w:val="282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zh-CN"/>
                    </w:rPr>
                  </w:pPr>
                  <w:r>
                    <w:t>BS transmit antennas for CSI-RS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</w:pPr>
                  <w:r>
                    <w:t xml:space="preserve">1 </w:t>
                  </w:r>
                  <w:proofErr w:type="spellStart"/>
                  <w:r>
                    <w:t>tx</w:t>
                  </w:r>
                  <w:proofErr w:type="spellEnd"/>
                </w:p>
              </w:tc>
            </w:tr>
            <w:tr w:rsidR="00492142" w:rsidTr="00492142">
              <w:trPr>
                <w:trHeight w:val="117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ja-JP"/>
                    </w:rPr>
                  </w:pPr>
                  <w:r>
                    <w:t>UE receive antennas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ja-JP"/>
                    </w:rPr>
                  </w:pPr>
                  <w:r>
                    <w:t xml:space="preserve">2 </w:t>
                  </w:r>
                  <w:proofErr w:type="spellStart"/>
                  <w:r>
                    <w:t>rx</w:t>
                  </w:r>
                  <w:proofErr w:type="spellEnd"/>
                </w:p>
              </w:tc>
            </w:tr>
            <w:tr w:rsidR="00492142" w:rsidTr="00492142">
              <w:trPr>
                <w:trHeight w:val="447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  <w:rPr>
                      <w:lang w:eastAsia="zh-CN"/>
                    </w:rPr>
                  </w:pPr>
                  <w:r>
                    <w:t>Data channel subcarrier spacing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</w:pPr>
                  <w:r>
                    <w:t>The same as CSI-RS subcarrier spacing</w:t>
                  </w:r>
                </w:p>
              </w:tc>
            </w:tr>
            <w:tr w:rsidR="00492142" w:rsidTr="00492142">
              <w:trPr>
                <w:trHeight w:val="212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</w:pPr>
                  <w:r>
                    <w:t>Measurement period (in number of measurement samples)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</w:pPr>
                  <w:r>
                    <w:t>1 sample</w:t>
                  </w:r>
                </w:p>
              </w:tc>
            </w:tr>
            <w:tr w:rsidR="00492142" w:rsidTr="00492142">
              <w:trPr>
                <w:trHeight w:val="228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</w:pPr>
                  <w:r>
                    <w:t>Subcarrier spacing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</w:pPr>
                  <w:r>
                    <w:t>15 kHz; 30 kHz</w:t>
                  </w:r>
                </w:p>
              </w:tc>
            </w:tr>
            <w:tr w:rsidR="00492142" w:rsidTr="00492142">
              <w:trPr>
                <w:trHeight w:val="43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</w:pPr>
                  <w:r>
                    <w:lastRenderedPageBreak/>
                    <w:t>CSI-RS periodicity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jc w:val="center"/>
                  </w:pPr>
                  <w:r>
                    <w:t xml:space="preserve">5 </w:t>
                  </w:r>
                  <w:proofErr w:type="spellStart"/>
                  <w:r>
                    <w:t>ms</w:t>
                  </w:r>
                  <w:proofErr w:type="spellEnd"/>
                </w:p>
              </w:tc>
            </w:tr>
            <w:tr w:rsidR="00492142" w:rsidTr="00492142">
              <w:trPr>
                <w:trHeight w:val="59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</w:pPr>
                  <w:r>
                    <w:t>Carrier frequency offset</w:t>
                  </w:r>
                </w:p>
              </w:tc>
              <w:tc>
                <w:tcPr>
                  <w:tcW w:w="1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</w:pPr>
                  <w:r>
                    <w:t>Option 1:</w:t>
                  </w:r>
                </w:p>
                <w:p w:rsidR="00492142" w:rsidRDefault="00492142">
                  <w:pPr>
                    <w:ind w:right="74"/>
                  </w:pPr>
                  <w:r>
                    <w:t>972Hz for 15kHz;</w:t>
                  </w:r>
                </w:p>
                <w:p w:rsidR="00492142" w:rsidRDefault="00492142">
                  <w:pPr>
                    <w:ind w:right="74"/>
                  </w:pPr>
                  <w:r>
                    <w:t>1667Hz for 30kHz</w:t>
                  </w:r>
                </w:p>
              </w:tc>
              <w:tc>
                <w:tcPr>
                  <w:tcW w:w="1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</w:pPr>
                  <w:r>
                    <w:t>Option 2:</w:t>
                  </w:r>
                </w:p>
                <w:p w:rsidR="00492142" w:rsidRDefault="00492142">
                  <w:pPr>
                    <w:ind w:right="74"/>
                    <w:jc w:val="center"/>
                  </w:pPr>
                  <w:r>
                    <w:t>1944Hz for 15kHz;</w:t>
                  </w:r>
                </w:p>
                <w:p w:rsidR="00492142" w:rsidRDefault="00492142">
                  <w:pPr>
                    <w:ind w:right="74"/>
                    <w:jc w:val="center"/>
                  </w:pPr>
                  <w:r>
                    <w:t>3334Hz for 30kHz</w:t>
                  </w:r>
                </w:p>
              </w:tc>
            </w:tr>
            <w:tr w:rsidR="00492142" w:rsidTr="00492142">
              <w:trPr>
                <w:trHeight w:val="59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Propagation condition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High speed train condition specified in Table G.3 in TS 38.104</w:t>
                  </w:r>
                </w:p>
              </w:tc>
            </w:tr>
            <w:tr w:rsidR="00492142" w:rsidTr="00492142">
              <w:trPr>
                <w:trHeight w:val="59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Number of PRBs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48</w:t>
                  </w:r>
                </w:p>
              </w:tc>
            </w:tr>
            <w:tr w:rsidR="00492142" w:rsidTr="00492142">
              <w:trPr>
                <w:trHeight w:val="59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Density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</w:tr>
            <w:tr w:rsidR="00492142" w:rsidTr="00492142">
              <w:trPr>
                <w:trHeight w:val="59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Side condition (SNR) on CMR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-3 dB</w:t>
                  </w:r>
                </w:p>
              </w:tc>
            </w:tr>
            <w:tr w:rsidR="00492142" w:rsidTr="00492142">
              <w:trPr>
                <w:trHeight w:val="59"/>
              </w:trPr>
              <w:tc>
                <w:tcPr>
                  <w:tcW w:w="5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left="720" w:right="74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Frequency tracking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2142" w:rsidRDefault="00492142">
                  <w:pPr>
                    <w:ind w:right="7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TRS </w:t>
                  </w:r>
                </w:p>
              </w:tc>
            </w:tr>
          </w:tbl>
          <w:p w:rsidR="00492142" w:rsidRDefault="00492142" w:rsidP="00784BCA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</w:tbl>
    <w:p w:rsidR="00492142" w:rsidRDefault="00492142" w:rsidP="00784BCA">
      <w:pPr>
        <w:spacing w:after="120"/>
        <w:rPr>
          <w:rFonts w:eastAsiaTheme="minorEastAsia"/>
          <w:lang w:val="en-US" w:eastAsia="zh-CN"/>
        </w:rPr>
      </w:pPr>
    </w:p>
    <w:p w:rsidR="009A4EDD" w:rsidRDefault="009A4EDD" w:rsidP="00784BCA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L1-S</w:t>
      </w:r>
      <w:r w:rsidR="009611E4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NR is introduced in Rel-16 </w:t>
      </w:r>
      <w:r w:rsidR="00E809BB">
        <w:rPr>
          <w:rFonts w:eastAsiaTheme="minorEastAsia"/>
          <w:lang w:val="en-US" w:eastAsia="zh-CN"/>
        </w:rPr>
        <w:t xml:space="preserve">enhancement </w:t>
      </w:r>
      <w:r w:rsidR="009611E4">
        <w:rPr>
          <w:rFonts w:eastAsiaTheme="minorEastAsia"/>
          <w:lang w:val="en-US" w:eastAsia="zh-CN"/>
        </w:rPr>
        <w:t>for</w:t>
      </w:r>
      <w:r w:rsidR="00E809BB">
        <w:rPr>
          <w:rFonts w:eastAsiaTheme="minorEastAsia"/>
          <w:lang w:val="en-US" w:eastAsia="zh-CN"/>
        </w:rPr>
        <w:t xml:space="preserve"> MIMO</w:t>
      </w:r>
      <w:r>
        <w:rPr>
          <w:rFonts w:eastAsiaTheme="minorEastAsia"/>
          <w:lang w:val="en-US" w:eastAsia="zh-CN"/>
        </w:rPr>
        <w:t xml:space="preserve">. In Rel-15, L1-RSRP reporting is specified to report the measured energy level. </w:t>
      </w:r>
      <w:r w:rsidR="00E809BB">
        <w:rPr>
          <w:rFonts w:eastAsiaTheme="minorEastAsia"/>
          <w:lang w:val="en-US" w:eastAsia="zh-CN"/>
        </w:rPr>
        <w:t xml:space="preserve">In multi-beam scenario, L1-SINR can reflect to actual beam quality with interference </w:t>
      </w:r>
      <w:r w:rsidR="002B55ED">
        <w:rPr>
          <w:rFonts w:eastAsiaTheme="minorEastAsia" w:hint="eastAsia"/>
          <w:lang w:val="en-US" w:eastAsia="zh-CN"/>
        </w:rPr>
        <w:t>i</w:t>
      </w:r>
      <w:r w:rsidR="00E809BB">
        <w:rPr>
          <w:rFonts w:eastAsiaTheme="minorEastAsia"/>
          <w:lang w:val="en-US" w:eastAsia="zh-CN"/>
        </w:rPr>
        <w:t>n multi-beam such as MU-MIMO case</w:t>
      </w:r>
      <w:r w:rsidR="00903014">
        <w:rPr>
          <w:rFonts w:eastAsiaTheme="minorEastAsia" w:hint="eastAsia"/>
          <w:lang w:val="en-US" w:eastAsia="zh-CN"/>
        </w:rPr>
        <w:t xml:space="preserve"> or multi-TRP</w:t>
      </w:r>
      <w:r w:rsidR="002B55ED">
        <w:rPr>
          <w:rFonts w:eastAsiaTheme="minorEastAsia" w:hint="eastAsia"/>
          <w:lang w:val="en-US" w:eastAsia="zh-CN"/>
        </w:rPr>
        <w:t>.</w:t>
      </w:r>
      <w:r w:rsidR="00E809BB">
        <w:rPr>
          <w:rFonts w:eastAsiaTheme="minorEastAsia"/>
          <w:lang w:val="en-US" w:eastAsia="zh-CN"/>
        </w:rPr>
        <w:t xml:space="preserve"> </w:t>
      </w:r>
      <w:r w:rsidR="002B55ED">
        <w:rPr>
          <w:rFonts w:eastAsiaTheme="minorEastAsia" w:hint="eastAsia"/>
          <w:lang w:val="en-US" w:eastAsia="zh-CN"/>
        </w:rPr>
        <w:t>I</w:t>
      </w:r>
      <w:r w:rsidR="009611E4">
        <w:rPr>
          <w:rFonts w:eastAsiaTheme="minorEastAsia"/>
          <w:lang w:val="en-US" w:eastAsia="zh-CN"/>
        </w:rPr>
        <w:t xml:space="preserve">t also can be applied in HST scenarios. </w:t>
      </w:r>
      <w:r w:rsidR="00E809BB">
        <w:rPr>
          <w:rFonts w:eastAsiaTheme="minorEastAsia"/>
          <w:lang w:val="en-US" w:eastAsia="zh-CN"/>
        </w:rPr>
        <w:t xml:space="preserve">Therefore, we think </w:t>
      </w:r>
      <w:r w:rsidR="00903014">
        <w:rPr>
          <w:rFonts w:eastAsiaTheme="minorEastAsia"/>
          <w:lang w:val="en-US" w:eastAsia="zh-CN"/>
        </w:rPr>
        <w:t>L1-SINR</w:t>
      </w:r>
      <w:r w:rsidR="00DE1AF1">
        <w:rPr>
          <w:rFonts w:eastAsiaTheme="minorEastAsia" w:hint="eastAsia"/>
          <w:lang w:val="en-US" w:eastAsia="zh-CN"/>
        </w:rPr>
        <w:t xml:space="preserve"> measurement is applicable for HST</w:t>
      </w:r>
      <w:r w:rsidR="00DE1AF1">
        <w:rPr>
          <w:rFonts w:eastAsiaTheme="minorEastAsia"/>
          <w:lang w:val="en-US" w:eastAsia="zh-CN"/>
        </w:rPr>
        <w:t>.</w:t>
      </w:r>
    </w:p>
    <w:p w:rsidR="00284C0D" w:rsidRDefault="00FC2425" w:rsidP="00284C0D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784BCA">
        <w:rPr>
          <w:rFonts w:eastAsiaTheme="minor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</w:t>
      </w:r>
      <w:r w:rsidR="00DE1AF1" w:rsidRPr="00DE1AF1">
        <w:rPr>
          <w:rFonts w:eastAsiaTheme="minorEastAsia"/>
          <w:b/>
          <w:lang w:val="en-US" w:eastAsia="zh-CN"/>
        </w:rPr>
        <w:t>L1-SINR</w:t>
      </w:r>
      <w:r w:rsidR="00DE1AF1" w:rsidRPr="00DE1AF1">
        <w:rPr>
          <w:rFonts w:eastAsiaTheme="minorEastAsia" w:hint="eastAsia"/>
          <w:b/>
          <w:lang w:val="en-US" w:eastAsia="zh-CN"/>
        </w:rPr>
        <w:t xml:space="preserve"> measurement is applicable for HST</w:t>
      </w:r>
      <w:r w:rsidR="00DE1AF1" w:rsidRPr="00DE1AF1">
        <w:rPr>
          <w:rFonts w:eastAsiaTheme="minorEastAsia"/>
          <w:b/>
          <w:lang w:val="en-US" w:eastAsia="zh-CN"/>
        </w:rPr>
        <w:t>.</w:t>
      </w:r>
    </w:p>
    <w:p w:rsidR="00DE1AF1" w:rsidRDefault="00DE1AF1" w:rsidP="00DE1AF1">
      <w:pPr>
        <w:spacing w:after="120"/>
        <w:rPr>
          <w:rFonts w:eastAsiaTheme="minorEastAsia"/>
          <w:lang w:val="en-US" w:eastAsia="zh-CN"/>
        </w:rPr>
      </w:pPr>
      <w:r w:rsidRPr="00DE1AF1">
        <w:rPr>
          <w:rFonts w:eastAsiaTheme="minorEastAsia"/>
          <w:lang w:val="en-US" w:eastAsia="zh-CN"/>
        </w:rPr>
        <w:t xml:space="preserve">L1-SINR requirement is defined in </w:t>
      </w:r>
      <w:r w:rsidR="002B55ED">
        <w:rPr>
          <w:rFonts w:eastAsiaTheme="minorEastAsia" w:hint="eastAsia"/>
          <w:lang w:val="en-US" w:eastAsia="zh-CN"/>
        </w:rPr>
        <w:t>clause</w:t>
      </w:r>
      <w:r w:rsidRPr="00DE1AF1">
        <w:rPr>
          <w:rFonts w:eastAsiaTheme="minorEastAsia"/>
          <w:lang w:val="en-US" w:eastAsia="zh-CN"/>
        </w:rPr>
        <w:t xml:space="preserve"> 9.8 in </w:t>
      </w:r>
      <w:r w:rsidR="009611E4">
        <w:rPr>
          <w:rFonts w:eastAsiaTheme="minorEastAsia"/>
          <w:lang w:val="en-US" w:eastAsia="zh-CN"/>
        </w:rPr>
        <w:t>TS</w:t>
      </w:r>
      <w:r w:rsidRPr="00DE1AF1">
        <w:rPr>
          <w:rFonts w:eastAsiaTheme="minorEastAsia"/>
          <w:lang w:val="en-US" w:eastAsia="zh-CN"/>
        </w:rPr>
        <w:t>38.133.</w:t>
      </w:r>
      <w:r>
        <w:rPr>
          <w:rFonts w:eastAsiaTheme="minorEastAsia"/>
          <w:lang w:val="en-US" w:eastAsia="zh-CN"/>
        </w:rPr>
        <w:t xml:space="preserve"> If looking into the measurement period requirement for CSI-RS based CMR and on dedicated IMR configured/SSB based CMR and dedicated IMR configured/CSI-RS based CMR and dedicated IMR </w:t>
      </w:r>
      <w:r w:rsidR="00A1534D">
        <w:rPr>
          <w:rFonts w:eastAsiaTheme="minorEastAsia"/>
          <w:lang w:val="en-US" w:eastAsia="zh-CN"/>
        </w:rPr>
        <w:t>configured</w:t>
      </w:r>
      <w:r>
        <w:rPr>
          <w:rFonts w:eastAsiaTheme="minorEastAsia"/>
          <w:lang w:val="en-US" w:eastAsia="zh-CN"/>
        </w:rPr>
        <w:t xml:space="preserve">, the measurement time works for HST scenario. For the upper </w:t>
      </w:r>
      <w:r w:rsidR="00A1534D">
        <w:rPr>
          <w:rFonts w:eastAsiaTheme="minorEastAsia"/>
          <w:lang w:val="en-US" w:eastAsia="zh-CN"/>
        </w:rPr>
        <w:t>bound of SINR, the SINR is measured for multi-beams in the cell which should be same as current link level simulation. We think current L1-SINR measurement requirement can be reused in HST.</w:t>
      </w:r>
    </w:p>
    <w:p w:rsidR="00A1534D" w:rsidRPr="00DE1AF1" w:rsidRDefault="00A1534D" w:rsidP="00DE1AF1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2: Current </w:t>
      </w:r>
      <w:r w:rsidRPr="00DE1AF1">
        <w:rPr>
          <w:rFonts w:eastAsiaTheme="minorEastAsia"/>
          <w:b/>
          <w:lang w:val="en-US" w:eastAsia="zh-CN"/>
        </w:rPr>
        <w:t>L1-SINR</w:t>
      </w:r>
      <w:r w:rsidRPr="00DE1AF1">
        <w:rPr>
          <w:rFonts w:eastAsiaTheme="minorEastAsia" w:hint="eastAsia"/>
          <w:b/>
          <w:lang w:val="en-US" w:eastAsia="zh-CN"/>
        </w:rPr>
        <w:t xml:space="preserve"> measurement </w:t>
      </w:r>
      <w:r>
        <w:rPr>
          <w:rFonts w:eastAsiaTheme="minorEastAsia"/>
          <w:b/>
          <w:lang w:val="en-US" w:eastAsia="zh-CN"/>
        </w:rPr>
        <w:t>requirement can be reused in</w:t>
      </w:r>
      <w:r w:rsidRPr="00DE1AF1">
        <w:rPr>
          <w:rFonts w:eastAsiaTheme="minorEastAsia" w:hint="eastAsia"/>
          <w:b/>
          <w:lang w:val="en-US" w:eastAsia="zh-CN"/>
        </w:rPr>
        <w:t xml:space="preserve"> HST</w:t>
      </w:r>
      <w:r w:rsidRPr="00DE1AF1">
        <w:rPr>
          <w:rFonts w:eastAsiaTheme="minorEastAsia"/>
          <w:b/>
          <w:lang w:val="en-US" w:eastAsia="zh-CN"/>
        </w:rPr>
        <w:t>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1B055E" w:rsidRDefault="001B055E" w:rsidP="00A82F72"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</w:t>
      </w:r>
      <w:r w:rsidR="00492142">
        <w:rPr>
          <w:lang w:eastAsia="zh-CN"/>
        </w:rPr>
        <w:t xml:space="preserve">our consideration of L1-SINR measurements for FR1 HST </w:t>
      </w:r>
      <w:r w:rsidR="00492142">
        <w:t>and</w:t>
      </w:r>
      <w:r>
        <w:rPr>
          <w:lang w:eastAsia="zh-CN"/>
        </w:rPr>
        <w:t xml:space="preserve"> </w:t>
      </w:r>
      <w:r>
        <w:t>present</w:t>
      </w:r>
      <w:r>
        <w:rPr>
          <w:rFonts w:hint="eastAsia"/>
        </w:rPr>
        <w:t xml:space="preserve"> </w:t>
      </w:r>
      <w:r>
        <w:t xml:space="preserve">our </w:t>
      </w:r>
      <w:bookmarkStart w:id="4" w:name="_GoBack"/>
      <w:r>
        <w:t>proposals as below</w:t>
      </w:r>
      <w:r>
        <w:rPr>
          <w:rFonts w:hint="eastAsia"/>
        </w:rPr>
        <w:t>:</w:t>
      </w:r>
    </w:p>
    <w:p w:rsidR="00A1534D" w:rsidRDefault="00A1534D" w:rsidP="00A82F72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</w:t>
      </w:r>
      <w:r w:rsidRPr="00DE1AF1">
        <w:rPr>
          <w:rFonts w:eastAsiaTheme="minorEastAsia"/>
          <w:b/>
          <w:lang w:val="en-US" w:eastAsia="zh-CN"/>
        </w:rPr>
        <w:t>L1-SINR</w:t>
      </w:r>
      <w:r w:rsidRPr="00DE1AF1">
        <w:rPr>
          <w:rFonts w:eastAsiaTheme="minorEastAsia" w:hint="eastAsia"/>
          <w:b/>
          <w:lang w:val="en-US" w:eastAsia="zh-CN"/>
        </w:rPr>
        <w:t xml:space="preserve"> measurement is applicable for HST</w:t>
      </w:r>
      <w:r w:rsidRPr="00DE1AF1">
        <w:rPr>
          <w:rFonts w:eastAsiaTheme="minorEastAsia"/>
          <w:b/>
          <w:lang w:val="en-US" w:eastAsia="zh-CN"/>
        </w:rPr>
        <w:t>.</w:t>
      </w:r>
    </w:p>
    <w:p w:rsidR="00A1534D" w:rsidRPr="00DF0883" w:rsidRDefault="00A1534D" w:rsidP="00A82F72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2: Current </w:t>
      </w:r>
      <w:r w:rsidRPr="00DE1AF1">
        <w:rPr>
          <w:rFonts w:eastAsiaTheme="minorEastAsia"/>
          <w:b/>
          <w:lang w:val="en-US" w:eastAsia="zh-CN"/>
        </w:rPr>
        <w:t>L1-SINR</w:t>
      </w:r>
      <w:r w:rsidRPr="00DE1AF1">
        <w:rPr>
          <w:rFonts w:eastAsiaTheme="minorEastAsia" w:hint="eastAsia"/>
          <w:b/>
          <w:lang w:val="en-US" w:eastAsia="zh-CN"/>
        </w:rPr>
        <w:t xml:space="preserve"> measurement </w:t>
      </w:r>
      <w:r>
        <w:rPr>
          <w:rFonts w:eastAsiaTheme="minorEastAsia"/>
          <w:b/>
          <w:lang w:val="en-US" w:eastAsia="zh-CN"/>
        </w:rPr>
        <w:t>requirement can be reused in</w:t>
      </w:r>
      <w:r w:rsidRPr="00DE1AF1">
        <w:rPr>
          <w:rFonts w:eastAsiaTheme="minorEastAsia" w:hint="eastAsia"/>
          <w:b/>
          <w:lang w:val="en-US" w:eastAsia="zh-CN"/>
        </w:rPr>
        <w:t xml:space="preserve"> HST</w:t>
      </w:r>
      <w:r w:rsidRPr="00DE1AF1">
        <w:rPr>
          <w:rFonts w:eastAsiaTheme="minorEastAsia"/>
          <w:b/>
          <w:lang w:val="en-US" w:eastAsia="zh-CN"/>
        </w:rPr>
        <w:t>.</w:t>
      </w:r>
    </w:p>
    <w:bookmarkEnd w:id="4"/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80446B" w:rsidP="0080446B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R4-2</w:t>
      </w:r>
      <w:r>
        <w:t xml:space="preserve">115439, WF on RRM for FR1 HST, </w:t>
      </w:r>
      <w:r w:rsidRPr="002C6CBA">
        <w:t>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C7" w:rsidRDefault="00DE61C7" w:rsidP="00070CCC">
      <w:pPr>
        <w:spacing w:after="0"/>
      </w:pPr>
      <w:r>
        <w:separator/>
      </w:r>
    </w:p>
  </w:endnote>
  <w:endnote w:type="continuationSeparator" w:id="0">
    <w:p w:rsidR="00DE61C7" w:rsidRDefault="00DE61C7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C7" w:rsidRDefault="00DE61C7" w:rsidP="00070CCC">
      <w:pPr>
        <w:spacing w:after="0"/>
      </w:pPr>
      <w:r>
        <w:separator/>
      </w:r>
    </w:p>
  </w:footnote>
  <w:footnote w:type="continuationSeparator" w:id="0">
    <w:p w:rsidR="00DE61C7" w:rsidRDefault="00DE61C7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7716"/>
    <w:multiLevelType w:val="hybridMultilevel"/>
    <w:tmpl w:val="ACACF266"/>
    <w:lvl w:ilvl="0" w:tplc="E3C2504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232869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C92EE22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A1A15A0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B9C8624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D8A217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824878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26A9F6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EF8376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991437"/>
    <w:multiLevelType w:val="hybridMultilevel"/>
    <w:tmpl w:val="7AD81E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F7CF7"/>
    <w:multiLevelType w:val="hybridMultilevel"/>
    <w:tmpl w:val="B2C82E46"/>
    <w:lvl w:ilvl="0" w:tplc="B5529A1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E924EEE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CDCB3C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B8B82C">
      <w:start w:val="71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51E2D08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02CDE2C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A7AD850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B4FCD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A644D7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5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3C1166"/>
    <w:multiLevelType w:val="hybridMultilevel"/>
    <w:tmpl w:val="4922F81C"/>
    <w:lvl w:ilvl="0" w:tplc="E0828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25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48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9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22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42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89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89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505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0F35F69"/>
    <w:multiLevelType w:val="hybridMultilevel"/>
    <w:tmpl w:val="8774D20C"/>
    <w:lvl w:ilvl="0" w:tplc="40A0A9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48B754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28DCD7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6BB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8069C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8DF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7035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3267"/>
        </w:tabs>
        <w:ind w:left="3267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2D1737A"/>
    <w:multiLevelType w:val="hybridMultilevel"/>
    <w:tmpl w:val="A2F64E58"/>
    <w:lvl w:ilvl="0" w:tplc="E3DC21C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7442D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5E6DC72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CFE0B1E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234CB9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774B4C0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EAE776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9B6A80C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96E15A0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5F13D2B"/>
    <w:multiLevelType w:val="hybridMultilevel"/>
    <w:tmpl w:val="A3B61F30"/>
    <w:lvl w:ilvl="0" w:tplc="F7761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ED5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C6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94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2A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0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E8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49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25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53E15FA"/>
    <w:multiLevelType w:val="hybridMultilevel"/>
    <w:tmpl w:val="961E7B9A"/>
    <w:lvl w:ilvl="0" w:tplc="4EB4DCA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C202BD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466678E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9AAC598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1283EB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D6AC14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42C0C0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DCEC53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50A744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20"/>
  </w:num>
  <w:num w:numId="6">
    <w:abstractNumId w:val="8"/>
  </w:num>
  <w:num w:numId="7">
    <w:abstractNumId w:val="16"/>
  </w:num>
  <w:num w:numId="8">
    <w:abstractNumId w:val="4"/>
  </w:num>
  <w:num w:numId="9">
    <w:abstractNumId w:val="19"/>
  </w:num>
  <w:num w:numId="10">
    <w:abstractNumId w:val="17"/>
  </w:num>
  <w:num w:numId="11">
    <w:abstractNumId w:val="18"/>
  </w:num>
  <w:num w:numId="12">
    <w:abstractNumId w:val="10"/>
  </w:num>
  <w:num w:numId="13">
    <w:abstractNumId w:val="7"/>
  </w:num>
  <w:num w:numId="14">
    <w:abstractNumId w:val="22"/>
  </w:num>
  <w:num w:numId="15">
    <w:abstractNumId w:val="5"/>
  </w:num>
  <w:num w:numId="16">
    <w:abstractNumId w:val="14"/>
  </w:num>
  <w:num w:numId="17">
    <w:abstractNumId w:val="1"/>
  </w:num>
  <w:num w:numId="18">
    <w:abstractNumId w:val="9"/>
  </w:num>
  <w:num w:numId="19">
    <w:abstractNumId w:val="6"/>
  </w:num>
  <w:num w:numId="20">
    <w:abstractNumId w:val="21"/>
  </w:num>
  <w:num w:numId="21">
    <w:abstractNumId w:val="0"/>
  </w:num>
  <w:num w:numId="22">
    <w:abstractNumId w:val="12"/>
  </w:num>
  <w:num w:numId="23">
    <w:abstractNumId w:val="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555E"/>
    <w:rsid w:val="00070CCC"/>
    <w:rsid w:val="00092021"/>
    <w:rsid w:val="000D7CD5"/>
    <w:rsid w:val="00112FF4"/>
    <w:rsid w:val="001250D1"/>
    <w:rsid w:val="00125476"/>
    <w:rsid w:val="00136717"/>
    <w:rsid w:val="001377DA"/>
    <w:rsid w:val="00137ADB"/>
    <w:rsid w:val="00151FF2"/>
    <w:rsid w:val="0016634F"/>
    <w:rsid w:val="00182559"/>
    <w:rsid w:val="001B055E"/>
    <w:rsid w:val="001B112E"/>
    <w:rsid w:val="002442FC"/>
    <w:rsid w:val="002602AD"/>
    <w:rsid w:val="00280881"/>
    <w:rsid w:val="00284C0D"/>
    <w:rsid w:val="002A231F"/>
    <w:rsid w:val="002B55ED"/>
    <w:rsid w:val="002C2570"/>
    <w:rsid w:val="002C31B0"/>
    <w:rsid w:val="002E0B24"/>
    <w:rsid w:val="002E2EE6"/>
    <w:rsid w:val="00304BE3"/>
    <w:rsid w:val="0030586D"/>
    <w:rsid w:val="0038586E"/>
    <w:rsid w:val="003A08ED"/>
    <w:rsid w:val="003D2403"/>
    <w:rsid w:val="003E5B09"/>
    <w:rsid w:val="003E6F50"/>
    <w:rsid w:val="004429E7"/>
    <w:rsid w:val="00461DBD"/>
    <w:rsid w:val="00483B5B"/>
    <w:rsid w:val="00492142"/>
    <w:rsid w:val="004E14B1"/>
    <w:rsid w:val="004E3DDD"/>
    <w:rsid w:val="004E6626"/>
    <w:rsid w:val="004F4982"/>
    <w:rsid w:val="005057DD"/>
    <w:rsid w:val="00585571"/>
    <w:rsid w:val="005B2F13"/>
    <w:rsid w:val="005C3277"/>
    <w:rsid w:val="005C42E3"/>
    <w:rsid w:val="005F46C6"/>
    <w:rsid w:val="006318D2"/>
    <w:rsid w:val="00654292"/>
    <w:rsid w:val="006A3523"/>
    <w:rsid w:val="006B69FD"/>
    <w:rsid w:val="006D1472"/>
    <w:rsid w:val="006E72CE"/>
    <w:rsid w:val="00727219"/>
    <w:rsid w:val="007273A7"/>
    <w:rsid w:val="00777FE5"/>
    <w:rsid w:val="0078177A"/>
    <w:rsid w:val="00784BCA"/>
    <w:rsid w:val="007C63D7"/>
    <w:rsid w:val="007D01BE"/>
    <w:rsid w:val="007D46C5"/>
    <w:rsid w:val="007F27E8"/>
    <w:rsid w:val="0080446B"/>
    <w:rsid w:val="008236F9"/>
    <w:rsid w:val="00883156"/>
    <w:rsid w:val="008A1436"/>
    <w:rsid w:val="008B66DE"/>
    <w:rsid w:val="008C361A"/>
    <w:rsid w:val="008D1CCB"/>
    <w:rsid w:val="008E0DD5"/>
    <w:rsid w:val="00903014"/>
    <w:rsid w:val="009611E4"/>
    <w:rsid w:val="00966BD9"/>
    <w:rsid w:val="009A4EDD"/>
    <w:rsid w:val="009E5E32"/>
    <w:rsid w:val="009F526D"/>
    <w:rsid w:val="00A1534D"/>
    <w:rsid w:val="00A4708D"/>
    <w:rsid w:val="00A82F72"/>
    <w:rsid w:val="00A909F6"/>
    <w:rsid w:val="00AA7B51"/>
    <w:rsid w:val="00AD4CEE"/>
    <w:rsid w:val="00B2799F"/>
    <w:rsid w:val="00B30EB3"/>
    <w:rsid w:val="00B51CDF"/>
    <w:rsid w:val="00B62423"/>
    <w:rsid w:val="00B906C7"/>
    <w:rsid w:val="00BB7B85"/>
    <w:rsid w:val="00BE3187"/>
    <w:rsid w:val="00BF4203"/>
    <w:rsid w:val="00C230E4"/>
    <w:rsid w:val="00C53146"/>
    <w:rsid w:val="00C555B9"/>
    <w:rsid w:val="00CC3C6E"/>
    <w:rsid w:val="00CD2318"/>
    <w:rsid w:val="00CF4D47"/>
    <w:rsid w:val="00D61B08"/>
    <w:rsid w:val="00D866D4"/>
    <w:rsid w:val="00D963C7"/>
    <w:rsid w:val="00DB0E87"/>
    <w:rsid w:val="00DC7BB7"/>
    <w:rsid w:val="00DE0C7F"/>
    <w:rsid w:val="00DE1AF1"/>
    <w:rsid w:val="00DE61C7"/>
    <w:rsid w:val="00DF0883"/>
    <w:rsid w:val="00DF1F7C"/>
    <w:rsid w:val="00E00E8C"/>
    <w:rsid w:val="00E17B30"/>
    <w:rsid w:val="00E64574"/>
    <w:rsid w:val="00E809BB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C2425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tabs>
        <w:tab w:val="clear" w:pos="3267"/>
        <w:tab w:val="num" w:pos="432"/>
      </w:tabs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tabs>
        <w:tab w:val="clear" w:pos="3267"/>
        <w:tab w:val="num" w:pos="432"/>
      </w:tabs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768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76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82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978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84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69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046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76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55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552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980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370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722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2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09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99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2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64</cp:revision>
  <dcterms:created xsi:type="dcterms:W3CDTF">2021-03-25T05:51:00Z</dcterms:created>
  <dcterms:modified xsi:type="dcterms:W3CDTF">2021-10-22T07:08:00Z</dcterms:modified>
</cp:coreProperties>
</file>