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93E626" w14:textId="1224A3ED" w:rsidR="00F01182" w:rsidRPr="00A21195" w:rsidRDefault="00F01182" w:rsidP="00F01182">
      <w:pPr>
        <w:pStyle w:val="Header"/>
        <w:tabs>
          <w:tab w:val="right" w:pos="8280"/>
          <w:tab w:val="right" w:pos="9639"/>
        </w:tabs>
        <w:jc w:val="both"/>
        <w:rPr>
          <w:rFonts w:cs="Arial"/>
          <w:noProof w:val="0"/>
          <w:sz w:val="24"/>
        </w:rPr>
      </w:pPr>
      <w:r w:rsidRPr="002D6524">
        <w:rPr>
          <w:rFonts w:cs="Arial"/>
          <w:sz w:val="24"/>
          <w:szCs w:val="24"/>
        </w:rPr>
        <w:t>3GPP TSG-RAN WG4 Meeting #</w:t>
      </w:r>
      <w:r w:rsidR="00250CB6">
        <w:rPr>
          <w:rFonts w:cs="Arial"/>
          <w:sz w:val="24"/>
          <w:szCs w:val="24"/>
        </w:rPr>
        <w:t>10</w:t>
      </w:r>
      <w:r w:rsidR="00113C8F">
        <w:rPr>
          <w:rFonts w:cs="Arial"/>
          <w:sz w:val="24"/>
          <w:szCs w:val="24"/>
        </w:rPr>
        <w:t>1</w:t>
      </w:r>
      <w:r w:rsidR="00FB1DD4">
        <w:rPr>
          <w:rFonts w:cs="Arial"/>
          <w:sz w:val="24"/>
          <w:szCs w:val="24"/>
        </w:rPr>
        <w:t>-bis</w:t>
      </w:r>
      <w:r w:rsidRPr="00AB081E">
        <w:rPr>
          <w:rFonts w:cs="Arial"/>
          <w:sz w:val="24"/>
          <w:szCs w:val="24"/>
        </w:rPr>
        <w:t>-e</w:t>
      </w:r>
      <w:r w:rsidRPr="002D6524">
        <w:rPr>
          <w:rFonts w:cs="Arial"/>
          <w:noProof w:val="0"/>
          <w:sz w:val="24"/>
        </w:rPr>
        <w:tab/>
      </w:r>
      <w:r w:rsidRPr="002D6524">
        <w:rPr>
          <w:rFonts w:cs="Arial"/>
          <w:noProof w:val="0"/>
          <w:sz w:val="24"/>
        </w:rPr>
        <w:tab/>
      </w:r>
      <w:r w:rsidR="007A2C4E" w:rsidRPr="007A2C4E">
        <w:rPr>
          <w:rFonts w:cs="Arial"/>
          <w:noProof w:val="0"/>
          <w:sz w:val="24"/>
        </w:rPr>
        <w:t>R4-</w:t>
      </w:r>
      <w:r w:rsidR="00FF6927" w:rsidRPr="00FF6927">
        <w:t xml:space="preserve"> </w:t>
      </w:r>
      <w:r w:rsidR="00FF6927" w:rsidRPr="00FF6927">
        <w:rPr>
          <w:rFonts w:cs="Arial"/>
          <w:noProof w:val="0"/>
          <w:sz w:val="24"/>
        </w:rPr>
        <w:t>2201879</w:t>
      </w:r>
    </w:p>
    <w:p w14:paraId="2EC6AC2A" w14:textId="564C5E86" w:rsidR="00F01182" w:rsidRDefault="00F01182" w:rsidP="00FB1DD4">
      <w:pPr>
        <w:pStyle w:val="Header"/>
        <w:tabs>
          <w:tab w:val="right" w:pos="8280"/>
          <w:tab w:val="right" w:pos="9639"/>
        </w:tabs>
        <w:jc w:val="both"/>
        <w:rPr>
          <w:rFonts w:cs="Arial"/>
          <w:sz w:val="24"/>
          <w:szCs w:val="24"/>
        </w:rPr>
      </w:pPr>
      <w:r w:rsidRPr="00AB081E">
        <w:rPr>
          <w:rFonts w:cs="Arial"/>
          <w:sz w:val="24"/>
          <w:szCs w:val="24"/>
        </w:rPr>
        <w:t xml:space="preserve">E-meeting, </w:t>
      </w:r>
      <w:r w:rsidR="00FB1DD4" w:rsidRPr="00FB1DD4">
        <w:rPr>
          <w:rFonts w:cs="Arial"/>
          <w:sz w:val="24"/>
          <w:szCs w:val="24"/>
        </w:rPr>
        <w:t>January 17-25, 2022</w:t>
      </w:r>
    </w:p>
    <w:p w14:paraId="4AD31E55" w14:textId="77777777" w:rsidR="00983029" w:rsidRPr="00AB081E" w:rsidRDefault="00983029" w:rsidP="00FB1DD4">
      <w:pPr>
        <w:pStyle w:val="Header"/>
        <w:tabs>
          <w:tab w:val="right" w:pos="8280"/>
          <w:tab w:val="right" w:pos="9639"/>
        </w:tabs>
        <w:jc w:val="both"/>
        <w:rPr>
          <w:rFonts w:cs="Arial"/>
          <w:sz w:val="24"/>
          <w:highlight w:val="yellow"/>
        </w:rPr>
      </w:pPr>
    </w:p>
    <w:p w14:paraId="16C79B08" w14:textId="22B17DDC"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AC4AA0">
        <w:rPr>
          <w:rFonts w:ascii="Arial" w:hAnsi="Arial" w:cs="Arial"/>
          <w:b/>
          <w:sz w:val="24"/>
        </w:rPr>
        <w:t>7</w:t>
      </w:r>
      <w:r w:rsidR="00643A68" w:rsidRPr="00643A68">
        <w:rPr>
          <w:rFonts w:ascii="Arial" w:hAnsi="Arial" w:cs="Arial"/>
          <w:b/>
          <w:sz w:val="24"/>
        </w:rPr>
        <w:t>.4.4</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115B624" w:rsidR="00F01182" w:rsidRPr="00AB081E" w:rsidRDefault="00F01182" w:rsidP="00F01182">
      <w:pPr>
        <w:tabs>
          <w:tab w:val="left" w:pos="1985"/>
        </w:tabs>
        <w:spacing w:before="0"/>
        <w:ind w:left="1983" w:hangingChars="823" w:hanging="1983"/>
        <w:jc w:val="both"/>
        <w:rPr>
          <w:rFonts w:ascii="Arial" w:hAnsi="Arial" w:cs="Arial"/>
          <w:b/>
          <w:sz w:val="24"/>
          <w:szCs w:val="24"/>
        </w:rPr>
      </w:pPr>
      <w:r w:rsidRPr="007DC83F">
        <w:rPr>
          <w:rFonts w:ascii="Arial" w:hAnsi="Arial" w:cs="Arial"/>
          <w:b/>
          <w:sz w:val="24"/>
          <w:szCs w:val="24"/>
        </w:rPr>
        <w:t>Title:</w:t>
      </w:r>
      <w:r>
        <w:tab/>
      </w:r>
      <w:r w:rsidR="2D880B47" w:rsidRPr="007DC83F">
        <w:rPr>
          <w:rFonts w:ascii="Arial" w:hAnsi="Arial" w:cs="Arial"/>
          <w:b/>
          <w:bCs/>
          <w:sz w:val="24"/>
          <w:szCs w:val="24"/>
        </w:rPr>
        <w:t>P</w:t>
      </w:r>
      <w:r w:rsidR="00113C8F" w:rsidRPr="007DC83F">
        <w:rPr>
          <w:rFonts w:ascii="Arial" w:hAnsi="Arial" w:cs="Arial"/>
          <w:b/>
          <w:bCs/>
          <w:sz w:val="24"/>
          <w:szCs w:val="24"/>
        </w:rPr>
        <w:t>i</w:t>
      </w:r>
      <w:r w:rsidR="00113C8F" w:rsidRPr="007DC83F">
        <w:rPr>
          <w:rFonts w:ascii="Arial" w:hAnsi="Arial" w:cs="Arial"/>
          <w:b/>
          <w:sz w:val="24"/>
          <w:szCs w:val="24"/>
        </w:rPr>
        <w:t xml:space="preserve">/2 BPSK </w:t>
      </w:r>
      <w:r w:rsidR="00B46E3E">
        <w:rPr>
          <w:rFonts w:ascii="Arial" w:hAnsi="Arial" w:cs="Arial"/>
          <w:b/>
          <w:sz w:val="24"/>
          <w:szCs w:val="24"/>
        </w:rPr>
        <w:t>combined Tx and Rx</w:t>
      </w:r>
      <w:r w:rsidR="00113C8F" w:rsidRPr="007DC83F">
        <w:rPr>
          <w:rFonts w:ascii="Arial" w:hAnsi="Arial" w:cs="Arial"/>
          <w:b/>
          <w:sz w:val="24"/>
          <w:szCs w:val="24"/>
        </w:rPr>
        <w:t xml:space="preserve"> </w:t>
      </w:r>
      <w:r w:rsidR="00005357">
        <w:rPr>
          <w:rFonts w:ascii="Arial" w:hAnsi="Arial" w:cs="Arial"/>
          <w:b/>
          <w:sz w:val="24"/>
          <w:szCs w:val="24"/>
        </w:rPr>
        <w:t xml:space="preserve">Link </w:t>
      </w:r>
      <w:r w:rsidR="00113C8F" w:rsidRPr="007DC83F">
        <w:rPr>
          <w:rFonts w:ascii="Arial" w:hAnsi="Arial" w:cs="Arial"/>
          <w:b/>
          <w:sz w:val="24"/>
          <w:szCs w:val="24"/>
        </w:rPr>
        <w:t>performance</w:t>
      </w:r>
    </w:p>
    <w:p w14:paraId="266488AB" w14:textId="3B915314"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r w:rsidR="000D340E">
        <w:rPr>
          <w:rFonts w:ascii="Arial" w:hAnsi="Arial" w:cs="Arial"/>
          <w:b/>
          <w:sz w:val="24"/>
        </w:rPr>
        <w:t xml:space="preserve"> </w:t>
      </w:r>
    </w:p>
    <w:p w14:paraId="79DBD538" w14:textId="77777777" w:rsidR="00F01182" w:rsidRPr="00146B4F" w:rsidRDefault="00F01182" w:rsidP="00F01182">
      <w:pPr>
        <w:pStyle w:val="Heading1"/>
      </w:pPr>
      <w:r w:rsidRPr="00146B4F">
        <w:t>Introduction</w:t>
      </w:r>
    </w:p>
    <w:p w14:paraId="57931440" w14:textId="0E3634B2" w:rsidR="003858C8" w:rsidRDefault="003858C8" w:rsidP="006F50EB">
      <w:pPr>
        <w:jc w:val="both"/>
      </w:pPr>
      <w:r>
        <w:t>In RAN</w:t>
      </w:r>
      <w:r w:rsidR="00F91261">
        <w:t xml:space="preserve"> </w:t>
      </w:r>
      <w:r>
        <w:t>#9</w:t>
      </w:r>
      <w:r w:rsidR="00F91261">
        <w:t>1</w:t>
      </w:r>
      <w:r>
        <w:t xml:space="preserve">e </w:t>
      </w:r>
      <w:r w:rsidR="00F91261">
        <w:t xml:space="preserve">a new SI on </w:t>
      </w:r>
      <w:r w:rsidR="007D5C1F" w:rsidRPr="007D5C1F">
        <w:t>Optimizations of pi/2 BPSK uplink power in NR</w:t>
      </w:r>
      <w:r>
        <w:t xml:space="preserve"> [</w:t>
      </w:r>
      <w:r w:rsidR="007D5C1F">
        <w:t>1</w:t>
      </w:r>
      <w:r>
        <w:t>]</w:t>
      </w:r>
      <w:r w:rsidR="007D5C1F">
        <w:t xml:space="preserve"> was approved</w:t>
      </w:r>
      <w:r w:rsidR="00471774" w:rsidRPr="00327524">
        <w:t>.</w:t>
      </w:r>
      <w:r w:rsidR="007D5C1F" w:rsidRPr="00327524">
        <w:t xml:space="preserve"> </w:t>
      </w:r>
      <w:r w:rsidR="00471774" w:rsidRPr="00327524">
        <w:t>F</w:t>
      </w:r>
      <w:r w:rsidR="00837065" w:rsidRPr="00327524">
        <w:t>urther revised objectives were agreed in RAN #94e [2]</w:t>
      </w:r>
      <w:r w:rsidR="007D5C1F">
        <w:t>:</w:t>
      </w:r>
    </w:p>
    <w:tbl>
      <w:tblPr>
        <w:tblStyle w:val="TableGrid"/>
        <w:tblW w:w="0" w:type="auto"/>
        <w:tblLook w:val="04A0" w:firstRow="1" w:lastRow="0" w:firstColumn="1" w:lastColumn="0" w:noHBand="0" w:noVBand="1"/>
      </w:tblPr>
      <w:tblGrid>
        <w:gridCol w:w="9350"/>
      </w:tblGrid>
      <w:tr w:rsidR="00AC7E67" w:rsidRPr="00AC7E67" w14:paraId="2CB51B9B" w14:textId="77777777" w:rsidTr="00A0041C">
        <w:tc>
          <w:tcPr>
            <w:tcW w:w="9350" w:type="dxa"/>
          </w:tcPr>
          <w:p w14:paraId="5D038E63" w14:textId="77777777" w:rsidR="00AC7E67" w:rsidRPr="0029522F" w:rsidRDefault="00AC7E67" w:rsidP="00AC7E67">
            <w:pPr>
              <w:spacing w:before="0"/>
              <w:rPr>
                <w:rFonts w:asciiTheme="majorBidi" w:hAnsiTheme="majorBidi" w:cstheme="majorBidi"/>
                <w:i/>
                <w:iCs/>
              </w:rPr>
            </w:pPr>
            <w:bookmarkStart w:id="2" w:name="_Hlk66085574"/>
            <w:r w:rsidRPr="00AC7E67">
              <w:rPr>
                <w:rFonts w:asciiTheme="majorBidi" w:hAnsiTheme="majorBidi" w:cstheme="majorBidi"/>
                <w:i/>
                <w:iCs/>
              </w:rPr>
              <w:t xml:space="preserve">The </w:t>
            </w:r>
            <w:r w:rsidRPr="0029522F">
              <w:rPr>
                <w:rFonts w:asciiTheme="majorBidi" w:hAnsiTheme="majorBidi" w:cstheme="majorBidi"/>
                <w:i/>
                <w:iCs/>
              </w:rPr>
              <w:t>objective of this study is to evaluate the feasibility of increasing the UE’s uplink power in TDD bands for pi/2 BPSK modulation assuming use of existing UE power classes as indicated per band or band combination. The objectives are applicable to FR1 TDD bands n34, n39, n40, n41, n77, n78 and n79.</w:t>
            </w:r>
          </w:p>
          <w:p w14:paraId="6C7A5CCE" w14:textId="3F98F673" w:rsidR="00AC7E67" w:rsidRPr="0029522F"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 xml:space="preserve">Identify achievable UE Tx power for pi/2 BPSK with the filter studied in this study item. </w:t>
            </w:r>
          </w:p>
          <w:p w14:paraId="2D4739CE" w14:textId="77777777" w:rsidR="00AC7E67" w:rsidRPr="0029522F"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Evaluate SAR-related duty-cycle restrictions and reporting mechanisms</w:t>
            </w:r>
          </w:p>
          <w:p w14:paraId="20816E20" w14:textId="6A3380A7" w:rsidR="00AC7E67" w:rsidRPr="0029522F" w:rsidRDefault="00AC7E67" w:rsidP="00AC7E67">
            <w:pPr>
              <w:pStyle w:val="ListParagraph"/>
              <w:numPr>
                <w:ilvl w:val="0"/>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Identify filter characteristics necessary to enable the new power capability while ensuring good and robust BS receiver performance.</w:t>
            </w:r>
          </w:p>
          <w:p w14:paraId="206A96BF" w14:textId="54DB6F91" w:rsidR="00AC7E67" w:rsidRPr="0029522F" w:rsidRDefault="005E746A" w:rsidP="00AC7E67">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The choice of filters is up to UE implementations and transparent to the network</w:t>
            </w:r>
            <w:r w:rsidR="00C5611D" w:rsidRPr="0029522F">
              <w:rPr>
                <w:rFonts w:asciiTheme="majorBidi" w:hAnsiTheme="majorBidi" w:cstheme="majorBidi"/>
                <w:i/>
                <w:iCs/>
              </w:rPr>
              <w:t>.</w:t>
            </w:r>
            <w:r w:rsidRPr="0029522F">
              <w:rPr>
                <w:rFonts w:asciiTheme="majorBidi" w:hAnsiTheme="majorBidi" w:cstheme="majorBidi"/>
                <w:i/>
                <w:iCs/>
              </w:rPr>
              <w:t xml:space="preserve"> </w:t>
            </w:r>
          </w:p>
          <w:p w14:paraId="3425DE0D" w14:textId="77777777" w:rsidR="00AC7E67" w:rsidRPr="0029522F" w:rsidRDefault="00AC7E67" w:rsidP="00AC7E67">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 xml:space="preserve">Evaluate possible pulse shaping filter requirement applicable to the identified new UE power capability if achievable </w:t>
            </w:r>
          </w:p>
          <w:p w14:paraId="29048027" w14:textId="31B6723E" w:rsidR="00AC7E67" w:rsidRPr="00AC7E67" w:rsidRDefault="00AC7E67" w:rsidP="00A0041C">
            <w:pPr>
              <w:pStyle w:val="ListParagraph"/>
              <w:numPr>
                <w:ilvl w:val="1"/>
                <w:numId w:val="14"/>
              </w:numPr>
              <w:overflowPunct/>
              <w:autoSpaceDE/>
              <w:autoSpaceDN/>
              <w:adjustRightInd/>
              <w:spacing w:before="0"/>
              <w:contextualSpacing w:val="0"/>
              <w:textAlignment w:val="auto"/>
              <w:rPr>
                <w:rFonts w:asciiTheme="majorBidi" w:hAnsiTheme="majorBidi" w:cstheme="majorBidi"/>
                <w:i/>
                <w:iCs/>
              </w:rPr>
            </w:pPr>
            <w:r w:rsidRPr="0029522F">
              <w:rPr>
                <w:rFonts w:asciiTheme="majorBidi" w:hAnsiTheme="majorBidi" w:cstheme="majorBidi"/>
                <w:i/>
                <w:iCs/>
              </w:rPr>
              <w:t xml:space="preserve">Identify if </w:t>
            </w:r>
            <w:r w:rsidR="00E04D4A" w:rsidRPr="0029522F">
              <w:rPr>
                <w:rFonts w:asciiTheme="majorBidi" w:hAnsiTheme="majorBidi" w:cstheme="majorBidi"/>
                <w:i/>
                <w:iCs/>
              </w:rPr>
              <w:t>necessary,</w:t>
            </w:r>
            <w:r w:rsidRPr="0029522F">
              <w:rPr>
                <w:rFonts w:asciiTheme="majorBidi" w:hAnsiTheme="majorBidi" w:cstheme="majorBidi"/>
                <w:i/>
                <w:iCs/>
              </w:rPr>
              <w:t xml:space="preserve"> changes are needed to EVM equalizer flatness mask requirements to capture necessary filte</w:t>
            </w:r>
            <w:r w:rsidR="0029522F" w:rsidRPr="0029522F">
              <w:rPr>
                <w:rFonts w:asciiTheme="majorBidi" w:hAnsiTheme="majorBidi" w:cstheme="majorBidi"/>
                <w:i/>
                <w:iCs/>
              </w:rPr>
              <w:t xml:space="preserve">r. </w:t>
            </w:r>
            <w:r w:rsidRPr="0029522F">
              <w:rPr>
                <w:rFonts w:asciiTheme="majorBidi" w:hAnsiTheme="majorBidi" w:cstheme="majorBidi"/>
                <w:i/>
                <w:iCs/>
              </w:rPr>
              <w:t xml:space="preserve">Changes to the existing 14 dB p-p baseline to be assessed in relation to any potential gains in UL link performance while still ensuring robust BS receiver performance for all UEs in a cell. </w:t>
            </w:r>
            <w:bookmarkEnd w:id="2"/>
          </w:p>
        </w:tc>
      </w:tr>
    </w:tbl>
    <w:p w14:paraId="3A429F16" w14:textId="189B7FC9" w:rsidR="003858C8" w:rsidRPr="003A7CF1" w:rsidRDefault="003858C8" w:rsidP="003858C8">
      <w:pPr>
        <w:spacing w:after="0"/>
        <w:rPr>
          <w:rFonts w:ascii="Segoe UI" w:eastAsia="Times New Roman" w:hAnsi="Segoe UI" w:cs="Segoe UI"/>
          <w:lang w:val="en-US"/>
        </w:rPr>
      </w:pPr>
      <w:r>
        <w:t>In RAN4</w:t>
      </w:r>
      <w:r w:rsidR="00C915B2">
        <w:t xml:space="preserve"> </w:t>
      </w:r>
      <w:r>
        <w:t>#</w:t>
      </w:r>
      <w:r w:rsidR="0003248B">
        <w:t>100</w:t>
      </w:r>
      <w:r>
        <w:t xml:space="preserve">e it was </w:t>
      </w:r>
      <w:r w:rsidR="00860EB6">
        <w:t xml:space="preserve">agreed </w:t>
      </w:r>
      <w:r w:rsidR="00655C57">
        <w:t xml:space="preserve">to make evaluations based on </w:t>
      </w:r>
      <w:r w:rsidR="00FD19C0">
        <w:t>n</w:t>
      </w:r>
      <w:r w:rsidR="00FD19C0" w:rsidRPr="00FD19C0">
        <w:t>et gain that combines both the transmitter and receiver performances</w:t>
      </w:r>
      <w:r>
        <w:t xml:space="preserve"> [</w:t>
      </w:r>
      <w:r w:rsidR="00471774" w:rsidRPr="00327524">
        <w:t>3</w:t>
      </w:r>
      <w:r>
        <w:t xml:space="preserve">]. </w:t>
      </w:r>
      <w:r w:rsidR="007D5C1F">
        <w:t xml:space="preserve">In this contribution </w:t>
      </w:r>
      <w:r w:rsidR="00EC1C3E">
        <w:t>extend link level simulations provided in [</w:t>
      </w:r>
      <w:r w:rsidR="00471774" w:rsidRPr="00327524">
        <w:t>4</w:t>
      </w:r>
      <w:r w:rsidR="00EC1C3E">
        <w:t>] and show combined Tx and Rx performance for se</w:t>
      </w:r>
      <w:r w:rsidR="00415E66">
        <w:t>veral filters.</w:t>
      </w:r>
    </w:p>
    <w:p w14:paraId="0871E5A4" w14:textId="3314AB36" w:rsidR="00982F1A" w:rsidRPr="00074DFE" w:rsidRDefault="00370259" w:rsidP="00074DFE">
      <w:pPr>
        <w:pStyle w:val="Heading1"/>
        <w:rPr>
          <w:rStyle w:val="fontstyle01"/>
          <w:rFonts w:ascii="Arial" w:hAnsi="Arial"/>
          <w:color w:val="auto"/>
          <w:sz w:val="36"/>
          <w:szCs w:val="20"/>
        </w:rPr>
      </w:pPr>
      <w:r>
        <w:t xml:space="preserve">Tx + Rx </w:t>
      </w:r>
      <w:r w:rsidR="003E5B16">
        <w:t xml:space="preserve">Link </w:t>
      </w:r>
      <w:r w:rsidR="009B5988">
        <w:t xml:space="preserve">Margin </w:t>
      </w:r>
      <w:r>
        <w:t>Analysis</w:t>
      </w:r>
    </w:p>
    <w:p w14:paraId="58D9F26A" w14:textId="25F525AC" w:rsidR="008071F5" w:rsidRDefault="00917B56" w:rsidP="000D5669">
      <w:pPr>
        <w:jc w:val="both"/>
        <w:rPr>
          <w:lang w:eastAsia="ja-JP" w:bidi="hi-IN"/>
        </w:rPr>
      </w:pPr>
      <w:r>
        <w:rPr>
          <w:lang w:eastAsia="ja-JP" w:bidi="hi-IN"/>
        </w:rPr>
        <w:t xml:space="preserve">In order to evaluate the </w:t>
      </w:r>
      <w:r w:rsidR="001C56BB">
        <w:rPr>
          <w:lang w:eastAsia="ja-JP" w:bidi="hi-IN"/>
        </w:rPr>
        <w:t xml:space="preserve">combined Tx + Rx performance of </w:t>
      </w:r>
      <w:r>
        <w:rPr>
          <w:lang w:eastAsia="ja-JP" w:bidi="hi-IN"/>
        </w:rPr>
        <w:t xml:space="preserve">Pi/2BPSK </w:t>
      </w:r>
      <w:r w:rsidR="00A90F05">
        <w:rPr>
          <w:lang w:eastAsia="ja-JP" w:bidi="hi-IN"/>
        </w:rPr>
        <w:t xml:space="preserve">with filtering, link level simulations were performed for all </w:t>
      </w:r>
      <w:r w:rsidR="009A0072">
        <w:rPr>
          <w:lang w:eastAsia="ja-JP" w:bidi="hi-IN"/>
        </w:rPr>
        <w:t>LCRB values and several filter types.</w:t>
      </w:r>
      <w:r w:rsidR="008E5CE8">
        <w:rPr>
          <w:lang w:eastAsia="ja-JP" w:bidi="hi-IN"/>
        </w:rPr>
        <w:t xml:space="preserve">  </w:t>
      </w:r>
    </w:p>
    <w:p w14:paraId="1DC187C3" w14:textId="711649A1" w:rsidR="00DE179D" w:rsidRDefault="005B4627" w:rsidP="00DE179D">
      <w:pPr>
        <w:jc w:val="both"/>
        <w:rPr>
          <w:iCs/>
          <w:lang w:val="en-US"/>
        </w:rPr>
      </w:pPr>
      <w:r>
        <w:rPr>
          <w:lang w:eastAsia="ja-JP" w:bidi="hi-IN"/>
        </w:rPr>
        <w:t xml:space="preserve">Table 1 </w:t>
      </w:r>
      <w:r w:rsidR="00D64A2B">
        <w:rPr>
          <w:lang w:eastAsia="ja-JP" w:bidi="hi-IN"/>
        </w:rPr>
        <w:t xml:space="preserve">provides a summary of </w:t>
      </w:r>
      <w:r>
        <w:rPr>
          <w:lang w:eastAsia="ja-JP" w:bidi="hi-IN"/>
        </w:rPr>
        <w:t xml:space="preserve">link-level </w:t>
      </w:r>
      <w:r w:rsidR="00D64A2B">
        <w:rPr>
          <w:lang w:eastAsia="ja-JP" w:bidi="hi-IN"/>
        </w:rPr>
        <w:t xml:space="preserve">simulation </w:t>
      </w:r>
      <w:r>
        <w:rPr>
          <w:lang w:eastAsia="ja-JP" w:bidi="hi-IN"/>
        </w:rPr>
        <w:t>assumptions</w:t>
      </w:r>
      <w:r w:rsidR="006A687D">
        <w:rPr>
          <w:lang w:eastAsia="ja-JP" w:bidi="hi-IN"/>
        </w:rPr>
        <w:t xml:space="preserve">. </w:t>
      </w:r>
      <w:r w:rsidR="00BD7077">
        <w:rPr>
          <w:lang w:eastAsia="ja-JP" w:bidi="hi-IN"/>
        </w:rPr>
        <w:t>NR design assumes that pi/2 BPSK spectral shaping on UE side is performed on both data and DMRS symbols and, hence, the filtering is transparent to the gNB receiver.</w:t>
      </w:r>
      <w:r w:rsidR="001B5AE6">
        <w:rPr>
          <w:lang w:eastAsia="ja-JP" w:bidi="hi-IN"/>
        </w:rPr>
        <w:t xml:space="preserve">  Three pulse shaping filters [0.2 1 0.2], [0.28 1 0.28], and [1+D]</w:t>
      </w:r>
      <w:r w:rsidR="00EF6355">
        <w:rPr>
          <w:lang w:eastAsia="ja-JP" w:bidi="hi-IN"/>
        </w:rPr>
        <w:t xml:space="preserve"> were used as example of least, </w:t>
      </w:r>
      <w:proofErr w:type="gramStart"/>
      <w:r w:rsidR="00EF6355">
        <w:rPr>
          <w:lang w:eastAsia="ja-JP" w:bidi="hi-IN"/>
        </w:rPr>
        <w:t>moderate</w:t>
      </w:r>
      <w:proofErr w:type="gramEnd"/>
      <w:r w:rsidR="00EF6355">
        <w:rPr>
          <w:lang w:eastAsia="ja-JP" w:bidi="hi-IN"/>
        </w:rPr>
        <w:t xml:space="preserve"> and most a</w:t>
      </w:r>
      <w:r w:rsidR="002F2956">
        <w:rPr>
          <w:lang w:eastAsia="ja-JP" w:bidi="hi-IN"/>
        </w:rPr>
        <w:t>ggressive filtering respectively based on frequency roll-off.</w:t>
      </w:r>
      <w:r w:rsidR="00505A92">
        <w:rPr>
          <w:lang w:eastAsia="ja-JP" w:bidi="hi-IN"/>
        </w:rPr>
        <w:t xml:space="preserve"> </w:t>
      </w:r>
      <w:r w:rsidR="009B3A6E">
        <w:rPr>
          <w:lang w:eastAsia="ja-JP" w:bidi="hi-IN"/>
        </w:rPr>
        <w:t xml:space="preserve">A single PC2 PA was used </w:t>
      </w:r>
      <w:r w:rsidR="0019215D">
        <w:rPr>
          <w:lang w:eastAsia="ja-JP" w:bidi="hi-IN"/>
        </w:rPr>
        <w:t xml:space="preserve">in the Tx chain </w:t>
      </w:r>
      <w:r w:rsidR="009B3A6E">
        <w:rPr>
          <w:lang w:eastAsia="ja-JP" w:bidi="hi-IN"/>
        </w:rPr>
        <w:t>and</w:t>
      </w:r>
      <w:r w:rsidR="006E44AB">
        <w:rPr>
          <w:lang w:eastAsia="ja-JP" w:bidi="hi-IN"/>
        </w:rPr>
        <w:t xml:space="preserve"> was</w:t>
      </w:r>
      <w:r w:rsidR="009B3A6E">
        <w:rPr>
          <w:lang w:eastAsia="ja-JP" w:bidi="hi-IN"/>
        </w:rPr>
        <w:t xml:space="preserve"> calibrated</w:t>
      </w:r>
      <w:r w:rsidR="002860B6">
        <w:rPr>
          <w:lang w:eastAsia="ja-JP" w:bidi="hi-IN"/>
        </w:rPr>
        <w:t xml:space="preserve"> to </w:t>
      </w:r>
      <w:r w:rsidR="002860B6" w:rsidRPr="002860B6">
        <w:rPr>
          <w:lang w:eastAsia="ja-JP" w:bidi="hi-IN"/>
        </w:rPr>
        <w:t>1dB MPR</w:t>
      </w:r>
      <w:r w:rsidR="0019215D">
        <w:rPr>
          <w:lang w:eastAsia="ja-JP" w:bidi="hi-IN"/>
        </w:rPr>
        <w:t xml:space="preserve"> </w:t>
      </w:r>
      <w:r w:rsidR="000D6470">
        <w:rPr>
          <w:lang w:eastAsia="ja-JP" w:bidi="hi-IN"/>
        </w:rPr>
        <w:t>for</w:t>
      </w:r>
      <w:r w:rsidR="002860B6" w:rsidRPr="002860B6">
        <w:rPr>
          <w:lang w:eastAsia="ja-JP" w:bidi="hi-IN"/>
        </w:rPr>
        <w:t xml:space="preserve"> DFT-s-OFDM</w:t>
      </w:r>
      <w:r w:rsidR="000D6470">
        <w:rPr>
          <w:lang w:eastAsia="ja-JP" w:bidi="hi-IN"/>
        </w:rPr>
        <w:t>,</w:t>
      </w:r>
      <w:r w:rsidR="002860B6" w:rsidRPr="002860B6">
        <w:rPr>
          <w:lang w:eastAsia="ja-JP" w:bidi="hi-IN"/>
        </w:rPr>
        <w:t xml:space="preserve"> QPSK</w:t>
      </w:r>
      <w:r w:rsidR="000D6470">
        <w:rPr>
          <w:lang w:eastAsia="ja-JP" w:bidi="hi-IN"/>
        </w:rPr>
        <w:t>, BW=</w:t>
      </w:r>
      <w:r w:rsidR="002860B6" w:rsidRPr="002860B6">
        <w:rPr>
          <w:lang w:eastAsia="ja-JP" w:bidi="hi-IN"/>
        </w:rPr>
        <w:t>20MHz, 100RB with 4 dB post PA loss</w:t>
      </w:r>
      <w:r w:rsidR="002860B6">
        <w:rPr>
          <w:lang w:eastAsia="ja-JP" w:bidi="hi-IN"/>
        </w:rPr>
        <w:t xml:space="preserve"> in order to be</w:t>
      </w:r>
      <w:r w:rsidR="009B3A6E">
        <w:rPr>
          <w:lang w:eastAsia="ja-JP" w:bidi="hi-IN"/>
        </w:rPr>
        <w:t xml:space="preserve"> </w:t>
      </w:r>
      <w:r w:rsidR="009D4716">
        <w:rPr>
          <w:lang w:eastAsia="ja-JP" w:bidi="hi-IN"/>
        </w:rPr>
        <w:t>comparable</w:t>
      </w:r>
      <w:r w:rsidR="009B3A6E">
        <w:rPr>
          <w:lang w:eastAsia="ja-JP" w:bidi="hi-IN"/>
        </w:rPr>
        <w:t xml:space="preserve"> with other simulation re</w:t>
      </w:r>
      <w:r w:rsidR="002860B6">
        <w:rPr>
          <w:lang w:eastAsia="ja-JP" w:bidi="hi-IN"/>
        </w:rPr>
        <w:t>sults in this study item.</w:t>
      </w:r>
      <w:r w:rsidR="00DE179D">
        <w:rPr>
          <w:lang w:eastAsia="ja-JP" w:bidi="hi-IN"/>
        </w:rPr>
        <w:t xml:space="preserve"> </w:t>
      </w:r>
      <w:r w:rsidR="00DE179D" w:rsidRPr="00B82DF6">
        <w:rPr>
          <w:iCs/>
          <w:lang w:val="en-US"/>
        </w:rPr>
        <w:t xml:space="preserve">TDLC300 </w:t>
      </w:r>
      <w:r w:rsidR="00037597">
        <w:rPr>
          <w:iCs/>
          <w:lang w:val="en-US"/>
        </w:rPr>
        <w:t xml:space="preserve">and TDLA30 </w:t>
      </w:r>
      <w:r w:rsidR="00DE179D" w:rsidRPr="00B82DF6">
        <w:rPr>
          <w:iCs/>
          <w:lang w:val="en-US"/>
        </w:rPr>
        <w:t>channel model</w:t>
      </w:r>
      <w:r w:rsidR="00037597">
        <w:rPr>
          <w:iCs/>
          <w:lang w:val="en-US"/>
        </w:rPr>
        <w:t>s</w:t>
      </w:r>
      <w:r w:rsidR="00DE179D" w:rsidRPr="00B82DF6">
        <w:rPr>
          <w:iCs/>
          <w:lang w:val="en-US"/>
        </w:rPr>
        <w:t xml:space="preserve"> w</w:t>
      </w:r>
      <w:r w:rsidR="00037597">
        <w:rPr>
          <w:iCs/>
          <w:lang w:val="en-US"/>
        </w:rPr>
        <w:t>ere</w:t>
      </w:r>
      <w:r w:rsidR="00DE179D" w:rsidRPr="00B82DF6">
        <w:rPr>
          <w:iCs/>
          <w:lang w:val="en-US"/>
        </w:rPr>
        <w:t xml:space="preserve"> used for evaluations</w:t>
      </w:r>
      <w:r w:rsidR="00DE179D">
        <w:rPr>
          <w:iCs/>
          <w:lang w:val="en-US"/>
        </w:rPr>
        <w:t xml:space="preserve"> and SNR @ 10% BLER was used as a test metric.</w:t>
      </w:r>
    </w:p>
    <w:p w14:paraId="22E66B07" w14:textId="03365035" w:rsidR="000163F3" w:rsidRPr="000163F3" w:rsidRDefault="000163F3" w:rsidP="003A7CF1">
      <w:pPr>
        <w:pStyle w:val="Caption"/>
        <w:keepNext/>
        <w:jc w:val="center"/>
        <w:rPr>
          <w:sz w:val="16"/>
          <w:szCs w:val="16"/>
        </w:rPr>
      </w:pPr>
      <w:r w:rsidRPr="000163F3">
        <w:rPr>
          <w:sz w:val="16"/>
          <w:szCs w:val="16"/>
        </w:rPr>
        <w:t xml:space="preserve">Table </w:t>
      </w:r>
      <w:r w:rsidRPr="000163F3">
        <w:rPr>
          <w:sz w:val="16"/>
          <w:szCs w:val="16"/>
        </w:rPr>
        <w:fldChar w:fldCharType="begin"/>
      </w:r>
      <w:r w:rsidRPr="000163F3">
        <w:rPr>
          <w:sz w:val="16"/>
          <w:szCs w:val="16"/>
        </w:rPr>
        <w:instrText xml:space="preserve"> SEQ Table \* ARABIC </w:instrText>
      </w:r>
      <w:r w:rsidRPr="000163F3">
        <w:rPr>
          <w:sz w:val="16"/>
          <w:szCs w:val="16"/>
        </w:rPr>
        <w:fldChar w:fldCharType="separate"/>
      </w:r>
      <w:r w:rsidR="00F57CCB">
        <w:rPr>
          <w:noProof/>
          <w:sz w:val="16"/>
          <w:szCs w:val="16"/>
        </w:rPr>
        <w:t>1</w:t>
      </w:r>
      <w:r w:rsidRPr="000163F3">
        <w:rPr>
          <w:sz w:val="16"/>
          <w:szCs w:val="16"/>
        </w:rPr>
        <w:fldChar w:fldCharType="end"/>
      </w:r>
      <w:r w:rsidRPr="000163F3">
        <w:rPr>
          <w:sz w:val="16"/>
          <w:szCs w:val="16"/>
          <w:lang w:val="en-US"/>
        </w:rPr>
        <w:t>. Simulation assumptions</w:t>
      </w:r>
    </w:p>
    <w:tbl>
      <w:tblPr>
        <w:tblStyle w:val="GridTable5Dark-Accent5"/>
        <w:tblW w:w="6714" w:type="dxa"/>
        <w:jc w:val="center"/>
        <w:tblLook w:val="0620" w:firstRow="1" w:lastRow="0" w:firstColumn="0" w:lastColumn="0" w:noHBand="1" w:noVBand="1"/>
      </w:tblPr>
      <w:tblGrid>
        <w:gridCol w:w="3132"/>
        <w:gridCol w:w="3582"/>
      </w:tblGrid>
      <w:tr w:rsidR="00F22BEF" w:rsidRPr="00ED7E07" w14:paraId="4061B913" w14:textId="77777777" w:rsidTr="003A7CF1">
        <w:trPr>
          <w:cnfStyle w:val="100000000000" w:firstRow="1" w:lastRow="0" w:firstColumn="0" w:lastColumn="0" w:oddVBand="0" w:evenVBand="0" w:oddHBand="0" w:evenHBand="0" w:firstRowFirstColumn="0" w:firstRowLastColumn="0" w:lastRowFirstColumn="0" w:lastRowLastColumn="0"/>
          <w:trHeight w:val="236"/>
          <w:jc w:val="center"/>
        </w:trPr>
        <w:tc>
          <w:tcPr>
            <w:tcW w:w="0" w:type="dxa"/>
            <w:hideMark/>
          </w:tcPr>
          <w:p w14:paraId="34FC98AF" w14:textId="3C0C018E" w:rsidR="00F22BEF" w:rsidRPr="003A7CF1" w:rsidRDefault="00E673A6" w:rsidP="00E673A6">
            <w:pPr>
              <w:spacing w:before="0" w:after="0"/>
              <w:rPr>
                <w:sz w:val="18"/>
                <w:szCs w:val="18"/>
                <w:lang w:val="en-US" w:eastAsia="ja-JP" w:bidi="hi-IN"/>
              </w:rPr>
            </w:pPr>
            <w:r w:rsidRPr="003A7CF1">
              <w:rPr>
                <w:rFonts w:ascii="Calibri" w:hAnsi="Calibri" w:cs="Calibri"/>
                <w:color w:val="FFFFFF" w:themeColor="light1"/>
                <w:kern w:val="24"/>
                <w:sz w:val="18"/>
                <w:szCs w:val="18"/>
              </w:rPr>
              <w:t>Parameter</w:t>
            </w:r>
          </w:p>
        </w:tc>
        <w:tc>
          <w:tcPr>
            <w:tcW w:w="0" w:type="dxa"/>
            <w:hideMark/>
          </w:tcPr>
          <w:p w14:paraId="597A3575" w14:textId="4A1485A3" w:rsidR="00F22BEF" w:rsidRPr="003A7CF1" w:rsidRDefault="00E673A6" w:rsidP="00E673A6">
            <w:pPr>
              <w:spacing w:before="0" w:after="0"/>
              <w:rPr>
                <w:sz w:val="18"/>
                <w:szCs w:val="18"/>
                <w:lang w:val="en-US" w:eastAsia="ja-JP" w:bidi="hi-IN"/>
              </w:rPr>
            </w:pPr>
            <w:r w:rsidRPr="003A7CF1">
              <w:rPr>
                <w:rFonts w:ascii="Calibri" w:hAnsi="Calibri" w:cs="Calibri"/>
                <w:color w:val="FFFFFF" w:themeColor="light1"/>
                <w:kern w:val="24"/>
                <w:sz w:val="18"/>
                <w:szCs w:val="18"/>
              </w:rPr>
              <w:t>Value</w:t>
            </w:r>
          </w:p>
        </w:tc>
      </w:tr>
      <w:tr w:rsidR="007A6F26" w:rsidRPr="00ED7E07" w14:paraId="5F9B10BA" w14:textId="77777777" w:rsidTr="003A7CF1">
        <w:trPr>
          <w:trHeight w:val="236"/>
          <w:jc w:val="center"/>
        </w:trPr>
        <w:tc>
          <w:tcPr>
            <w:tcW w:w="0" w:type="dxa"/>
          </w:tcPr>
          <w:p w14:paraId="4C927500" w14:textId="60303EDB" w:rsidR="007A6F26" w:rsidRPr="003A7CF1" w:rsidRDefault="007A6F2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Power Amplifier</w:t>
            </w:r>
          </w:p>
        </w:tc>
        <w:tc>
          <w:tcPr>
            <w:tcW w:w="0" w:type="dxa"/>
          </w:tcPr>
          <w:p w14:paraId="299F4EB4" w14:textId="0CF6B9EE" w:rsidR="003F63E8" w:rsidRPr="003A7CF1" w:rsidRDefault="007A6F26" w:rsidP="00D9617D">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Single PC2 PA</w:t>
            </w:r>
            <w:r w:rsidR="00786A54" w:rsidRPr="003A7CF1">
              <w:rPr>
                <w:rFonts w:asciiTheme="minorHAnsi" w:eastAsiaTheme="minorEastAsia" w:hAnsi="Calibri" w:cstheme="minorBidi"/>
                <w:color w:val="000000" w:themeColor="dark1"/>
                <w:kern w:val="24"/>
                <w:sz w:val="18"/>
                <w:szCs w:val="18"/>
              </w:rPr>
              <w:t xml:space="preserve"> </w:t>
            </w:r>
          </w:p>
        </w:tc>
      </w:tr>
      <w:tr w:rsidR="003F63E8" w:rsidRPr="00ED7E07" w14:paraId="0216A00F" w14:textId="77777777" w:rsidTr="003A7CF1">
        <w:trPr>
          <w:trHeight w:val="236"/>
          <w:jc w:val="center"/>
        </w:trPr>
        <w:tc>
          <w:tcPr>
            <w:tcW w:w="0" w:type="dxa"/>
          </w:tcPr>
          <w:p w14:paraId="725C262C" w14:textId="0652820D" w:rsidR="003F63E8" w:rsidRPr="003A7CF1" w:rsidRDefault="003F63E8"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PA Calibration</w:t>
            </w:r>
          </w:p>
        </w:tc>
        <w:tc>
          <w:tcPr>
            <w:tcW w:w="0" w:type="dxa"/>
          </w:tcPr>
          <w:p w14:paraId="54314AFD" w14:textId="103A040F" w:rsidR="003F63E8" w:rsidRPr="003A7CF1" w:rsidRDefault="003F63E8" w:rsidP="00D9617D">
            <w:pPr>
              <w:spacing w:before="0" w:after="0"/>
              <w:rPr>
                <w:rFonts w:asciiTheme="minorHAnsi" w:eastAsiaTheme="minorEastAsia" w:hAnsi="Calibri" w:cstheme="minorBidi"/>
                <w:color w:val="000000" w:themeColor="dark1"/>
                <w:kern w:val="24"/>
                <w:sz w:val="18"/>
                <w:szCs w:val="18"/>
              </w:rPr>
            </w:pPr>
            <w:bookmarkStart w:id="3" w:name="_Hlk92454982"/>
            <w:r w:rsidRPr="003A7CF1">
              <w:rPr>
                <w:rFonts w:asciiTheme="minorHAnsi" w:eastAsiaTheme="minorEastAsia" w:hAnsi="Calibri" w:cstheme="minorBidi"/>
                <w:color w:val="000000" w:themeColor="dark1"/>
                <w:kern w:val="24"/>
                <w:sz w:val="18"/>
                <w:szCs w:val="18"/>
              </w:rPr>
              <w:t>1dB MPR: DFT-s-OFDM QPSK 20MHz, 100RB with 4 dB post PA loss</w:t>
            </w:r>
            <w:bookmarkEnd w:id="3"/>
          </w:p>
        </w:tc>
      </w:tr>
      <w:tr w:rsidR="00E673A6" w:rsidRPr="00ED7E07" w14:paraId="5DAD071F" w14:textId="77777777" w:rsidTr="003A7CF1">
        <w:trPr>
          <w:trHeight w:val="236"/>
          <w:jc w:val="center"/>
        </w:trPr>
        <w:tc>
          <w:tcPr>
            <w:tcW w:w="0" w:type="dxa"/>
          </w:tcPr>
          <w:p w14:paraId="0005D324" w14:textId="0E408559"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Pulse shaping filter</w:t>
            </w:r>
            <w:r w:rsidR="00796F95" w:rsidRPr="003A7CF1">
              <w:rPr>
                <w:rFonts w:ascii="Calibri" w:eastAsia="Times New Roman" w:hAnsi="Calibri" w:cs="Calibri"/>
                <w:color w:val="000000" w:themeColor="dark1"/>
                <w:kern w:val="24"/>
                <w:sz w:val="18"/>
                <w:szCs w:val="18"/>
                <w:lang w:val="en-US"/>
              </w:rPr>
              <w:t>s</w:t>
            </w:r>
          </w:p>
        </w:tc>
        <w:tc>
          <w:tcPr>
            <w:tcW w:w="0" w:type="dxa"/>
          </w:tcPr>
          <w:p w14:paraId="510E81D3" w14:textId="1EE0CA74" w:rsidR="00D9617D" w:rsidRPr="003A7CF1" w:rsidRDefault="00D9617D" w:rsidP="00D9617D">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[0.2 1 0.2]</w:t>
            </w:r>
          </w:p>
          <w:p w14:paraId="3497544B" w14:textId="7953D118" w:rsidR="00D9617D" w:rsidRPr="003A7CF1" w:rsidRDefault="00D9617D" w:rsidP="00D9617D">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 xml:space="preserve">[0.28 1 0.28] </w:t>
            </w:r>
          </w:p>
          <w:p w14:paraId="7A81B942" w14:textId="7775D4C1" w:rsidR="00D9617D" w:rsidRPr="003A7CF1" w:rsidRDefault="00D9617D" w:rsidP="00D9617D">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w:t>
            </w:r>
            <w:r w:rsidR="00C7349D" w:rsidRPr="003A7CF1">
              <w:rPr>
                <w:rFonts w:asciiTheme="minorHAnsi" w:eastAsiaTheme="minorEastAsia" w:hAnsi="Calibri" w:cstheme="minorBidi"/>
                <w:color w:val="000000" w:themeColor="dark1"/>
                <w:kern w:val="24"/>
                <w:sz w:val="18"/>
                <w:szCs w:val="18"/>
              </w:rPr>
              <w:t>1+D</w:t>
            </w:r>
            <w:r w:rsidRPr="003A7CF1">
              <w:rPr>
                <w:rFonts w:asciiTheme="minorHAnsi" w:eastAsiaTheme="minorEastAsia" w:hAnsi="Calibri" w:cstheme="minorBidi"/>
                <w:color w:val="000000" w:themeColor="dark1"/>
                <w:kern w:val="24"/>
                <w:sz w:val="18"/>
                <w:szCs w:val="18"/>
              </w:rPr>
              <w:t>]</w:t>
            </w:r>
          </w:p>
        </w:tc>
      </w:tr>
      <w:tr w:rsidR="00E673A6" w:rsidRPr="00ED7E07" w14:paraId="0B44371E" w14:textId="77777777" w:rsidTr="003A7CF1">
        <w:trPr>
          <w:trHeight w:val="236"/>
          <w:jc w:val="center"/>
        </w:trPr>
        <w:tc>
          <w:tcPr>
            <w:tcW w:w="0" w:type="dxa"/>
          </w:tcPr>
          <w:p w14:paraId="18B0CDC2" w14:textId="0134A64E" w:rsidR="00E673A6" w:rsidRPr="003A7CF1" w:rsidRDefault="00E673A6" w:rsidP="003A7CF1">
            <w:pPr>
              <w:spacing w:before="0" w:after="0"/>
              <w:rPr>
                <w:rFonts w:ascii="Calibri" w:hAnsi="Calibri" w:cs="Calibri"/>
                <w:color w:val="000000" w:themeColor="dark1"/>
                <w:kern w:val="24"/>
                <w:sz w:val="18"/>
                <w:szCs w:val="18"/>
              </w:rPr>
            </w:pPr>
            <w:r w:rsidRPr="003A7CF1">
              <w:rPr>
                <w:rFonts w:ascii="Calibri" w:eastAsia="Times New Roman" w:hAnsi="Calibri" w:cs="Calibri"/>
                <w:color w:val="000000" w:themeColor="dark1"/>
                <w:kern w:val="24"/>
                <w:sz w:val="18"/>
                <w:szCs w:val="18"/>
                <w:lang w:val="en-US"/>
              </w:rPr>
              <w:lastRenderedPageBreak/>
              <w:t>Channel model</w:t>
            </w:r>
          </w:p>
        </w:tc>
        <w:tc>
          <w:tcPr>
            <w:tcW w:w="0" w:type="dxa"/>
          </w:tcPr>
          <w:p w14:paraId="51D248EB" w14:textId="4B0FA364" w:rsidR="00E673A6" w:rsidRPr="003A7CF1" w:rsidRDefault="00E673A6" w:rsidP="00B82DF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 xml:space="preserve">TDL-C300ns, </w:t>
            </w:r>
            <w:r w:rsidR="002D6129" w:rsidRPr="003A7CF1">
              <w:rPr>
                <w:rFonts w:asciiTheme="minorHAnsi" w:eastAsiaTheme="minorEastAsia" w:hAnsi="Calibri" w:cstheme="minorBidi"/>
                <w:color w:val="000000" w:themeColor="dark1"/>
                <w:kern w:val="24"/>
                <w:sz w:val="18"/>
                <w:szCs w:val="18"/>
              </w:rPr>
              <w:t>TDL-A30ns,</w:t>
            </w:r>
          </w:p>
        </w:tc>
      </w:tr>
      <w:tr w:rsidR="00E673A6" w:rsidRPr="00ED7E07" w14:paraId="5376184B" w14:textId="77777777" w:rsidTr="003A7CF1">
        <w:trPr>
          <w:trHeight w:val="236"/>
          <w:jc w:val="center"/>
        </w:trPr>
        <w:tc>
          <w:tcPr>
            <w:tcW w:w="0" w:type="dxa"/>
            <w:hideMark/>
          </w:tcPr>
          <w:p w14:paraId="51F7187C" w14:textId="110A3D27" w:rsidR="00E673A6" w:rsidRPr="003A7CF1" w:rsidRDefault="00E673A6" w:rsidP="003A7CF1">
            <w:pPr>
              <w:spacing w:before="0" w:after="0"/>
              <w:rPr>
                <w:rFonts w:ascii="Calibri" w:hAnsi="Calibri" w:cs="Calibri"/>
                <w:color w:val="000000" w:themeColor="dark1"/>
                <w:kern w:val="24"/>
                <w:sz w:val="18"/>
                <w:szCs w:val="18"/>
              </w:rPr>
            </w:pPr>
            <w:r w:rsidRPr="003A7CF1">
              <w:rPr>
                <w:rFonts w:ascii="Calibri" w:eastAsia="Times New Roman" w:hAnsi="Calibri" w:cs="Calibri"/>
                <w:color w:val="000000" w:themeColor="dark1"/>
                <w:kern w:val="24"/>
                <w:sz w:val="18"/>
                <w:szCs w:val="18"/>
                <w:lang w:val="en-US"/>
              </w:rPr>
              <w:t>MCS</w:t>
            </w:r>
          </w:p>
        </w:tc>
        <w:tc>
          <w:tcPr>
            <w:tcW w:w="0" w:type="dxa"/>
            <w:hideMark/>
          </w:tcPr>
          <w:p w14:paraId="0F73404A" w14:textId="7F139A99" w:rsidR="00E673A6" w:rsidRPr="003A7CF1" w:rsidRDefault="00E673A6" w:rsidP="00B82DF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0</w:t>
            </w:r>
            <w:r w:rsidR="00796F95" w:rsidRPr="003A7CF1">
              <w:rPr>
                <w:rFonts w:asciiTheme="minorHAnsi" w:eastAsiaTheme="minorEastAsia" w:hAnsi="Calibri" w:cstheme="minorBidi"/>
                <w:color w:val="000000" w:themeColor="dark1"/>
                <w:kern w:val="24"/>
                <w:sz w:val="18"/>
                <w:szCs w:val="18"/>
              </w:rPr>
              <w:t xml:space="preserve"> (</w:t>
            </w:r>
            <w:r w:rsidR="00FF6EB6" w:rsidRPr="00FF6927">
              <w:rPr>
                <w:rFonts w:asciiTheme="minorHAnsi" w:eastAsiaTheme="minorEastAsia" w:hAnsi="Calibri" w:cstheme="minorBidi"/>
                <w:color w:val="000000" w:themeColor="dark1"/>
                <w:kern w:val="24"/>
                <w:sz w:val="18"/>
                <w:szCs w:val="18"/>
              </w:rPr>
              <w:t xml:space="preserve">MCS Table </w:t>
            </w:r>
            <w:r w:rsidR="00FF6927" w:rsidRPr="00FF6927">
              <w:rPr>
                <w:rFonts w:asciiTheme="minorHAnsi" w:eastAsiaTheme="minorEastAsia" w:hAnsi="Calibri" w:cstheme="minorBidi"/>
                <w:color w:val="000000" w:themeColor="dark1"/>
                <w:kern w:val="24"/>
                <w:sz w:val="18"/>
                <w:szCs w:val="18"/>
              </w:rPr>
              <w:t>3</w:t>
            </w:r>
            <w:r w:rsidR="00796F95" w:rsidRPr="00FF6927">
              <w:rPr>
                <w:rFonts w:asciiTheme="minorHAnsi" w:eastAsiaTheme="minorEastAsia" w:hAnsi="Calibri" w:cstheme="minorBidi"/>
                <w:color w:val="000000" w:themeColor="dark1"/>
                <w:kern w:val="24"/>
                <w:sz w:val="18"/>
                <w:szCs w:val="18"/>
              </w:rPr>
              <w:t>)</w:t>
            </w:r>
          </w:p>
        </w:tc>
      </w:tr>
      <w:tr w:rsidR="00E673A6" w:rsidRPr="00ED7E07" w14:paraId="6ED9952F" w14:textId="77777777" w:rsidTr="003A7CF1">
        <w:trPr>
          <w:trHeight w:val="236"/>
          <w:jc w:val="center"/>
        </w:trPr>
        <w:tc>
          <w:tcPr>
            <w:tcW w:w="0" w:type="dxa"/>
            <w:hideMark/>
          </w:tcPr>
          <w:p w14:paraId="748EE509" w14:textId="0F25B09A"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Waveform</w:t>
            </w:r>
          </w:p>
        </w:tc>
        <w:tc>
          <w:tcPr>
            <w:tcW w:w="0" w:type="dxa"/>
            <w:hideMark/>
          </w:tcPr>
          <w:p w14:paraId="28F58AC6" w14:textId="4E21FC6C" w:rsidR="00E673A6" w:rsidRPr="003A7CF1" w:rsidRDefault="00E673A6" w:rsidP="00B82DF6">
            <w:pPr>
              <w:spacing w:before="0" w:after="0"/>
              <w:ind w:left="30" w:hanging="3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DFTS OFDM with pi/2 BPSK filtered by same filter as for Rel-16 DMRS</w:t>
            </w:r>
          </w:p>
        </w:tc>
      </w:tr>
      <w:tr w:rsidR="00796F95" w:rsidRPr="00E673A6" w14:paraId="3E1908F7" w14:textId="77777777" w:rsidTr="003A7CF1">
        <w:trPr>
          <w:trHeight w:val="236"/>
          <w:jc w:val="center"/>
        </w:trPr>
        <w:tc>
          <w:tcPr>
            <w:tcW w:w="0" w:type="dxa"/>
            <w:hideMark/>
          </w:tcPr>
          <w:p w14:paraId="34D2EFDA" w14:textId="77777777" w:rsidR="00796F95" w:rsidRPr="003A7CF1" w:rsidRDefault="00796F95" w:rsidP="00906DC2">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DMRS configuration</w:t>
            </w:r>
          </w:p>
        </w:tc>
        <w:tc>
          <w:tcPr>
            <w:tcW w:w="0" w:type="dxa"/>
            <w:hideMark/>
          </w:tcPr>
          <w:p w14:paraId="1B484202" w14:textId="77777777" w:rsidR="00796F95" w:rsidRPr="003A7CF1" w:rsidRDefault="00796F95" w:rsidP="00906DC2">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Rel-16 low PAPR DMRS sequence</w:t>
            </w:r>
          </w:p>
        </w:tc>
      </w:tr>
      <w:tr w:rsidR="00E673A6" w:rsidRPr="00ED7E07" w14:paraId="5CF677E7" w14:textId="77777777" w:rsidTr="003A7CF1">
        <w:trPr>
          <w:trHeight w:val="236"/>
          <w:jc w:val="center"/>
        </w:trPr>
        <w:tc>
          <w:tcPr>
            <w:tcW w:w="0" w:type="dxa"/>
            <w:hideMark/>
          </w:tcPr>
          <w:p w14:paraId="2C3D2250" w14:textId="3A13EFE6"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 of DMRS symbols/slot</w:t>
            </w:r>
          </w:p>
        </w:tc>
        <w:tc>
          <w:tcPr>
            <w:tcW w:w="0" w:type="dxa"/>
            <w:hideMark/>
          </w:tcPr>
          <w:p w14:paraId="405A22D1" w14:textId="236C085E" w:rsidR="00E673A6" w:rsidRPr="003A7CF1" w:rsidRDefault="00E673A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2</w:t>
            </w:r>
          </w:p>
        </w:tc>
      </w:tr>
      <w:tr w:rsidR="00E673A6" w:rsidRPr="00ED7E07" w14:paraId="4DE502EA" w14:textId="77777777" w:rsidTr="003A7CF1">
        <w:trPr>
          <w:trHeight w:val="236"/>
          <w:jc w:val="center"/>
        </w:trPr>
        <w:tc>
          <w:tcPr>
            <w:tcW w:w="0" w:type="dxa"/>
            <w:hideMark/>
          </w:tcPr>
          <w:p w14:paraId="7662B9CC" w14:textId="1721A87C"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 xml:space="preserve"># of </w:t>
            </w:r>
            <w:r w:rsidR="00796F95" w:rsidRPr="003A7CF1">
              <w:rPr>
                <w:rFonts w:ascii="Calibri" w:eastAsia="Times New Roman" w:hAnsi="Calibri" w:cs="Calibri"/>
                <w:color w:val="000000" w:themeColor="dark1"/>
                <w:kern w:val="24"/>
                <w:sz w:val="18"/>
                <w:szCs w:val="18"/>
                <w:lang w:val="en-US"/>
              </w:rPr>
              <w:t xml:space="preserve">Data </w:t>
            </w:r>
            <w:r w:rsidRPr="003A7CF1">
              <w:rPr>
                <w:rFonts w:ascii="Calibri" w:eastAsia="Times New Roman" w:hAnsi="Calibri" w:cs="Calibri"/>
                <w:color w:val="000000" w:themeColor="dark1"/>
                <w:kern w:val="24"/>
                <w:sz w:val="18"/>
                <w:szCs w:val="18"/>
                <w:lang w:val="en-US"/>
              </w:rPr>
              <w:t>symbols/slot</w:t>
            </w:r>
          </w:p>
        </w:tc>
        <w:tc>
          <w:tcPr>
            <w:tcW w:w="0" w:type="dxa"/>
            <w:hideMark/>
          </w:tcPr>
          <w:p w14:paraId="447EC1FE" w14:textId="48B8E983" w:rsidR="00E673A6" w:rsidRPr="003A7CF1" w:rsidRDefault="00E673A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12</w:t>
            </w:r>
          </w:p>
        </w:tc>
      </w:tr>
      <w:tr w:rsidR="00E673A6" w:rsidRPr="00ED7E07" w14:paraId="50D770FC" w14:textId="77777777" w:rsidTr="003A7CF1">
        <w:trPr>
          <w:trHeight w:val="136"/>
          <w:jc w:val="center"/>
        </w:trPr>
        <w:tc>
          <w:tcPr>
            <w:tcW w:w="0" w:type="dxa"/>
            <w:hideMark/>
          </w:tcPr>
          <w:p w14:paraId="151CABB6" w14:textId="10F12631"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TX/RX configuration</w:t>
            </w:r>
          </w:p>
        </w:tc>
        <w:tc>
          <w:tcPr>
            <w:tcW w:w="0" w:type="dxa"/>
            <w:hideMark/>
          </w:tcPr>
          <w:p w14:paraId="32FDE218" w14:textId="6DB70EC5" w:rsidR="00E673A6" w:rsidRPr="003A7CF1" w:rsidRDefault="00E673A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1TX/4RX</w:t>
            </w:r>
            <w:r w:rsidR="00796F95" w:rsidRPr="003A7CF1">
              <w:rPr>
                <w:rFonts w:asciiTheme="minorHAnsi" w:eastAsiaTheme="minorEastAsia" w:hAnsi="Calibri" w:cstheme="minorBidi"/>
                <w:color w:val="000000" w:themeColor="dark1"/>
                <w:kern w:val="24"/>
                <w:sz w:val="18"/>
                <w:szCs w:val="18"/>
              </w:rPr>
              <w:t xml:space="preserve"> (low correlation)</w:t>
            </w:r>
          </w:p>
        </w:tc>
      </w:tr>
      <w:tr w:rsidR="00E673A6" w:rsidRPr="00E673A6" w14:paraId="404DD49D" w14:textId="77777777" w:rsidTr="003A7CF1">
        <w:trPr>
          <w:trHeight w:val="236"/>
          <w:jc w:val="center"/>
        </w:trPr>
        <w:tc>
          <w:tcPr>
            <w:tcW w:w="0" w:type="dxa"/>
            <w:hideMark/>
          </w:tcPr>
          <w:p w14:paraId="445173C1" w14:textId="22BE9840" w:rsidR="00E673A6" w:rsidRPr="003A7CF1" w:rsidRDefault="00796F95"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C</w:t>
            </w:r>
            <w:r w:rsidR="00E673A6" w:rsidRPr="003A7CF1">
              <w:rPr>
                <w:rFonts w:ascii="Calibri" w:eastAsia="Times New Roman" w:hAnsi="Calibri" w:cs="Calibri"/>
                <w:color w:val="000000" w:themeColor="dark1"/>
                <w:kern w:val="24"/>
                <w:sz w:val="18"/>
                <w:szCs w:val="18"/>
                <w:lang w:val="en-US"/>
              </w:rPr>
              <w:t>BW</w:t>
            </w:r>
          </w:p>
        </w:tc>
        <w:tc>
          <w:tcPr>
            <w:tcW w:w="0" w:type="dxa"/>
            <w:hideMark/>
          </w:tcPr>
          <w:p w14:paraId="03D29293" w14:textId="562844CA" w:rsidR="00E673A6" w:rsidRPr="003A7CF1" w:rsidRDefault="007A6F2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2</w:t>
            </w:r>
            <w:r w:rsidR="00E673A6" w:rsidRPr="003A7CF1">
              <w:rPr>
                <w:rFonts w:asciiTheme="minorHAnsi" w:eastAsiaTheme="minorEastAsia" w:hAnsi="Calibri" w:cstheme="minorBidi"/>
                <w:color w:val="000000" w:themeColor="dark1"/>
                <w:kern w:val="24"/>
                <w:sz w:val="18"/>
                <w:szCs w:val="18"/>
              </w:rPr>
              <w:t>0 MHz</w:t>
            </w:r>
          </w:p>
        </w:tc>
      </w:tr>
      <w:tr w:rsidR="00E673A6" w:rsidRPr="00E673A6" w14:paraId="0BD98697" w14:textId="77777777" w:rsidTr="003A7CF1">
        <w:trPr>
          <w:trHeight w:val="23"/>
          <w:jc w:val="center"/>
        </w:trPr>
        <w:tc>
          <w:tcPr>
            <w:tcW w:w="0" w:type="dxa"/>
            <w:hideMark/>
          </w:tcPr>
          <w:p w14:paraId="7E993D06" w14:textId="77777777"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 xml:space="preserve">SCS </w:t>
            </w:r>
          </w:p>
        </w:tc>
        <w:tc>
          <w:tcPr>
            <w:tcW w:w="0" w:type="dxa"/>
            <w:hideMark/>
          </w:tcPr>
          <w:p w14:paraId="57C71766" w14:textId="77777777" w:rsidR="00E673A6" w:rsidRPr="003A7CF1" w:rsidRDefault="00E673A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30 kHz</w:t>
            </w:r>
          </w:p>
        </w:tc>
      </w:tr>
      <w:tr w:rsidR="00E673A6" w:rsidRPr="00E673A6" w14:paraId="7A1AF097" w14:textId="77777777" w:rsidTr="003A7CF1">
        <w:trPr>
          <w:trHeight w:val="236"/>
          <w:jc w:val="center"/>
        </w:trPr>
        <w:tc>
          <w:tcPr>
            <w:tcW w:w="0" w:type="dxa"/>
            <w:hideMark/>
          </w:tcPr>
          <w:p w14:paraId="330CFCDD" w14:textId="77777777" w:rsidR="00E673A6" w:rsidRPr="003A7CF1" w:rsidRDefault="00E673A6" w:rsidP="00E673A6">
            <w:pPr>
              <w:spacing w:before="0" w:after="0"/>
              <w:rPr>
                <w:rFonts w:ascii="Calibri" w:eastAsia="Times New Roman" w:hAnsi="Calibri" w:cs="Calibri"/>
                <w:color w:val="000000" w:themeColor="dark1"/>
                <w:kern w:val="24"/>
                <w:sz w:val="18"/>
                <w:szCs w:val="18"/>
                <w:lang w:val="en-US"/>
              </w:rPr>
            </w:pPr>
            <w:r w:rsidRPr="003A7CF1">
              <w:rPr>
                <w:rFonts w:ascii="Calibri" w:eastAsia="Times New Roman" w:hAnsi="Calibri" w:cs="Calibri"/>
                <w:color w:val="000000" w:themeColor="dark1"/>
                <w:kern w:val="24"/>
                <w:sz w:val="18"/>
                <w:szCs w:val="18"/>
                <w:lang w:val="en-US"/>
              </w:rPr>
              <w:t>HARQ configuration</w:t>
            </w:r>
          </w:p>
        </w:tc>
        <w:tc>
          <w:tcPr>
            <w:tcW w:w="0" w:type="dxa"/>
            <w:hideMark/>
          </w:tcPr>
          <w:p w14:paraId="144D71FF" w14:textId="77777777" w:rsidR="00E673A6" w:rsidRPr="003A7CF1" w:rsidRDefault="00E673A6" w:rsidP="00E673A6">
            <w:pPr>
              <w:spacing w:before="0" w:after="0"/>
              <w:rPr>
                <w:rFonts w:asciiTheme="minorHAnsi" w:eastAsiaTheme="minorEastAsia" w:hAnsi="Calibri" w:cstheme="minorBidi"/>
                <w:color w:val="000000" w:themeColor="dark1"/>
                <w:kern w:val="24"/>
                <w:sz w:val="18"/>
                <w:szCs w:val="18"/>
              </w:rPr>
            </w:pPr>
            <w:r w:rsidRPr="003A7CF1">
              <w:rPr>
                <w:rFonts w:asciiTheme="minorHAnsi" w:eastAsiaTheme="minorEastAsia" w:hAnsi="Calibri" w:cstheme="minorBidi"/>
                <w:color w:val="000000" w:themeColor="dark1"/>
                <w:kern w:val="24"/>
                <w:sz w:val="18"/>
                <w:szCs w:val="18"/>
              </w:rPr>
              <w:t>No retransmissions</w:t>
            </w:r>
          </w:p>
        </w:tc>
      </w:tr>
    </w:tbl>
    <w:p w14:paraId="45E8E66F" w14:textId="77777777" w:rsidR="003C27EC" w:rsidRDefault="003C27EC" w:rsidP="00B82DF6">
      <w:pPr>
        <w:pStyle w:val="Caption"/>
        <w:spacing w:after="0"/>
        <w:jc w:val="center"/>
        <w:rPr>
          <w:sz w:val="16"/>
          <w:szCs w:val="16"/>
        </w:rPr>
      </w:pPr>
    </w:p>
    <w:p w14:paraId="6DB9697C" w14:textId="40A4FBF3" w:rsidR="00512DB9" w:rsidRPr="00C03B9D" w:rsidRDefault="006F541B" w:rsidP="00C03B9D">
      <w:pPr>
        <w:jc w:val="both"/>
        <w:rPr>
          <w:lang w:eastAsia="ja-JP" w:bidi="hi-IN"/>
        </w:rPr>
      </w:pPr>
      <w:r w:rsidRPr="00C03B9D">
        <w:rPr>
          <w:lang w:eastAsia="ja-JP" w:bidi="hi-IN"/>
        </w:rPr>
        <w:t xml:space="preserve">In order to have </w:t>
      </w:r>
      <w:r w:rsidR="001A7BCA" w:rsidRPr="00C03B9D">
        <w:rPr>
          <w:lang w:eastAsia="ja-JP" w:bidi="hi-IN"/>
        </w:rPr>
        <w:t xml:space="preserve">good </w:t>
      </w:r>
      <w:r w:rsidRPr="00C03B9D">
        <w:rPr>
          <w:lang w:eastAsia="ja-JP" w:bidi="hi-IN"/>
        </w:rPr>
        <w:t>comparison between the different filters and channel model</w:t>
      </w:r>
      <w:r w:rsidR="007E7C60" w:rsidRPr="00C03B9D">
        <w:rPr>
          <w:lang w:eastAsia="ja-JP" w:bidi="hi-IN"/>
        </w:rPr>
        <w:t>s</w:t>
      </w:r>
      <w:r w:rsidR="00A1019E" w:rsidRPr="00C03B9D">
        <w:rPr>
          <w:lang w:eastAsia="ja-JP" w:bidi="hi-IN"/>
        </w:rPr>
        <w:t xml:space="preserve"> it is necessary to </w:t>
      </w:r>
      <w:r w:rsidR="00AD3A54" w:rsidRPr="00C03B9D">
        <w:rPr>
          <w:lang w:eastAsia="ja-JP" w:bidi="hi-IN"/>
        </w:rPr>
        <w:t xml:space="preserve">clearly </w:t>
      </w:r>
      <w:r w:rsidR="00A1019E" w:rsidRPr="00C03B9D">
        <w:rPr>
          <w:lang w:eastAsia="ja-JP" w:bidi="hi-IN"/>
        </w:rPr>
        <w:t>define Net Tx + Rx Gain.</w:t>
      </w:r>
      <w:r w:rsidR="001A7BCA" w:rsidRPr="00C03B9D">
        <w:rPr>
          <w:lang w:eastAsia="ja-JP" w:bidi="hi-IN"/>
        </w:rPr>
        <w:t xml:space="preserve">  Tx output may range between 23</w:t>
      </w:r>
      <w:r w:rsidR="00F971A5" w:rsidRPr="00C03B9D">
        <w:rPr>
          <w:lang w:eastAsia="ja-JP" w:bidi="hi-IN"/>
        </w:rPr>
        <w:t>dBm to 28dBm</w:t>
      </w:r>
      <w:r w:rsidR="007637A5" w:rsidRPr="00C03B9D">
        <w:rPr>
          <w:lang w:eastAsia="ja-JP" w:bidi="hi-IN"/>
        </w:rPr>
        <w:t>,</w:t>
      </w:r>
      <w:r w:rsidR="00F971A5" w:rsidRPr="00C03B9D">
        <w:rPr>
          <w:lang w:eastAsia="ja-JP" w:bidi="hi-IN"/>
        </w:rPr>
        <w:t xml:space="preserve"> Rx SNR for Pi/2BPSK may range from -13 to -5dB</w:t>
      </w:r>
      <w:r w:rsidR="007637A5" w:rsidRPr="00C03B9D">
        <w:rPr>
          <w:lang w:eastAsia="ja-JP" w:bidi="hi-IN"/>
        </w:rPr>
        <w:t xml:space="preserve"> and </w:t>
      </w:r>
      <w:r w:rsidR="006631A4" w:rsidRPr="00C03B9D">
        <w:rPr>
          <w:lang w:eastAsia="ja-JP" w:bidi="hi-IN"/>
        </w:rPr>
        <w:t xml:space="preserve">there is also the path loss.  </w:t>
      </w:r>
      <w:r w:rsidR="00240AD7" w:rsidRPr="00C03B9D">
        <w:rPr>
          <w:lang w:eastAsia="ja-JP" w:bidi="hi-IN"/>
        </w:rPr>
        <w:t>SNR varies with LCRB</w:t>
      </w:r>
      <w:r w:rsidR="002D6315" w:rsidRPr="00C03B9D">
        <w:rPr>
          <w:lang w:eastAsia="ja-JP" w:bidi="hi-IN"/>
        </w:rPr>
        <w:t xml:space="preserve"> and tends to be best for large LCRBs and degrade for small LCRBs.</w:t>
      </w:r>
      <w:r w:rsidR="008229FE" w:rsidRPr="00C03B9D">
        <w:rPr>
          <w:lang w:eastAsia="ja-JP" w:bidi="hi-IN"/>
        </w:rPr>
        <w:t xml:space="preserve">   In [4]</w:t>
      </w:r>
      <w:r w:rsidR="00EE70F4" w:rsidRPr="00C03B9D">
        <w:rPr>
          <w:lang w:eastAsia="ja-JP" w:bidi="hi-IN"/>
        </w:rPr>
        <w:t xml:space="preserve">, we normalized Net Tx+Rx gain against the </w:t>
      </w:r>
      <w:r w:rsidR="00AC21A3" w:rsidRPr="00C03B9D">
        <w:rPr>
          <w:lang w:eastAsia="ja-JP" w:bidi="hi-IN"/>
        </w:rPr>
        <w:t>same setup using QPSK.  This allowed for comparison in performance allowed by Pi/2BPSK beyond QPSK.</w:t>
      </w:r>
      <w:r w:rsidR="00A47144" w:rsidRPr="00C03B9D">
        <w:rPr>
          <w:lang w:eastAsia="ja-JP" w:bidi="hi-IN"/>
        </w:rPr>
        <w:t xml:space="preserve">  In this analysis, </w:t>
      </w:r>
      <w:r w:rsidR="00512DB9" w:rsidRPr="00C03B9D">
        <w:rPr>
          <w:lang w:eastAsia="ja-JP" w:bidi="hi-IN"/>
        </w:rPr>
        <w:t xml:space="preserve">we are interested in seeing the best regions of operation </w:t>
      </w:r>
      <w:r w:rsidR="003A4749" w:rsidRPr="00C03B9D">
        <w:rPr>
          <w:lang w:eastAsia="ja-JP" w:bidi="hi-IN"/>
        </w:rPr>
        <w:t xml:space="preserve">for Pi/2BPSK, so we normalize to zero value for a 26dBm Tx power </w:t>
      </w:r>
      <w:r w:rsidR="00B07F33" w:rsidRPr="00C03B9D">
        <w:rPr>
          <w:lang w:eastAsia="ja-JP" w:bidi="hi-IN"/>
        </w:rPr>
        <w:t>and Rx SNR for the largest LCRB level and no filter.</w:t>
      </w:r>
      <w:r w:rsidR="00D4283A" w:rsidRPr="00C03B9D">
        <w:rPr>
          <w:lang w:eastAsia="ja-JP" w:bidi="hi-IN"/>
        </w:rPr>
        <w:t xml:space="preserve">  By normalizing with no filter, we can see the small trade-offs between filter performance.</w:t>
      </w:r>
      <w:r w:rsidR="00E202DB" w:rsidRPr="00C03B9D">
        <w:rPr>
          <w:lang w:eastAsia="ja-JP" w:bidi="hi-IN"/>
        </w:rPr>
        <w:t xml:space="preserve">  In the following figures positive dB represent </w:t>
      </w:r>
      <w:r w:rsidR="00E77236" w:rsidRPr="00C03B9D">
        <w:rPr>
          <w:lang w:eastAsia="ja-JP" w:bidi="hi-IN"/>
        </w:rPr>
        <w:t>better performance in terms of higher Tx power and/or better SNR.</w:t>
      </w:r>
    </w:p>
    <w:p w14:paraId="36F1DA6A" w14:textId="77777777" w:rsidR="00340A85" w:rsidRPr="00327524" w:rsidRDefault="00340A85" w:rsidP="00A71580">
      <w:pPr>
        <w:rPr>
          <w:lang w:eastAsia="ja-JP" w:bidi="hi-IN"/>
        </w:rPr>
      </w:pPr>
    </w:p>
    <w:p w14:paraId="7EE1E862" w14:textId="515140F0" w:rsidR="00D75386" w:rsidRDefault="00183040" w:rsidP="00D75386">
      <w:pPr>
        <w:keepNext/>
      </w:pPr>
      <w:r w:rsidRPr="00183040">
        <w:rPr>
          <w:noProof/>
        </w:rPr>
        <w:drawing>
          <wp:inline distT="0" distB="0" distL="0" distR="0" wp14:anchorId="16018656" wp14:editId="1C7C1B99">
            <wp:extent cx="6120765" cy="2575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575560"/>
                    </a:xfrm>
                    <a:prstGeom prst="rect">
                      <a:avLst/>
                    </a:prstGeom>
                    <a:noFill/>
                    <a:ln>
                      <a:noFill/>
                    </a:ln>
                  </pic:spPr>
                </pic:pic>
              </a:graphicData>
            </a:graphic>
          </wp:inline>
        </w:drawing>
      </w:r>
    </w:p>
    <w:p w14:paraId="4C5E805B" w14:textId="394BE570" w:rsidR="00773A32" w:rsidRPr="00AB41F5" w:rsidRDefault="00D75386" w:rsidP="0029522F">
      <w:pPr>
        <w:pStyle w:val="Caption"/>
        <w:jc w:val="center"/>
        <w:rPr>
          <w:b w:val="0"/>
          <w:bCs/>
          <w:lang w:val="en-US"/>
        </w:rPr>
      </w:pPr>
      <w:r w:rsidRPr="00AB41F5">
        <w:rPr>
          <w:b w:val="0"/>
          <w:bCs/>
        </w:rPr>
        <w:t xml:space="preserve">Figure </w:t>
      </w:r>
      <w:r w:rsidR="008364E4">
        <w:rPr>
          <w:b w:val="0"/>
          <w:bCs/>
        </w:rPr>
        <w:fldChar w:fldCharType="begin"/>
      </w:r>
      <w:r w:rsidR="008364E4">
        <w:rPr>
          <w:b w:val="0"/>
          <w:bCs/>
        </w:rPr>
        <w:instrText xml:space="preserve"> SEQ Figure \* ARABIC </w:instrText>
      </w:r>
      <w:r w:rsidR="008364E4">
        <w:rPr>
          <w:b w:val="0"/>
          <w:bCs/>
        </w:rPr>
        <w:fldChar w:fldCharType="separate"/>
      </w:r>
      <w:r w:rsidR="00F61A9A">
        <w:rPr>
          <w:b w:val="0"/>
          <w:bCs/>
          <w:noProof/>
        </w:rPr>
        <w:t>1</w:t>
      </w:r>
      <w:r w:rsidR="008364E4">
        <w:rPr>
          <w:b w:val="0"/>
          <w:bCs/>
        </w:rPr>
        <w:fldChar w:fldCharType="end"/>
      </w:r>
      <w:r w:rsidRPr="00AB41F5">
        <w:rPr>
          <w:b w:val="0"/>
          <w:bCs/>
          <w:lang w:val="en-US"/>
        </w:rPr>
        <w:t xml:space="preserve"> </w:t>
      </w:r>
      <w:r w:rsidR="00EB7E8A" w:rsidRPr="00AB41F5">
        <w:rPr>
          <w:b w:val="0"/>
          <w:bCs/>
          <w:lang w:val="en-US"/>
        </w:rPr>
        <w:t>–</w:t>
      </w:r>
      <w:r w:rsidRPr="00AB41F5">
        <w:rPr>
          <w:b w:val="0"/>
          <w:bCs/>
          <w:lang w:val="en-US"/>
        </w:rPr>
        <w:t xml:space="preserve"> </w:t>
      </w:r>
      <w:r w:rsidR="00EB7E8A" w:rsidRPr="00AB41F5">
        <w:rPr>
          <w:b w:val="0"/>
          <w:bCs/>
          <w:lang w:val="en-US"/>
        </w:rPr>
        <w:t>Tx + Rx Link Margin above PC2</w:t>
      </w:r>
      <w:r w:rsidR="005C5C3F">
        <w:rPr>
          <w:b w:val="0"/>
          <w:bCs/>
          <w:lang w:val="en-US"/>
        </w:rPr>
        <w:t xml:space="preserve"> (26dBm)</w:t>
      </w:r>
      <w:r w:rsidR="002169BE" w:rsidRPr="00AB41F5">
        <w:rPr>
          <w:b w:val="0"/>
          <w:bCs/>
          <w:lang w:val="en-US"/>
        </w:rPr>
        <w:t xml:space="preserve"> for [0.2 1 0.2]</w:t>
      </w:r>
      <w:r w:rsidR="004233E9" w:rsidRPr="00AB41F5">
        <w:rPr>
          <w:b w:val="0"/>
          <w:bCs/>
          <w:lang w:val="en-US"/>
        </w:rPr>
        <w:t xml:space="preserve">.  (a) </w:t>
      </w:r>
      <w:r w:rsidR="004B40E3" w:rsidRPr="00AB41F5">
        <w:rPr>
          <w:b w:val="0"/>
          <w:bCs/>
          <w:lang w:val="en-US"/>
        </w:rPr>
        <w:t>T</w:t>
      </w:r>
      <w:r w:rsidR="004B40E3">
        <w:rPr>
          <w:b w:val="0"/>
          <w:bCs/>
          <w:lang w:val="en-US"/>
        </w:rPr>
        <w:t>DL</w:t>
      </w:r>
      <w:r w:rsidR="00AB41F5" w:rsidRPr="00AB41F5">
        <w:rPr>
          <w:b w:val="0"/>
          <w:bCs/>
          <w:lang w:val="en-US"/>
        </w:rPr>
        <w:t>-</w:t>
      </w:r>
      <w:r w:rsidR="004B40E3">
        <w:rPr>
          <w:b w:val="0"/>
          <w:bCs/>
          <w:lang w:val="en-US"/>
        </w:rPr>
        <w:t>C3</w:t>
      </w:r>
      <w:r w:rsidR="004B40E3" w:rsidRPr="00AB41F5">
        <w:rPr>
          <w:b w:val="0"/>
          <w:bCs/>
          <w:lang w:val="en-US"/>
        </w:rPr>
        <w:t>00</w:t>
      </w:r>
      <w:r w:rsidR="004B40E3">
        <w:rPr>
          <w:b w:val="0"/>
          <w:bCs/>
          <w:lang w:val="en-US"/>
        </w:rPr>
        <w:t>ns</w:t>
      </w:r>
      <w:r w:rsidR="004B40E3" w:rsidRPr="00AB41F5">
        <w:rPr>
          <w:b w:val="0"/>
          <w:bCs/>
          <w:lang w:val="en-US"/>
        </w:rPr>
        <w:t xml:space="preserve"> </w:t>
      </w:r>
      <w:r w:rsidR="00AB41F5" w:rsidRPr="00AB41F5">
        <w:rPr>
          <w:b w:val="0"/>
          <w:bCs/>
          <w:lang w:val="en-US"/>
        </w:rPr>
        <w:t>case, (b) T</w:t>
      </w:r>
      <w:r w:rsidR="004B40E3">
        <w:rPr>
          <w:b w:val="0"/>
          <w:bCs/>
          <w:lang w:val="en-US"/>
        </w:rPr>
        <w:t>DL</w:t>
      </w:r>
      <w:r w:rsidR="00AB41F5" w:rsidRPr="00AB41F5">
        <w:rPr>
          <w:b w:val="0"/>
          <w:bCs/>
          <w:lang w:val="en-US"/>
        </w:rPr>
        <w:t>-</w:t>
      </w:r>
      <w:r w:rsidR="004B40E3">
        <w:rPr>
          <w:b w:val="0"/>
          <w:bCs/>
          <w:lang w:val="en-US"/>
        </w:rPr>
        <w:t>A</w:t>
      </w:r>
      <w:r w:rsidR="00AB41F5" w:rsidRPr="00AB41F5">
        <w:rPr>
          <w:b w:val="0"/>
          <w:bCs/>
          <w:lang w:val="en-US"/>
        </w:rPr>
        <w:t>30n</w:t>
      </w:r>
      <w:r w:rsidR="004B40E3">
        <w:rPr>
          <w:b w:val="0"/>
          <w:bCs/>
          <w:lang w:val="en-US"/>
        </w:rPr>
        <w:t>s</w:t>
      </w:r>
      <w:r w:rsidR="00AB41F5" w:rsidRPr="00AB41F5">
        <w:rPr>
          <w:b w:val="0"/>
          <w:bCs/>
          <w:lang w:val="en-US"/>
        </w:rPr>
        <w:t xml:space="preserve"> case</w:t>
      </w:r>
    </w:p>
    <w:p w14:paraId="687C506D" w14:textId="2FADD840" w:rsidR="0017366D" w:rsidRDefault="00B9686F" w:rsidP="0017366D">
      <w:pPr>
        <w:keepNext/>
      </w:pPr>
      <w:r w:rsidRPr="00B9686F">
        <w:t xml:space="preserve"> </w:t>
      </w:r>
      <w:r w:rsidRPr="00B9686F">
        <w:rPr>
          <w:noProof/>
        </w:rPr>
        <w:drawing>
          <wp:inline distT="0" distB="0" distL="0" distR="0" wp14:anchorId="5A2B6B87" wp14:editId="73EA2665">
            <wp:extent cx="6120765" cy="26219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621915"/>
                    </a:xfrm>
                    <a:prstGeom prst="rect">
                      <a:avLst/>
                    </a:prstGeom>
                    <a:noFill/>
                    <a:ln>
                      <a:noFill/>
                    </a:ln>
                  </pic:spPr>
                </pic:pic>
              </a:graphicData>
            </a:graphic>
          </wp:inline>
        </w:drawing>
      </w:r>
    </w:p>
    <w:p w14:paraId="13B174BB" w14:textId="6DE000C1" w:rsidR="00AB41F5" w:rsidRDefault="0017366D" w:rsidP="0029522F">
      <w:pPr>
        <w:pStyle w:val="Caption"/>
        <w:jc w:val="center"/>
        <w:rPr>
          <w:lang w:val="en-US" w:bidi="hi-IN"/>
        </w:rPr>
      </w:pPr>
      <w:r w:rsidRPr="0017366D">
        <w:rPr>
          <w:b w:val="0"/>
          <w:bCs/>
        </w:rPr>
        <w:t xml:space="preserve">Figure </w:t>
      </w:r>
      <w:r w:rsidR="008364E4">
        <w:rPr>
          <w:b w:val="0"/>
          <w:bCs/>
        </w:rPr>
        <w:fldChar w:fldCharType="begin"/>
      </w:r>
      <w:r w:rsidR="008364E4">
        <w:rPr>
          <w:b w:val="0"/>
          <w:bCs/>
        </w:rPr>
        <w:instrText xml:space="preserve"> SEQ Figure \* ARABIC </w:instrText>
      </w:r>
      <w:r w:rsidR="008364E4">
        <w:rPr>
          <w:b w:val="0"/>
          <w:bCs/>
        </w:rPr>
        <w:fldChar w:fldCharType="separate"/>
      </w:r>
      <w:r w:rsidR="00F61A9A">
        <w:rPr>
          <w:b w:val="0"/>
          <w:bCs/>
          <w:noProof/>
        </w:rPr>
        <w:t>2</w:t>
      </w:r>
      <w:r w:rsidR="008364E4">
        <w:rPr>
          <w:b w:val="0"/>
          <w:bCs/>
        </w:rPr>
        <w:fldChar w:fldCharType="end"/>
      </w:r>
      <w:r>
        <w:rPr>
          <w:lang w:val="en-US"/>
        </w:rPr>
        <w:t xml:space="preserve"> </w:t>
      </w:r>
      <w:r w:rsidRPr="00AB41F5">
        <w:rPr>
          <w:b w:val="0"/>
          <w:bCs/>
          <w:lang w:val="en-US"/>
        </w:rPr>
        <w:t xml:space="preserve">– Tx + Rx Link Margin above PC2 </w:t>
      </w:r>
      <w:r w:rsidR="005C5C3F">
        <w:rPr>
          <w:b w:val="0"/>
          <w:bCs/>
          <w:lang w:val="en-US"/>
        </w:rPr>
        <w:t>(26dBm)</w:t>
      </w:r>
      <w:r w:rsidR="005C5C3F" w:rsidRPr="00AB41F5">
        <w:rPr>
          <w:b w:val="0"/>
          <w:bCs/>
          <w:lang w:val="en-US"/>
        </w:rPr>
        <w:t xml:space="preserve"> </w:t>
      </w:r>
      <w:r w:rsidRPr="00AB41F5">
        <w:rPr>
          <w:b w:val="0"/>
          <w:bCs/>
          <w:lang w:val="en-US"/>
        </w:rPr>
        <w:t>for [0.2</w:t>
      </w:r>
      <w:r>
        <w:rPr>
          <w:b w:val="0"/>
          <w:bCs/>
          <w:lang w:val="en-US"/>
        </w:rPr>
        <w:t>8</w:t>
      </w:r>
      <w:r w:rsidRPr="00AB41F5">
        <w:rPr>
          <w:b w:val="0"/>
          <w:bCs/>
          <w:lang w:val="en-US"/>
        </w:rPr>
        <w:t xml:space="preserve"> 1 0.2</w:t>
      </w:r>
      <w:r>
        <w:rPr>
          <w:b w:val="0"/>
          <w:bCs/>
          <w:lang w:val="en-US"/>
        </w:rPr>
        <w:t>8</w:t>
      </w:r>
      <w:r w:rsidRPr="00AB41F5">
        <w:rPr>
          <w:b w:val="0"/>
          <w:bCs/>
          <w:lang w:val="en-US"/>
        </w:rPr>
        <w:t xml:space="preserve">].  (a) </w:t>
      </w:r>
      <w:r w:rsidR="004B40E3" w:rsidRPr="00AB41F5">
        <w:rPr>
          <w:b w:val="0"/>
          <w:bCs/>
          <w:lang w:val="en-US"/>
        </w:rPr>
        <w:t>T</w:t>
      </w:r>
      <w:r w:rsidR="004B40E3">
        <w:rPr>
          <w:b w:val="0"/>
          <w:bCs/>
          <w:lang w:val="en-US"/>
        </w:rPr>
        <w:t>DL</w:t>
      </w:r>
      <w:r w:rsidRPr="00AB41F5">
        <w:rPr>
          <w:b w:val="0"/>
          <w:bCs/>
          <w:lang w:val="en-US"/>
        </w:rPr>
        <w:t>-</w:t>
      </w:r>
      <w:r w:rsidR="004B40E3">
        <w:rPr>
          <w:b w:val="0"/>
          <w:bCs/>
          <w:lang w:val="en-US"/>
        </w:rPr>
        <w:t>C</w:t>
      </w:r>
      <w:r w:rsidR="004B40E3" w:rsidRPr="00AB41F5">
        <w:rPr>
          <w:b w:val="0"/>
          <w:bCs/>
          <w:lang w:val="en-US"/>
        </w:rPr>
        <w:t>300n</w:t>
      </w:r>
      <w:r w:rsidR="004B40E3">
        <w:rPr>
          <w:b w:val="0"/>
          <w:bCs/>
          <w:lang w:val="en-US"/>
        </w:rPr>
        <w:t>s</w:t>
      </w:r>
      <w:r w:rsidR="004B40E3" w:rsidRPr="00AB41F5">
        <w:rPr>
          <w:b w:val="0"/>
          <w:bCs/>
          <w:lang w:val="en-US"/>
        </w:rPr>
        <w:t xml:space="preserve"> </w:t>
      </w:r>
      <w:r w:rsidRPr="00AB41F5">
        <w:rPr>
          <w:b w:val="0"/>
          <w:bCs/>
          <w:lang w:val="en-US"/>
        </w:rPr>
        <w:t>case, (b) T</w:t>
      </w:r>
      <w:r w:rsidR="004B40E3">
        <w:rPr>
          <w:b w:val="0"/>
          <w:bCs/>
          <w:lang w:val="en-US"/>
        </w:rPr>
        <w:t>DL</w:t>
      </w:r>
      <w:r w:rsidRPr="00AB41F5">
        <w:rPr>
          <w:b w:val="0"/>
          <w:bCs/>
          <w:lang w:val="en-US"/>
        </w:rPr>
        <w:t>-</w:t>
      </w:r>
      <w:r w:rsidR="004B40E3">
        <w:rPr>
          <w:b w:val="0"/>
          <w:bCs/>
          <w:lang w:val="en-US"/>
        </w:rPr>
        <w:t>A</w:t>
      </w:r>
      <w:r w:rsidR="004B40E3" w:rsidRPr="00AB41F5">
        <w:rPr>
          <w:b w:val="0"/>
          <w:bCs/>
          <w:lang w:val="en-US"/>
        </w:rPr>
        <w:t>30n</w:t>
      </w:r>
      <w:r w:rsidR="004B40E3">
        <w:rPr>
          <w:b w:val="0"/>
          <w:bCs/>
          <w:lang w:val="en-US"/>
        </w:rPr>
        <w:t>s</w:t>
      </w:r>
      <w:r w:rsidR="004B40E3" w:rsidRPr="00AB41F5">
        <w:rPr>
          <w:b w:val="0"/>
          <w:bCs/>
          <w:lang w:val="en-US"/>
        </w:rPr>
        <w:t xml:space="preserve"> </w:t>
      </w:r>
      <w:r w:rsidRPr="00AB41F5">
        <w:rPr>
          <w:b w:val="0"/>
          <w:bCs/>
          <w:lang w:val="en-US"/>
        </w:rPr>
        <w:t>case</w:t>
      </w:r>
    </w:p>
    <w:p w14:paraId="16A00625" w14:textId="4589E1D3" w:rsidR="00CF0B0F" w:rsidRDefault="007B15F7" w:rsidP="00CF0B0F">
      <w:pPr>
        <w:keepNext/>
      </w:pPr>
      <w:r w:rsidRPr="007B15F7">
        <w:lastRenderedPageBreak/>
        <w:t xml:space="preserve"> </w:t>
      </w:r>
      <w:r w:rsidRPr="007B15F7">
        <w:rPr>
          <w:noProof/>
        </w:rPr>
        <w:drawing>
          <wp:inline distT="0" distB="0" distL="0" distR="0" wp14:anchorId="0AC0AC1B" wp14:editId="300F67D8">
            <wp:extent cx="6120765" cy="25736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573655"/>
                    </a:xfrm>
                    <a:prstGeom prst="rect">
                      <a:avLst/>
                    </a:prstGeom>
                    <a:noFill/>
                    <a:ln>
                      <a:noFill/>
                    </a:ln>
                  </pic:spPr>
                </pic:pic>
              </a:graphicData>
            </a:graphic>
          </wp:inline>
        </w:drawing>
      </w:r>
    </w:p>
    <w:p w14:paraId="564D2A6B" w14:textId="702AE377" w:rsidR="0017366D" w:rsidRPr="00AB41F5" w:rsidRDefault="00CF0B0F" w:rsidP="0029522F">
      <w:pPr>
        <w:pStyle w:val="Caption"/>
        <w:jc w:val="center"/>
        <w:rPr>
          <w:lang w:val="en-US" w:bidi="hi-IN"/>
        </w:rPr>
      </w:pPr>
      <w:r w:rsidRPr="00CF0B0F">
        <w:rPr>
          <w:b w:val="0"/>
          <w:bCs/>
        </w:rPr>
        <w:t xml:space="preserve">Figure </w:t>
      </w:r>
      <w:r w:rsidR="008364E4">
        <w:rPr>
          <w:b w:val="0"/>
          <w:bCs/>
        </w:rPr>
        <w:fldChar w:fldCharType="begin"/>
      </w:r>
      <w:r w:rsidR="008364E4">
        <w:rPr>
          <w:b w:val="0"/>
          <w:bCs/>
        </w:rPr>
        <w:instrText xml:space="preserve"> SEQ Figure \* ARABIC </w:instrText>
      </w:r>
      <w:r w:rsidR="008364E4">
        <w:rPr>
          <w:b w:val="0"/>
          <w:bCs/>
        </w:rPr>
        <w:fldChar w:fldCharType="separate"/>
      </w:r>
      <w:r w:rsidR="00F61A9A">
        <w:rPr>
          <w:b w:val="0"/>
          <w:bCs/>
          <w:noProof/>
        </w:rPr>
        <w:t>3</w:t>
      </w:r>
      <w:r w:rsidR="008364E4">
        <w:rPr>
          <w:b w:val="0"/>
          <w:bCs/>
        </w:rPr>
        <w:fldChar w:fldCharType="end"/>
      </w:r>
      <w:r>
        <w:rPr>
          <w:lang w:val="en-US"/>
        </w:rPr>
        <w:t xml:space="preserve"> </w:t>
      </w:r>
      <w:r w:rsidRPr="00AB41F5">
        <w:rPr>
          <w:b w:val="0"/>
          <w:bCs/>
          <w:lang w:val="en-US"/>
        </w:rPr>
        <w:t xml:space="preserve">– Tx + Rx Link Margin above PC2 </w:t>
      </w:r>
      <w:r w:rsidR="005C5C3F">
        <w:rPr>
          <w:b w:val="0"/>
          <w:bCs/>
          <w:lang w:val="en-US"/>
        </w:rPr>
        <w:t>(26dBm)</w:t>
      </w:r>
      <w:r w:rsidR="005C5C3F" w:rsidRPr="00AB41F5">
        <w:rPr>
          <w:b w:val="0"/>
          <w:bCs/>
          <w:lang w:val="en-US"/>
        </w:rPr>
        <w:t xml:space="preserve"> </w:t>
      </w:r>
      <w:r w:rsidRPr="00AB41F5">
        <w:rPr>
          <w:b w:val="0"/>
          <w:bCs/>
          <w:lang w:val="en-US"/>
        </w:rPr>
        <w:t>for [</w:t>
      </w:r>
      <w:r w:rsidR="003C1873">
        <w:rPr>
          <w:b w:val="0"/>
          <w:bCs/>
          <w:lang w:val="en-US"/>
        </w:rPr>
        <w:t>1+D</w:t>
      </w:r>
      <w:r w:rsidRPr="00AB41F5">
        <w:rPr>
          <w:b w:val="0"/>
          <w:bCs/>
          <w:lang w:val="en-US"/>
        </w:rPr>
        <w:t xml:space="preserve">].  </w:t>
      </w:r>
      <w:r w:rsidR="004B40E3" w:rsidRPr="00AB41F5">
        <w:rPr>
          <w:b w:val="0"/>
          <w:bCs/>
          <w:lang w:val="en-US"/>
        </w:rPr>
        <w:t>(a) T</w:t>
      </w:r>
      <w:r w:rsidR="004B40E3">
        <w:rPr>
          <w:b w:val="0"/>
          <w:bCs/>
          <w:lang w:val="en-US"/>
        </w:rPr>
        <w:t>DL</w:t>
      </w:r>
      <w:r w:rsidR="004B40E3" w:rsidRPr="00AB41F5">
        <w:rPr>
          <w:b w:val="0"/>
          <w:bCs/>
          <w:lang w:val="en-US"/>
        </w:rPr>
        <w:t>-</w:t>
      </w:r>
      <w:r w:rsidR="004B40E3">
        <w:rPr>
          <w:b w:val="0"/>
          <w:bCs/>
          <w:lang w:val="en-US"/>
        </w:rPr>
        <w:t>C</w:t>
      </w:r>
      <w:r w:rsidR="004B40E3" w:rsidRPr="00AB41F5">
        <w:rPr>
          <w:b w:val="0"/>
          <w:bCs/>
          <w:lang w:val="en-US"/>
        </w:rPr>
        <w:t>300n</w:t>
      </w:r>
      <w:r w:rsidR="004B40E3">
        <w:rPr>
          <w:b w:val="0"/>
          <w:bCs/>
          <w:lang w:val="en-US"/>
        </w:rPr>
        <w:t>s</w:t>
      </w:r>
      <w:r w:rsidR="004B40E3" w:rsidRPr="00AB41F5">
        <w:rPr>
          <w:b w:val="0"/>
          <w:bCs/>
          <w:lang w:val="en-US"/>
        </w:rPr>
        <w:t xml:space="preserve"> case, (b) T</w:t>
      </w:r>
      <w:r w:rsidR="004B40E3">
        <w:rPr>
          <w:b w:val="0"/>
          <w:bCs/>
          <w:lang w:val="en-US"/>
        </w:rPr>
        <w:t>DL</w:t>
      </w:r>
      <w:r w:rsidR="004B40E3" w:rsidRPr="00AB41F5">
        <w:rPr>
          <w:b w:val="0"/>
          <w:bCs/>
          <w:lang w:val="en-US"/>
        </w:rPr>
        <w:t>-</w:t>
      </w:r>
      <w:r w:rsidR="004B40E3">
        <w:rPr>
          <w:b w:val="0"/>
          <w:bCs/>
          <w:lang w:val="en-US"/>
        </w:rPr>
        <w:t>A</w:t>
      </w:r>
      <w:r w:rsidR="004B40E3" w:rsidRPr="00AB41F5">
        <w:rPr>
          <w:b w:val="0"/>
          <w:bCs/>
          <w:lang w:val="en-US"/>
        </w:rPr>
        <w:t>30n</w:t>
      </w:r>
      <w:r w:rsidR="004B40E3">
        <w:rPr>
          <w:b w:val="0"/>
          <w:bCs/>
          <w:lang w:val="en-US"/>
        </w:rPr>
        <w:t>s</w:t>
      </w:r>
      <w:r w:rsidR="004B40E3" w:rsidRPr="00AB41F5">
        <w:rPr>
          <w:b w:val="0"/>
          <w:bCs/>
          <w:lang w:val="en-US"/>
        </w:rPr>
        <w:t xml:space="preserve"> case</w:t>
      </w:r>
      <w:r w:rsidR="004B40E3" w:rsidRPr="00AB41F5" w:rsidDel="004B40E3">
        <w:rPr>
          <w:b w:val="0"/>
          <w:bCs/>
          <w:lang w:val="en-US"/>
        </w:rPr>
        <w:t xml:space="preserve"> </w:t>
      </w:r>
    </w:p>
    <w:p w14:paraId="239717A2" w14:textId="1E8BAE98" w:rsidR="002E0C15" w:rsidRPr="0029522F" w:rsidRDefault="004E35DD" w:rsidP="00C03B9D">
      <w:pPr>
        <w:pStyle w:val="Heading2"/>
        <w:numPr>
          <w:ilvl w:val="0"/>
          <w:numId w:val="0"/>
        </w:numPr>
        <w:tabs>
          <w:tab w:val="clear" w:pos="567"/>
        </w:tabs>
        <w:rPr>
          <w:rFonts w:ascii="Times New Roman" w:hAnsi="Times New Roman"/>
          <w:sz w:val="20"/>
          <w:szCs w:val="16"/>
        </w:rPr>
      </w:pPr>
      <w:r w:rsidRPr="0029522F">
        <w:rPr>
          <w:rFonts w:ascii="Times New Roman" w:hAnsi="Times New Roman"/>
          <w:sz w:val="20"/>
          <w:szCs w:val="16"/>
        </w:rPr>
        <w:t>All six of the plots in Figure 1-3 have some common trends</w:t>
      </w:r>
      <w:r w:rsidR="00620075" w:rsidRPr="0029522F">
        <w:rPr>
          <w:rFonts w:ascii="Times New Roman" w:hAnsi="Times New Roman"/>
          <w:sz w:val="20"/>
          <w:szCs w:val="16"/>
        </w:rPr>
        <w:t xml:space="preserve">. In all cases the lower </w:t>
      </w:r>
      <w:r w:rsidR="001A6CE8" w:rsidRPr="0029522F">
        <w:rPr>
          <w:rFonts w:ascii="Times New Roman" w:hAnsi="Times New Roman"/>
          <w:sz w:val="20"/>
          <w:szCs w:val="16"/>
        </w:rPr>
        <w:t>12</w:t>
      </w:r>
      <w:r w:rsidR="00B031C5" w:rsidRPr="0029522F">
        <w:rPr>
          <w:rFonts w:ascii="Times New Roman" w:hAnsi="Times New Roman"/>
          <w:sz w:val="20"/>
          <w:szCs w:val="16"/>
        </w:rPr>
        <w:t>% of LCRB cases (LCRB</w:t>
      </w:r>
      <w:r w:rsidR="00106050" w:rsidRPr="0029522F">
        <w:rPr>
          <w:rFonts w:ascii="Times New Roman" w:hAnsi="Times New Roman"/>
          <w:i/>
          <w:iCs/>
          <w:sz w:val="20"/>
          <w:szCs w:val="16"/>
        </w:rPr>
        <w:t>≤</w:t>
      </w:r>
      <w:r w:rsidR="00560AD8" w:rsidRPr="0029522F">
        <w:rPr>
          <w:rFonts w:ascii="Times New Roman" w:hAnsi="Times New Roman"/>
          <w:sz w:val="20"/>
          <w:szCs w:val="16"/>
        </w:rPr>
        <w:t>6</w:t>
      </w:r>
      <w:r w:rsidR="00B031C5" w:rsidRPr="0029522F">
        <w:rPr>
          <w:rFonts w:ascii="Times New Roman" w:hAnsi="Times New Roman"/>
          <w:sz w:val="20"/>
          <w:szCs w:val="16"/>
        </w:rPr>
        <w:t xml:space="preserve"> for CBW=20MHz) have</w:t>
      </w:r>
      <w:r w:rsidR="001A6CE8" w:rsidRPr="0029522F">
        <w:rPr>
          <w:rFonts w:ascii="Times New Roman" w:hAnsi="Times New Roman"/>
          <w:sz w:val="20"/>
          <w:szCs w:val="16"/>
        </w:rPr>
        <w:t xml:space="preserve"> at least some negative link margin</w:t>
      </w:r>
      <w:r w:rsidR="00581929">
        <w:rPr>
          <w:rFonts w:ascii="Times New Roman" w:hAnsi="Times New Roman"/>
          <w:sz w:val="20"/>
          <w:szCs w:val="16"/>
        </w:rPr>
        <w:t>s</w:t>
      </w:r>
      <w:r w:rsidR="001A6CE8" w:rsidRPr="0029522F">
        <w:rPr>
          <w:rFonts w:ascii="Times New Roman" w:hAnsi="Times New Roman"/>
          <w:sz w:val="20"/>
          <w:szCs w:val="16"/>
        </w:rPr>
        <w:t xml:space="preserve">. </w:t>
      </w:r>
      <w:r w:rsidR="003D3806" w:rsidRPr="0029522F">
        <w:rPr>
          <w:rFonts w:ascii="Times New Roman" w:hAnsi="Times New Roman"/>
          <w:sz w:val="20"/>
          <w:szCs w:val="16"/>
        </w:rPr>
        <w:t xml:space="preserve">For these small LCRBs, the </w:t>
      </w:r>
      <w:r w:rsidR="0046087D" w:rsidRPr="0029522F">
        <w:rPr>
          <w:rFonts w:ascii="Times New Roman" w:hAnsi="Times New Roman"/>
          <w:sz w:val="20"/>
          <w:szCs w:val="16"/>
        </w:rPr>
        <w:t xml:space="preserve">degradation in equalization performance exceeds </w:t>
      </w:r>
      <w:r w:rsidR="001E3583" w:rsidRPr="0029522F">
        <w:rPr>
          <w:rFonts w:ascii="Times New Roman" w:hAnsi="Times New Roman"/>
          <w:sz w:val="20"/>
          <w:szCs w:val="16"/>
        </w:rPr>
        <w:t>any gains in Tx output power had by using Pi/2BPSK</w:t>
      </w:r>
      <w:r w:rsidR="00CA21DB" w:rsidRPr="0029522F">
        <w:rPr>
          <w:rFonts w:ascii="Times New Roman" w:hAnsi="Times New Roman"/>
          <w:sz w:val="20"/>
          <w:szCs w:val="16"/>
        </w:rPr>
        <w:t>.</w:t>
      </w:r>
    </w:p>
    <w:p w14:paraId="3578BF45" w14:textId="2537BCCA" w:rsidR="00CA21DB" w:rsidRPr="0029522F" w:rsidRDefault="00CA21DB" w:rsidP="00C03B9D">
      <w:pPr>
        <w:jc w:val="both"/>
        <w:rPr>
          <w:i/>
          <w:iCs/>
        </w:rPr>
      </w:pPr>
      <w:r w:rsidRPr="00CA21DB">
        <w:rPr>
          <w:i/>
          <w:iCs/>
          <w:lang w:eastAsia="ja-JP" w:bidi="hi-IN"/>
        </w:rPr>
        <w:t xml:space="preserve">Observation 1: </w:t>
      </w:r>
      <w:r w:rsidRPr="0029522F">
        <w:rPr>
          <w:i/>
          <w:iCs/>
        </w:rPr>
        <w:t xml:space="preserve">In all cases </w:t>
      </w:r>
      <w:r w:rsidR="007552AB" w:rsidRPr="0029522F">
        <w:rPr>
          <w:i/>
          <w:iCs/>
        </w:rPr>
        <w:t xml:space="preserve">simulated, </w:t>
      </w:r>
      <w:r w:rsidRPr="0029522F">
        <w:rPr>
          <w:i/>
          <w:iCs/>
        </w:rPr>
        <w:t>the lower 12% of LCRB cases (LCRB</w:t>
      </w:r>
      <w:r w:rsidR="0029145A" w:rsidRPr="0029522F">
        <w:rPr>
          <w:i/>
          <w:iCs/>
        </w:rPr>
        <w:t xml:space="preserve"> </w:t>
      </w:r>
      <w:r w:rsidR="0029145A" w:rsidRPr="0029522F">
        <w:rPr>
          <w:rFonts w:hint="eastAsia"/>
          <w:i/>
          <w:iCs/>
        </w:rPr>
        <w:t>≤</w:t>
      </w:r>
      <w:r w:rsidR="0029145A" w:rsidRPr="0029522F">
        <w:rPr>
          <w:i/>
          <w:iCs/>
        </w:rPr>
        <w:t xml:space="preserve"> </w:t>
      </w:r>
      <w:r w:rsidRPr="0029522F">
        <w:rPr>
          <w:i/>
          <w:iCs/>
        </w:rPr>
        <w:t>6 for CBW=20MHz) have at least some negative link margin.</w:t>
      </w:r>
    </w:p>
    <w:p w14:paraId="665246E1" w14:textId="5EBEE89C" w:rsidR="00DF4A3D" w:rsidRPr="0029522F" w:rsidRDefault="00DF4A3D" w:rsidP="00C03B9D">
      <w:pPr>
        <w:jc w:val="both"/>
      </w:pPr>
      <w:r w:rsidRPr="0029522F">
        <w:rPr>
          <w:i/>
          <w:iCs/>
        </w:rPr>
        <w:t xml:space="preserve">Proposal 1: Based on link margin simulations, </w:t>
      </w:r>
      <w:r w:rsidR="00AB3A1F" w:rsidRPr="0029522F">
        <w:rPr>
          <w:i/>
          <w:iCs/>
        </w:rPr>
        <w:t>it is recommended to select</w:t>
      </w:r>
      <w:r w:rsidR="002254B0" w:rsidRPr="0029522F">
        <w:rPr>
          <w:i/>
          <w:iCs/>
        </w:rPr>
        <w:t xml:space="preserve"> LCRB values</w:t>
      </w:r>
      <w:r w:rsidR="00AB3A1F" w:rsidRPr="0029522F">
        <w:rPr>
          <w:i/>
          <w:iCs/>
        </w:rPr>
        <w:t xml:space="preserve"> greater</w:t>
      </w:r>
      <w:r w:rsidR="002254B0" w:rsidRPr="0029522F">
        <w:rPr>
          <w:i/>
          <w:iCs/>
        </w:rPr>
        <w:t xml:space="preserve"> than 12% of LCRBmax </w:t>
      </w:r>
      <w:r w:rsidR="00AB3A1F" w:rsidRPr="0029522F">
        <w:rPr>
          <w:i/>
          <w:iCs/>
        </w:rPr>
        <w:t>to avoid negative link margin</w:t>
      </w:r>
      <w:r w:rsidR="000B335D" w:rsidRPr="0029522F">
        <w:rPr>
          <w:i/>
          <w:iCs/>
        </w:rPr>
        <w:t>.</w:t>
      </w:r>
    </w:p>
    <w:p w14:paraId="6D127016" w14:textId="08B5E45B" w:rsidR="00CA21DB" w:rsidRPr="0029522F" w:rsidRDefault="00980F52" w:rsidP="00C03B9D">
      <w:pPr>
        <w:jc w:val="both"/>
        <w:rPr>
          <w:szCs w:val="16"/>
        </w:rPr>
      </w:pPr>
      <w:r w:rsidRPr="0029522F">
        <w:rPr>
          <w:szCs w:val="16"/>
        </w:rPr>
        <w:t>Also, the</w:t>
      </w:r>
      <w:r w:rsidR="006C6C57" w:rsidRPr="0029522F">
        <w:rPr>
          <w:szCs w:val="16"/>
        </w:rPr>
        <w:t xml:space="preserve"> </w:t>
      </w:r>
      <w:r w:rsidR="006167E2" w:rsidRPr="0029522F">
        <w:rPr>
          <w:szCs w:val="16"/>
        </w:rPr>
        <w:t>large</w:t>
      </w:r>
      <w:r w:rsidR="00106050" w:rsidRPr="0029522F">
        <w:rPr>
          <w:szCs w:val="16"/>
        </w:rPr>
        <w:t xml:space="preserve">st 12% </w:t>
      </w:r>
      <w:r w:rsidR="006179C4" w:rsidRPr="0029522F">
        <w:rPr>
          <w:szCs w:val="16"/>
        </w:rPr>
        <w:t>of LCRBs</w:t>
      </w:r>
      <w:r w:rsidR="00106050" w:rsidRPr="0029522F">
        <w:rPr>
          <w:szCs w:val="16"/>
        </w:rPr>
        <w:t xml:space="preserve"> cases (LCRB </w:t>
      </w:r>
      <w:r w:rsidR="00106050" w:rsidRPr="0029522F">
        <w:rPr>
          <w:rFonts w:hint="eastAsia"/>
          <w:szCs w:val="16"/>
        </w:rPr>
        <w:t>≥</w:t>
      </w:r>
      <w:r w:rsidR="00106050" w:rsidRPr="0029522F">
        <w:rPr>
          <w:szCs w:val="16"/>
        </w:rPr>
        <w:t xml:space="preserve"> 45 for CBW=20MHz) have </w:t>
      </w:r>
      <w:r w:rsidRPr="0029522F">
        <w:rPr>
          <w:szCs w:val="16"/>
        </w:rPr>
        <w:t xml:space="preserve">slightly lower link performance than the middle LCRBs, but only </w:t>
      </w:r>
      <w:r w:rsidR="00F16E73" w:rsidRPr="0029522F">
        <w:rPr>
          <w:szCs w:val="16"/>
        </w:rPr>
        <w:t xml:space="preserve">by 0.5dB </w:t>
      </w:r>
      <w:r w:rsidR="00A44073" w:rsidRPr="0029522F">
        <w:rPr>
          <w:szCs w:val="16"/>
        </w:rPr>
        <w:t xml:space="preserve">to 1.0dB </w:t>
      </w:r>
      <w:r w:rsidR="00F16E73" w:rsidRPr="0029522F">
        <w:rPr>
          <w:szCs w:val="16"/>
        </w:rPr>
        <w:t>less link margin.</w:t>
      </w:r>
      <w:r w:rsidR="004762D8" w:rsidRPr="0029522F">
        <w:rPr>
          <w:szCs w:val="16"/>
        </w:rPr>
        <w:t xml:space="preserve">  </w:t>
      </w:r>
    </w:p>
    <w:p w14:paraId="55BE0CBA" w14:textId="23555142" w:rsidR="00F456C0" w:rsidRPr="0029522F" w:rsidRDefault="00F456C0" w:rsidP="00C03B9D">
      <w:pPr>
        <w:jc w:val="both"/>
        <w:rPr>
          <w:szCs w:val="16"/>
        </w:rPr>
      </w:pPr>
      <w:r w:rsidRPr="0029522F">
        <w:rPr>
          <w:szCs w:val="16"/>
        </w:rPr>
        <w:t>There is a triangle of middle LRCB</w:t>
      </w:r>
      <w:r w:rsidR="00F54921" w:rsidRPr="0029522F">
        <w:rPr>
          <w:szCs w:val="16"/>
        </w:rPr>
        <w:t>s</w:t>
      </w:r>
      <w:r w:rsidRPr="0029522F">
        <w:rPr>
          <w:szCs w:val="16"/>
        </w:rPr>
        <w:t xml:space="preserve"> where link margin is the highest</w:t>
      </w:r>
      <w:r w:rsidR="00F54921" w:rsidRPr="0029522F">
        <w:rPr>
          <w:szCs w:val="16"/>
        </w:rPr>
        <w:t xml:space="preserve">, with the peak values </w:t>
      </w:r>
      <w:r w:rsidR="00177729" w:rsidRPr="0029522F">
        <w:rPr>
          <w:szCs w:val="16"/>
        </w:rPr>
        <w:t xml:space="preserve">in the center </w:t>
      </w:r>
      <w:r w:rsidR="003F4AE7" w:rsidRPr="0029522F">
        <w:rPr>
          <w:szCs w:val="16"/>
        </w:rPr>
        <w:t>at LCRB</w:t>
      </w:r>
      <w:r w:rsidR="00982489" w:rsidRPr="0029522F">
        <w:rPr>
          <w:szCs w:val="16"/>
        </w:rPr>
        <w:t xml:space="preserve"> </w:t>
      </w:r>
      <w:r w:rsidR="0077668D" w:rsidRPr="0029522F">
        <w:rPr>
          <w:szCs w:val="16"/>
        </w:rPr>
        <w:t>near</w:t>
      </w:r>
      <w:r w:rsidR="00B30358" w:rsidRPr="0029522F">
        <w:rPr>
          <w:szCs w:val="16"/>
        </w:rPr>
        <w:t xml:space="preserve"> </w:t>
      </w:r>
      <w:r w:rsidR="00177729" w:rsidRPr="0029522F">
        <w:rPr>
          <w:szCs w:val="16"/>
        </w:rPr>
        <w:t>40% of LCRBmax.</w:t>
      </w:r>
      <w:r w:rsidR="00FC061D" w:rsidRPr="0029522F">
        <w:rPr>
          <w:szCs w:val="16"/>
        </w:rPr>
        <w:t xml:space="preserve">  It is also noted that the left and right edge</w:t>
      </w:r>
      <w:r w:rsidR="00546970" w:rsidRPr="0029522F">
        <w:rPr>
          <w:szCs w:val="16"/>
        </w:rPr>
        <w:t xml:space="preserve"> RBs within 8% of LCRBmax </w:t>
      </w:r>
      <w:r w:rsidR="00634851" w:rsidRPr="0029522F">
        <w:rPr>
          <w:szCs w:val="16"/>
        </w:rPr>
        <w:t>also have degraded link margin.</w:t>
      </w:r>
    </w:p>
    <w:p w14:paraId="2CE669C4" w14:textId="05C083A9" w:rsidR="00303003" w:rsidRPr="0029522F" w:rsidRDefault="007876C6" w:rsidP="00C03B9D">
      <w:pPr>
        <w:jc w:val="both"/>
        <w:rPr>
          <w:i/>
          <w:iCs/>
          <w:szCs w:val="16"/>
        </w:rPr>
      </w:pPr>
      <w:r w:rsidRPr="0029522F">
        <w:rPr>
          <w:i/>
          <w:iCs/>
          <w:szCs w:val="16"/>
        </w:rPr>
        <w:t xml:space="preserve">Proposal </w:t>
      </w:r>
      <w:r w:rsidR="00DF4A3D" w:rsidRPr="0029522F">
        <w:rPr>
          <w:i/>
          <w:iCs/>
          <w:szCs w:val="16"/>
        </w:rPr>
        <w:t>2</w:t>
      </w:r>
      <w:r w:rsidRPr="0029522F">
        <w:rPr>
          <w:i/>
          <w:iCs/>
          <w:szCs w:val="16"/>
        </w:rPr>
        <w:t>: For optimal link performance an inner triangle region</w:t>
      </w:r>
      <w:r w:rsidR="0000777E" w:rsidRPr="0029522F">
        <w:rPr>
          <w:i/>
          <w:iCs/>
          <w:szCs w:val="16"/>
        </w:rPr>
        <w:t xml:space="preserve"> gives the best link performance.  Approximate values for the inner triangle region are </w:t>
      </w:r>
      <w:r w:rsidR="007F31FD" w:rsidRPr="0029522F">
        <w:rPr>
          <w:i/>
          <w:iCs/>
          <w:szCs w:val="16"/>
        </w:rPr>
        <w:t xml:space="preserve">8% </w:t>
      </w:r>
      <w:r w:rsidR="0077668D" w:rsidRPr="0029522F">
        <w:rPr>
          <w:i/>
          <w:iCs/>
          <w:szCs w:val="16"/>
        </w:rPr>
        <w:t xml:space="preserve">inside </w:t>
      </w:r>
      <w:r w:rsidR="007F31FD" w:rsidRPr="0029522F">
        <w:rPr>
          <w:i/>
          <w:iCs/>
          <w:szCs w:val="16"/>
        </w:rPr>
        <w:t xml:space="preserve">from the left and right edges and 12% from the top of LCRBmax </w:t>
      </w:r>
      <w:r w:rsidR="00DD2970" w:rsidRPr="0029522F">
        <w:rPr>
          <w:i/>
          <w:iCs/>
          <w:szCs w:val="16"/>
        </w:rPr>
        <w:t xml:space="preserve">and </w:t>
      </w:r>
      <w:r w:rsidR="00E72949" w:rsidRPr="0029522F">
        <w:rPr>
          <w:i/>
          <w:iCs/>
          <w:szCs w:val="16"/>
        </w:rPr>
        <w:t>bottom zero LCRB</w:t>
      </w:r>
      <w:r w:rsidR="00DD2970" w:rsidRPr="0029522F">
        <w:rPr>
          <w:i/>
          <w:iCs/>
          <w:szCs w:val="16"/>
        </w:rPr>
        <w:t xml:space="preserve"> </w:t>
      </w:r>
      <w:r w:rsidR="007F31FD" w:rsidRPr="0029522F">
        <w:rPr>
          <w:i/>
          <w:iCs/>
          <w:szCs w:val="16"/>
        </w:rPr>
        <w:t>value.</w:t>
      </w:r>
    </w:p>
    <w:p w14:paraId="7B282699" w14:textId="77777777" w:rsidR="004E35DD" w:rsidRPr="004E35DD" w:rsidRDefault="004E35DD" w:rsidP="004E35DD">
      <w:pPr>
        <w:rPr>
          <w:lang w:eastAsia="ja-JP" w:bidi="hi-IN"/>
        </w:rPr>
      </w:pPr>
    </w:p>
    <w:p w14:paraId="2E4E9AD7" w14:textId="2B47EBCF" w:rsidR="008364E4" w:rsidRPr="008364E4" w:rsidRDefault="008364E4" w:rsidP="008364E4">
      <w:pPr>
        <w:pStyle w:val="Caption"/>
        <w:keepNext/>
        <w:jc w:val="center"/>
        <w:rPr>
          <w:lang w:val="en-US"/>
        </w:rPr>
      </w:pPr>
      <w:r>
        <w:rPr>
          <w:lang w:val="en-US"/>
        </w:rPr>
        <w:t xml:space="preserve">Table 2 </w:t>
      </w:r>
      <w:r w:rsidR="00ED68FC">
        <w:rPr>
          <w:lang w:val="en-US"/>
        </w:rPr>
        <w:t>–</w:t>
      </w:r>
      <w:r>
        <w:rPr>
          <w:lang w:val="en-US"/>
        </w:rPr>
        <w:t xml:space="preserve"> </w:t>
      </w:r>
      <w:r w:rsidR="00ED68FC">
        <w:rPr>
          <w:lang w:val="en-US"/>
        </w:rPr>
        <w:t>Selected Link Margin values from the T</w:t>
      </w:r>
      <w:r w:rsidR="00A67E69">
        <w:rPr>
          <w:lang w:val="en-US"/>
        </w:rPr>
        <w:t>DL</w:t>
      </w:r>
      <w:r w:rsidR="00ED68FC">
        <w:rPr>
          <w:lang w:val="en-US"/>
        </w:rPr>
        <w:t>-</w:t>
      </w:r>
      <w:r w:rsidR="00A67E69">
        <w:rPr>
          <w:lang w:val="en-US"/>
        </w:rPr>
        <w:t xml:space="preserve">A30ns </w:t>
      </w:r>
      <w:r w:rsidR="00ED68FC">
        <w:rPr>
          <w:lang w:val="en-US"/>
        </w:rPr>
        <w:t>case for comparison</w:t>
      </w:r>
    </w:p>
    <w:tbl>
      <w:tblPr>
        <w:tblW w:w="6120" w:type="dxa"/>
        <w:jc w:val="center"/>
        <w:tblLook w:val="04A0" w:firstRow="1" w:lastRow="0" w:firstColumn="1" w:lastColumn="0" w:noHBand="0" w:noVBand="1"/>
      </w:tblPr>
      <w:tblGrid>
        <w:gridCol w:w="1780"/>
        <w:gridCol w:w="943"/>
        <w:gridCol w:w="1116"/>
        <w:gridCol w:w="1116"/>
        <w:gridCol w:w="1165"/>
      </w:tblGrid>
      <w:tr w:rsidR="003A1B10" w:rsidRPr="003A1B10" w14:paraId="739EEB14" w14:textId="77777777" w:rsidTr="00946161">
        <w:trPr>
          <w:trHeight w:val="300"/>
          <w:jc w:val="center"/>
        </w:trPr>
        <w:tc>
          <w:tcPr>
            <w:tcW w:w="1780" w:type="dxa"/>
            <w:tcBorders>
              <w:top w:val="nil"/>
              <w:left w:val="nil"/>
              <w:bottom w:val="nil"/>
              <w:right w:val="nil"/>
            </w:tcBorders>
            <w:shd w:val="clear" w:color="auto" w:fill="auto"/>
            <w:noWrap/>
            <w:vAlign w:val="bottom"/>
            <w:hideMark/>
          </w:tcPr>
          <w:p w14:paraId="4E7E3565" w14:textId="77777777" w:rsidR="003A1B10" w:rsidRPr="003A1B10" w:rsidRDefault="003A1B10" w:rsidP="003A1B10">
            <w:pPr>
              <w:overflowPunct/>
              <w:autoSpaceDE/>
              <w:autoSpaceDN/>
              <w:adjustRightInd/>
              <w:spacing w:before="0" w:after="0"/>
              <w:textAlignment w:val="auto"/>
              <w:rPr>
                <w:rFonts w:eastAsia="Times New Roman"/>
                <w:sz w:val="24"/>
                <w:szCs w:val="24"/>
                <w:lang w:val="en-US"/>
              </w:rPr>
            </w:pPr>
          </w:p>
        </w:tc>
        <w:tc>
          <w:tcPr>
            <w:tcW w:w="4340"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D334D6" w14:textId="77777777" w:rsidR="003A1B10" w:rsidRPr="003A1B10" w:rsidRDefault="003A1B10" w:rsidP="003A1B10">
            <w:pPr>
              <w:overflowPunct/>
              <w:autoSpaceDE/>
              <w:autoSpaceDN/>
              <w:adjustRightInd/>
              <w:spacing w:before="0" w:after="0"/>
              <w:jc w:val="center"/>
              <w:textAlignment w:val="auto"/>
              <w:rPr>
                <w:rFonts w:ascii="Calibri" w:eastAsia="Times New Roman" w:hAnsi="Calibri" w:cs="Calibri"/>
                <w:b/>
                <w:bCs/>
                <w:color w:val="000000"/>
                <w:sz w:val="22"/>
                <w:szCs w:val="22"/>
                <w:lang w:val="en-US"/>
              </w:rPr>
            </w:pPr>
            <w:r w:rsidRPr="003A1B10">
              <w:rPr>
                <w:rFonts w:ascii="Calibri" w:eastAsia="Times New Roman" w:hAnsi="Calibri" w:cs="Calibri"/>
                <w:b/>
                <w:bCs/>
                <w:color w:val="000000"/>
                <w:sz w:val="22"/>
                <w:szCs w:val="22"/>
                <w:lang w:val="en-US"/>
              </w:rPr>
              <w:t>Link Margin (dB)</w:t>
            </w:r>
          </w:p>
        </w:tc>
      </w:tr>
      <w:tr w:rsidR="003A1B10" w:rsidRPr="003A1B10" w14:paraId="0CCA8DBA" w14:textId="77777777" w:rsidTr="00946161">
        <w:trPr>
          <w:trHeight w:val="300"/>
          <w:jc w:val="center"/>
        </w:trPr>
        <w:tc>
          <w:tcPr>
            <w:tcW w:w="17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D4957" w14:textId="77777777" w:rsidR="003A1B10" w:rsidRPr="003A1B10" w:rsidRDefault="003A1B10" w:rsidP="002C2A07">
            <w:pPr>
              <w:overflowPunct/>
              <w:autoSpaceDE/>
              <w:autoSpaceDN/>
              <w:adjustRightInd/>
              <w:spacing w:before="0" w:after="0"/>
              <w:jc w:val="center"/>
              <w:textAlignment w:val="auto"/>
              <w:rPr>
                <w:rFonts w:ascii="Calibri" w:eastAsia="Times New Roman" w:hAnsi="Calibri" w:cs="Calibri"/>
                <w:b/>
                <w:bCs/>
                <w:color w:val="000000"/>
                <w:sz w:val="22"/>
                <w:szCs w:val="22"/>
                <w:lang w:val="en-US"/>
              </w:rPr>
            </w:pPr>
            <w:r w:rsidRPr="003A1B10">
              <w:rPr>
                <w:rFonts w:ascii="Calibri" w:eastAsia="Times New Roman" w:hAnsi="Calibri" w:cs="Calibri"/>
                <w:b/>
                <w:bCs/>
                <w:color w:val="000000"/>
                <w:sz w:val="22"/>
                <w:szCs w:val="22"/>
                <w:lang w:val="en-US"/>
              </w:rPr>
              <w:t>Filter</w:t>
            </w:r>
          </w:p>
        </w:tc>
        <w:tc>
          <w:tcPr>
            <w:tcW w:w="943" w:type="dxa"/>
            <w:tcBorders>
              <w:top w:val="nil"/>
              <w:left w:val="nil"/>
              <w:bottom w:val="single" w:sz="4" w:space="0" w:color="auto"/>
              <w:right w:val="single" w:sz="4" w:space="0" w:color="auto"/>
            </w:tcBorders>
            <w:shd w:val="clear" w:color="auto" w:fill="auto"/>
            <w:noWrap/>
            <w:vAlign w:val="center"/>
            <w:hideMark/>
          </w:tcPr>
          <w:p w14:paraId="3CE357D0" w14:textId="77777777" w:rsidR="003A1B10" w:rsidRPr="003A1B10" w:rsidRDefault="003A1B10" w:rsidP="003A1B10">
            <w:pPr>
              <w:overflowPunct/>
              <w:autoSpaceDE/>
              <w:autoSpaceDN/>
              <w:adjustRightInd/>
              <w:spacing w:before="0" w:after="0"/>
              <w:jc w:val="center"/>
              <w:textAlignment w:val="auto"/>
              <w:rPr>
                <w:rFonts w:ascii="Calibri" w:eastAsia="Times New Roman" w:hAnsi="Calibri" w:cs="Calibri"/>
                <w:b/>
                <w:bCs/>
                <w:color w:val="000000"/>
                <w:sz w:val="22"/>
                <w:szCs w:val="22"/>
                <w:lang w:val="en-US"/>
              </w:rPr>
            </w:pPr>
            <w:r w:rsidRPr="003A1B10">
              <w:rPr>
                <w:rFonts w:ascii="Calibri" w:eastAsia="Times New Roman" w:hAnsi="Calibri" w:cs="Calibri"/>
                <w:b/>
                <w:bCs/>
                <w:color w:val="000000"/>
                <w:sz w:val="22"/>
                <w:szCs w:val="22"/>
                <w:lang w:val="en-US"/>
              </w:rPr>
              <w:t>40RB6</w:t>
            </w:r>
          </w:p>
        </w:tc>
        <w:tc>
          <w:tcPr>
            <w:tcW w:w="1116" w:type="dxa"/>
            <w:tcBorders>
              <w:top w:val="nil"/>
              <w:left w:val="nil"/>
              <w:bottom w:val="single" w:sz="4" w:space="0" w:color="auto"/>
              <w:right w:val="single" w:sz="4" w:space="0" w:color="auto"/>
            </w:tcBorders>
            <w:shd w:val="clear" w:color="auto" w:fill="auto"/>
            <w:noWrap/>
            <w:vAlign w:val="center"/>
            <w:hideMark/>
          </w:tcPr>
          <w:p w14:paraId="78AC8BCB" w14:textId="77777777" w:rsidR="003A1B10" w:rsidRPr="003A1B10" w:rsidRDefault="003A1B10" w:rsidP="003A1B10">
            <w:pPr>
              <w:overflowPunct/>
              <w:autoSpaceDE/>
              <w:autoSpaceDN/>
              <w:adjustRightInd/>
              <w:spacing w:before="0" w:after="0"/>
              <w:jc w:val="center"/>
              <w:textAlignment w:val="auto"/>
              <w:rPr>
                <w:rFonts w:ascii="Calibri" w:eastAsia="Times New Roman" w:hAnsi="Calibri" w:cs="Calibri"/>
                <w:b/>
                <w:bCs/>
                <w:color w:val="000000"/>
                <w:sz w:val="22"/>
                <w:szCs w:val="22"/>
                <w:lang w:val="en-US"/>
              </w:rPr>
            </w:pPr>
            <w:r w:rsidRPr="003A1B10">
              <w:rPr>
                <w:rFonts w:ascii="Calibri" w:eastAsia="Times New Roman" w:hAnsi="Calibri" w:cs="Calibri"/>
                <w:b/>
                <w:bCs/>
                <w:color w:val="000000"/>
                <w:sz w:val="22"/>
                <w:szCs w:val="22"/>
                <w:lang w:val="en-US"/>
              </w:rPr>
              <w:t>20RB16</w:t>
            </w:r>
          </w:p>
        </w:tc>
        <w:tc>
          <w:tcPr>
            <w:tcW w:w="1116" w:type="dxa"/>
            <w:tcBorders>
              <w:top w:val="nil"/>
              <w:left w:val="nil"/>
              <w:bottom w:val="single" w:sz="4" w:space="0" w:color="auto"/>
              <w:right w:val="single" w:sz="4" w:space="0" w:color="auto"/>
            </w:tcBorders>
            <w:shd w:val="clear" w:color="auto" w:fill="auto"/>
            <w:noWrap/>
            <w:vAlign w:val="center"/>
            <w:hideMark/>
          </w:tcPr>
          <w:p w14:paraId="0E7BE4A8" w14:textId="77777777" w:rsidR="003A1B10" w:rsidRPr="003A1B10" w:rsidRDefault="003A1B10" w:rsidP="003A1B10">
            <w:pPr>
              <w:overflowPunct/>
              <w:autoSpaceDE/>
              <w:autoSpaceDN/>
              <w:adjustRightInd/>
              <w:spacing w:before="0" w:after="0"/>
              <w:jc w:val="center"/>
              <w:textAlignment w:val="auto"/>
              <w:rPr>
                <w:rFonts w:ascii="Calibri" w:eastAsia="Times New Roman" w:hAnsi="Calibri" w:cs="Calibri"/>
                <w:b/>
                <w:bCs/>
                <w:color w:val="000000"/>
                <w:sz w:val="22"/>
                <w:szCs w:val="22"/>
                <w:lang w:val="en-US"/>
              </w:rPr>
            </w:pPr>
            <w:r w:rsidRPr="003A1B10">
              <w:rPr>
                <w:rFonts w:ascii="Calibri" w:eastAsia="Times New Roman" w:hAnsi="Calibri" w:cs="Calibri"/>
                <w:b/>
                <w:bCs/>
                <w:color w:val="000000"/>
                <w:sz w:val="22"/>
                <w:szCs w:val="22"/>
                <w:lang w:val="en-US"/>
              </w:rPr>
              <w:t>10RB21</w:t>
            </w:r>
          </w:p>
        </w:tc>
        <w:tc>
          <w:tcPr>
            <w:tcW w:w="1165" w:type="dxa"/>
            <w:tcBorders>
              <w:top w:val="nil"/>
              <w:left w:val="nil"/>
              <w:bottom w:val="single" w:sz="4" w:space="0" w:color="auto"/>
              <w:right w:val="single" w:sz="4" w:space="0" w:color="auto"/>
            </w:tcBorders>
            <w:shd w:val="clear" w:color="auto" w:fill="auto"/>
            <w:noWrap/>
            <w:vAlign w:val="center"/>
            <w:hideMark/>
          </w:tcPr>
          <w:p w14:paraId="41FFC8E3" w14:textId="77777777" w:rsidR="003A1B10" w:rsidRPr="003A1B10" w:rsidRDefault="003A1B10" w:rsidP="003A1B10">
            <w:pPr>
              <w:overflowPunct/>
              <w:autoSpaceDE/>
              <w:autoSpaceDN/>
              <w:adjustRightInd/>
              <w:spacing w:before="0" w:after="0"/>
              <w:jc w:val="center"/>
              <w:textAlignment w:val="auto"/>
              <w:rPr>
                <w:rFonts w:ascii="Calibri" w:eastAsia="Times New Roman" w:hAnsi="Calibri" w:cs="Calibri"/>
                <w:b/>
                <w:bCs/>
                <w:color w:val="000000"/>
                <w:sz w:val="22"/>
                <w:szCs w:val="22"/>
                <w:lang w:val="en-US"/>
              </w:rPr>
            </w:pPr>
            <w:r w:rsidRPr="003A1B10">
              <w:rPr>
                <w:rFonts w:ascii="Calibri" w:eastAsia="Times New Roman" w:hAnsi="Calibri" w:cs="Calibri"/>
                <w:b/>
                <w:bCs/>
                <w:color w:val="000000"/>
                <w:sz w:val="22"/>
                <w:szCs w:val="22"/>
                <w:lang w:val="en-US"/>
              </w:rPr>
              <w:t xml:space="preserve">Max </w:t>
            </w:r>
          </w:p>
        </w:tc>
      </w:tr>
      <w:tr w:rsidR="003A1B10" w:rsidRPr="003A1B10" w14:paraId="004B94E6" w14:textId="77777777" w:rsidTr="00946161">
        <w:trPr>
          <w:trHeight w:val="300"/>
          <w:jc w:val="center"/>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51ABC334"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b/>
                <w:bCs/>
                <w:color w:val="000000"/>
                <w:sz w:val="22"/>
                <w:szCs w:val="22"/>
                <w:lang w:val="en-US"/>
              </w:rPr>
            </w:pPr>
            <w:r w:rsidRPr="003A1B10">
              <w:rPr>
                <w:rFonts w:ascii="Calibri" w:eastAsia="Times New Roman" w:hAnsi="Calibri" w:cs="Calibri"/>
                <w:b/>
                <w:bCs/>
                <w:color w:val="000000"/>
                <w:sz w:val="22"/>
                <w:szCs w:val="22"/>
                <w:lang w:val="en-US"/>
              </w:rPr>
              <w:t>[0.2 1 0.2]</w:t>
            </w:r>
          </w:p>
        </w:tc>
        <w:tc>
          <w:tcPr>
            <w:tcW w:w="943" w:type="dxa"/>
            <w:tcBorders>
              <w:top w:val="nil"/>
              <w:left w:val="nil"/>
              <w:bottom w:val="single" w:sz="4" w:space="0" w:color="auto"/>
              <w:right w:val="single" w:sz="4" w:space="0" w:color="auto"/>
            </w:tcBorders>
            <w:shd w:val="clear" w:color="auto" w:fill="auto"/>
            <w:noWrap/>
            <w:vAlign w:val="bottom"/>
            <w:hideMark/>
          </w:tcPr>
          <w:p w14:paraId="456C894B"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2.17</w:t>
            </w:r>
          </w:p>
        </w:tc>
        <w:tc>
          <w:tcPr>
            <w:tcW w:w="1116" w:type="dxa"/>
            <w:tcBorders>
              <w:top w:val="nil"/>
              <w:left w:val="nil"/>
              <w:bottom w:val="single" w:sz="4" w:space="0" w:color="auto"/>
              <w:right w:val="single" w:sz="4" w:space="0" w:color="auto"/>
            </w:tcBorders>
            <w:shd w:val="clear" w:color="auto" w:fill="auto"/>
            <w:noWrap/>
            <w:vAlign w:val="bottom"/>
            <w:hideMark/>
          </w:tcPr>
          <w:p w14:paraId="6FDBCF32"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2.81</w:t>
            </w:r>
          </w:p>
        </w:tc>
        <w:tc>
          <w:tcPr>
            <w:tcW w:w="1116" w:type="dxa"/>
            <w:tcBorders>
              <w:top w:val="nil"/>
              <w:left w:val="nil"/>
              <w:bottom w:val="single" w:sz="4" w:space="0" w:color="auto"/>
              <w:right w:val="single" w:sz="4" w:space="0" w:color="auto"/>
            </w:tcBorders>
            <w:shd w:val="clear" w:color="auto" w:fill="auto"/>
            <w:noWrap/>
            <w:vAlign w:val="bottom"/>
            <w:hideMark/>
          </w:tcPr>
          <w:p w14:paraId="5EA89FE8"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2.21</w:t>
            </w:r>
          </w:p>
        </w:tc>
        <w:tc>
          <w:tcPr>
            <w:tcW w:w="1165" w:type="dxa"/>
            <w:tcBorders>
              <w:top w:val="nil"/>
              <w:left w:val="nil"/>
              <w:bottom w:val="single" w:sz="4" w:space="0" w:color="auto"/>
              <w:right w:val="single" w:sz="4" w:space="0" w:color="auto"/>
            </w:tcBorders>
            <w:shd w:val="clear" w:color="auto" w:fill="auto"/>
            <w:noWrap/>
            <w:vAlign w:val="bottom"/>
            <w:hideMark/>
          </w:tcPr>
          <w:p w14:paraId="060B731B"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2.91</w:t>
            </w:r>
          </w:p>
        </w:tc>
      </w:tr>
      <w:tr w:rsidR="003A1B10" w:rsidRPr="003A1B10" w14:paraId="288F4430" w14:textId="77777777" w:rsidTr="00946161">
        <w:trPr>
          <w:trHeight w:val="300"/>
          <w:jc w:val="center"/>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6E9BF6F8"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b/>
                <w:bCs/>
                <w:color w:val="000000"/>
                <w:sz w:val="22"/>
                <w:szCs w:val="22"/>
                <w:lang w:val="en-US"/>
              </w:rPr>
            </w:pPr>
            <w:r w:rsidRPr="003A1B10">
              <w:rPr>
                <w:rFonts w:ascii="Calibri" w:eastAsia="Times New Roman" w:hAnsi="Calibri" w:cs="Calibri"/>
                <w:b/>
                <w:bCs/>
                <w:color w:val="000000"/>
                <w:sz w:val="22"/>
                <w:szCs w:val="22"/>
                <w:lang w:val="en-US"/>
              </w:rPr>
              <w:t>[0.28 1 0.28]</w:t>
            </w:r>
          </w:p>
        </w:tc>
        <w:tc>
          <w:tcPr>
            <w:tcW w:w="943" w:type="dxa"/>
            <w:tcBorders>
              <w:top w:val="nil"/>
              <w:left w:val="nil"/>
              <w:bottom w:val="single" w:sz="4" w:space="0" w:color="auto"/>
              <w:right w:val="single" w:sz="4" w:space="0" w:color="auto"/>
            </w:tcBorders>
            <w:shd w:val="clear" w:color="auto" w:fill="auto"/>
            <w:noWrap/>
            <w:vAlign w:val="bottom"/>
            <w:hideMark/>
          </w:tcPr>
          <w:p w14:paraId="705E89DE"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2.61</w:t>
            </w:r>
          </w:p>
        </w:tc>
        <w:tc>
          <w:tcPr>
            <w:tcW w:w="1116" w:type="dxa"/>
            <w:tcBorders>
              <w:top w:val="nil"/>
              <w:left w:val="nil"/>
              <w:bottom w:val="single" w:sz="4" w:space="0" w:color="auto"/>
              <w:right w:val="single" w:sz="4" w:space="0" w:color="auto"/>
            </w:tcBorders>
            <w:shd w:val="clear" w:color="auto" w:fill="auto"/>
            <w:noWrap/>
            <w:vAlign w:val="bottom"/>
            <w:hideMark/>
          </w:tcPr>
          <w:p w14:paraId="75DC08F3"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2.61</w:t>
            </w:r>
          </w:p>
        </w:tc>
        <w:tc>
          <w:tcPr>
            <w:tcW w:w="1116" w:type="dxa"/>
            <w:tcBorders>
              <w:top w:val="nil"/>
              <w:left w:val="nil"/>
              <w:bottom w:val="single" w:sz="4" w:space="0" w:color="auto"/>
              <w:right w:val="single" w:sz="4" w:space="0" w:color="auto"/>
            </w:tcBorders>
            <w:shd w:val="clear" w:color="auto" w:fill="auto"/>
            <w:noWrap/>
            <w:vAlign w:val="bottom"/>
            <w:hideMark/>
          </w:tcPr>
          <w:p w14:paraId="1550437F"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2.01</w:t>
            </w:r>
          </w:p>
        </w:tc>
        <w:tc>
          <w:tcPr>
            <w:tcW w:w="1165" w:type="dxa"/>
            <w:tcBorders>
              <w:top w:val="nil"/>
              <w:left w:val="nil"/>
              <w:bottom w:val="single" w:sz="4" w:space="0" w:color="auto"/>
              <w:right w:val="single" w:sz="4" w:space="0" w:color="auto"/>
            </w:tcBorders>
            <w:shd w:val="clear" w:color="auto" w:fill="auto"/>
            <w:noWrap/>
            <w:vAlign w:val="bottom"/>
            <w:hideMark/>
          </w:tcPr>
          <w:p w14:paraId="433A244C"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2.71</w:t>
            </w:r>
          </w:p>
        </w:tc>
      </w:tr>
      <w:tr w:rsidR="003A1B10" w:rsidRPr="003A1B10" w14:paraId="6F659123" w14:textId="77777777" w:rsidTr="00946161">
        <w:trPr>
          <w:trHeight w:val="300"/>
          <w:jc w:val="center"/>
        </w:trPr>
        <w:tc>
          <w:tcPr>
            <w:tcW w:w="1780" w:type="dxa"/>
            <w:tcBorders>
              <w:top w:val="nil"/>
              <w:left w:val="single" w:sz="4" w:space="0" w:color="auto"/>
              <w:bottom w:val="single" w:sz="4" w:space="0" w:color="auto"/>
              <w:right w:val="single" w:sz="4" w:space="0" w:color="auto"/>
            </w:tcBorders>
            <w:shd w:val="clear" w:color="auto" w:fill="auto"/>
            <w:noWrap/>
            <w:vAlign w:val="center"/>
            <w:hideMark/>
          </w:tcPr>
          <w:p w14:paraId="1B37B158"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b/>
                <w:bCs/>
                <w:color w:val="000000"/>
                <w:sz w:val="22"/>
                <w:szCs w:val="22"/>
                <w:lang w:val="en-US"/>
              </w:rPr>
            </w:pPr>
            <w:r w:rsidRPr="003A1B10">
              <w:rPr>
                <w:rFonts w:ascii="Calibri" w:eastAsia="Times New Roman" w:hAnsi="Calibri" w:cs="Calibri"/>
                <w:b/>
                <w:bCs/>
                <w:color w:val="000000"/>
                <w:sz w:val="22"/>
                <w:szCs w:val="22"/>
                <w:lang w:val="en-US"/>
              </w:rPr>
              <w:t>[1+D]</w:t>
            </w:r>
          </w:p>
        </w:tc>
        <w:tc>
          <w:tcPr>
            <w:tcW w:w="943" w:type="dxa"/>
            <w:tcBorders>
              <w:top w:val="nil"/>
              <w:left w:val="nil"/>
              <w:bottom w:val="single" w:sz="4" w:space="0" w:color="auto"/>
              <w:right w:val="single" w:sz="4" w:space="0" w:color="auto"/>
            </w:tcBorders>
            <w:shd w:val="clear" w:color="auto" w:fill="auto"/>
            <w:noWrap/>
            <w:vAlign w:val="bottom"/>
            <w:hideMark/>
          </w:tcPr>
          <w:p w14:paraId="429B3085"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2.51</w:t>
            </w:r>
          </w:p>
        </w:tc>
        <w:tc>
          <w:tcPr>
            <w:tcW w:w="1116" w:type="dxa"/>
            <w:tcBorders>
              <w:top w:val="nil"/>
              <w:left w:val="nil"/>
              <w:bottom w:val="single" w:sz="4" w:space="0" w:color="auto"/>
              <w:right w:val="single" w:sz="4" w:space="0" w:color="auto"/>
            </w:tcBorders>
            <w:shd w:val="clear" w:color="auto" w:fill="auto"/>
            <w:noWrap/>
            <w:vAlign w:val="bottom"/>
            <w:hideMark/>
          </w:tcPr>
          <w:p w14:paraId="56A136F5"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2.51</w:t>
            </w:r>
          </w:p>
        </w:tc>
        <w:tc>
          <w:tcPr>
            <w:tcW w:w="1116" w:type="dxa"/>
            <w:tcBorders>
              <w:top w:val="nil"/>
              <w:left w:val="nil"/>
              <w:bottom w:val="single" w:sz="4" w:space="0" w:color="auto"/>
              <w:right w:val="single" w:sz="4" w:space="0" w:color="auto"/>
            </w:tcBorders>
            <w:shd w:val="clear" w:color="auto" w:fill="auto"/>
            <w:noWrap/>
            <w:vAlign w:val="bottom"/>
            <w:hideMark/>
          </w:tcPr>
          <w:p w14:paraId="01C62A47"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1.81</w:t>
            </w:r>
          </w:p>
        </w:tc>
        <w:tc>
          <w:tcPr>
            <w:tcW w:w="1165" w:type="dxa"/>
            <w:tcBorders>
              <w:top w:val="nil"/>
              <w:left w:val="nil"/>
              <w:bottom w:val="single" w:sz="4" w:space="0" w:color="auto"/>
              <w:right w:val="single" w:sz="4" w:space="0" w:color="auto"/>
            </w:tcBorders>
            <w:shd w:val="clear" w:color="auto" w:fill="auto"/>
            <w:noWrap/>
            <w:vAlign w:val="bottom"/>
            <w:hideMark/>
          </w:tcPr>
          <w:p w14:paraId="2A508E08" w14:textId="77777777" w:rsidR="003A1B10" w:rsidRPr="003A1B10" w:rsidRDefault="003A1B10" w:rsidP="0029522F">
            <w:pPr>
              <w:overflowPunct/>
              <w:autoSpaceDE/>
              <w:autoSpaceDN/>
              <w:adjustRightInd/>
              <w:spacing w:before="0" w:after="0"/>
              <w:jc w:val="center"/>
              <w:textAlignment w:val="auto"/>
              <w:rPr>
                <w:rFonts w:ascii="Calibri" w:eastAsia="Times New Roman" w:hAnsi="Calibri" w:cs="Calibri"/>
                <w:color w:val="000000"/>
                <w:sz w:val="22"/>
                <w:szCs w:val="22"/>
                <w:lang w:val="en-US"/>
              </w:rPr>
            </w:pPr>
            <w:r w:rsidRPr="003A1B10">
              <w:rPr>
                <w:rFonts w:ascii="Calibri" w:eastAsia="Times New Roman" w:hAnsi="Calibri" w:cs="Calibri"/>
                <w:color w:val="000000"/>
                <w:sz w:val="22"/>
                <w:szCs w:val="22"/>
                <w:lang w:val="en-US"/>
              </w:rPr>
              <w:t>2.61</w:t>
            </w:r>
          </w:p>
        </w:tc>
      </w:tr>
    </w:tbl>
    <w:p w14:paraId="4AB07AE8" w14:textId="6F67F7FC" w:rsidR="00132D03" w:rsidRDefault="00132D03" w:rsidP="00132D03">
      <w:pPr>
        <w:rPr>
          <w:lang w:eastAsia="ja-JP" w:bidi="hi-IN"/>
        </w:rPr>
      </w:pPr>
    </w:p>
    <w:p w14:paraId="3185477E" w14:textId="6F2A6FAB" w:rsidR="00DA4178" w:rsidRPr="0029522F" w:rsidRDefault="00FC794A" w:rsidP="00C03B9D">
      <w:pPr>
        <w:jc w:val="both"/>
        <w:rPr>
          <w:rFonts w:ascii="Times-Roman" w:hAnsi="Times-Roman" w:hint="eastAsia"/>
          <w:lang w:val="en-US"/>
        </w:rPr>
      </w:pPr>
      <w:r w:rsidRPr="0029522F">
        <w:rPr>
          <w:rFonts w:ascii="Times-Roman" w:hAnsi="Times-Roman" w:hint="eastAsia"/>
          <w:lang w:val="en-US"/>
        </w:rPr>
        <w:t>Next,</w:t>
      </w:r>
      <w:r w:rsidR="00B9196B" w:rsidRPr="0029522F">
        <w:rPr>
          <w:rFonts w:ascii="Times-Roman" w:hAnsi="Times-Roman" w:hint="eastAsia"/>
          <w:lang w:val="en-US"/>
        </w:rPr>
        <w:t xml:space="preserve"> we c</w:t>
      </w:r>
      <w:r w:rsidR="002E4A8E" w:rsidRPr="0029522F">
        <w:rPr>
          <w:rFonts w:ascii="Times-Roman" w:hAnsi="Times-Roman" w:hint="eastAsia"/>
          <w:lang w:val="en-US"/>
        </w:rPr>
        <w:t>ompar</w:t>
      </w:r>
      <w:r w:rsidR="00B9196B" w:rsidRPr="0029522F">
        <w:rPr>
          <w:rFonts w:ascii="Times-Roman" w:hAnsi="Times-Roman" w:hint="eastAsia"/>
          <w:lang w:val="en-US"/>
        </w:rPr>
        <w:t xml:space="preserve">e between </w:t>
      </w:r>
      <w:r w:rsidR="002E4A8E" w:rsidRPr="0029522F">
        <w:rPr>
          <w:rFonts w:ascii="Times-Roman" w:hAnsi="Times-Roman" w:hint="eastAsia"/>
          <w:lang w:val="en-US"/>
        </w:rPr>
        <w:t>the three filters</w:t>
      </w:r>
      <w:r w:rsidR="00B9196B" w:rsidRPr="0029522F">
        <w:rPr>
          <w:rFonts w:ascii="Times-Roman" w:hAnsi="Times-Roman" w:hint="eastAsia"/>
          <w:lang w:val="en-US"/>
        </w:rPr>
        <w:t xml:space="preserve">.  </w:t>
      </w:r>
      <w:r w:rsidR="00CE3283" w:rsidRPr="0029522F">
        <w:rPr>
          <w:rFonts w:ascii="Times-Roman" w:hAnsi="Times-Roman" w:hint="eastAsia"/>
          <w:lang w:val="en-US"/>
        </w:rPr>
        <w:t xml:space="preserve">Table 2 shows some specific values selected from the Figures 1-3.  </w:t>
      </w:r>
      <w:r w:rsidR="00B9196B" w:rsidRPr="0029522F">
        <w:rPr>
          <w:rFonts w:ascii="Times-Roman" w:hAnsi="Times-Roman" w:hint="eastAsia"/>
          <w:lang w:val="en-US"/>
        </w:rPr>
        <w:t>Th</w:t>
      </w:r>
      <w:r w:rsidR="00451843" w:rsidRPr="0029522F">
        <w:rPr>
          <w:rFonts w:ascii="Times-Roman" w:hAnsi="Times-Roman" w:hint="eastAsia"/>
          <w:lang w:val="en-US"/>
        </w:rPr>
        <w:t xml:space="preserve">e first </w:t>
      </w:r>
      <w:r w:rsidR="008870F2" w:rsidRPr="0029522F">
        <w:rPr>
          <w:rFonts w:ascii="Times-Roman" w:hAnsi="Times-Roman" w:hint="eastAsia"/>
          <w:lang w:val="en-US"/>
        </w:rPr>
        <w:t xml:space="preserve">observation </w:t>
      </w:r>
      <w:r w:rsidR="00451843" w:rsidRPr="0029522F">
        <w:rPr>
          <w:rFonts w:ascii="Times-Roman" w:hAnsi="Times-Roman" w:hint="eastAsia"/>
          <w:lang w:val="en-US"/>
        </w:rPr>
        <w:t>is that there isn</w:t>
      </w:r>
      <w:r w:rsidR="00C03B9D">
        <w:rPr>
          <w:rFonts w:ascii="Times-Roman" w:hAnsi="Times-Roman"/>
          <w:lang w:val="en-US"/>
        </w:rPr>
        <w:t>’</w:t>
      </w:r>
      <w:r w:rsidR="00451843" w:rsidRPr="0029522F">
        <w:rPr>
          <w:rFonts w:ascii="Times-Roman" w:hAnsi="Times-Roman" w:hint="eastAsia"/>
          <w:lang w:val="en-US"/>
        </w:rPr>
        <w:t xml:space="preserve">t </w:t>
      </w:r>
      <w:r w:rsidR="00B9196B" w:rsidRPr="0029522F">
        <w:rPr>
          <w:rFonts w:ascii="Times-Roman" w:hAnsi="Times-Roman" w:hint="eastAsia"/>
          <w:lang w:val="en-US"/>
        </w:rPr>
        <w:t>a significant</w:t>
      </w:r>
      <w:r w:rsidR="00451843" w:rsidRPr="0029522F">
        <w:rPr>
          <w:rFonts w:ascii="Times-Roman" w:hAnsi="Times-Roman" w:hint="eastAsia"/>
          <w:lang w:val="en-US"/>
        </w:rPr>
        <w:t xml:space="preserve"> difference in total link performance between the three</w:t>
      </w:r>
      <w:r w:rsidR="008870F2" w:rsidRPr="0029522F">
        <w:rPr>
          <w:rFonts w:ascii="Times-Roman" w:hAnsi="Times-Roman" w:hint="eastAsia"/>
          <w:lang w:val="en-US"/>
        </w:rPr>
        <w:t xml:space="preserve"> filters.</w:t>
      </w:r>
      <w:r w:rsidR="00C14DF5" w:rsidRPr="0029522F">
        <w:rPr>
          <w:rFonts w:ascii="Times-Roman" w:hAnsi="Times-Roman" w:hint="eastAsia"/>
          <w:lang w:val="en-US"/>
        </w:rPr>
        <w:t xml:space="preserve">  There is only 0.3dB difference between the least aggressive and the most aggressive filter.</w:t>
      </w:r>
    </w:p>
    <w:p w14:paraId="3EDE56CC" w14:textId="507176B6" w:rsidR="00FC794A" w:rsidRPr="0029522F" w:rsidRDefault="00977EAE" w:rsidP="00C03B9D">
      <w:pPr>
        <w:jc w:val="both"/>
        <w:rPr>
          <w:rFonts w:ascii="Times-Roman" w:hAnsi="Times-Roman" w:hint="eastAsia"/>
          <w:lang w:val="en-US"/>
        </w:rPr>
      </w:pPr>
      <w:r w:rsidRPr="0029522F">
        <w:rPr>
          <w:rFonts w:ascii="Times-Roman" w:hAnsi="Times-Roman" w:hint="eastAsia"/>
          <w:lang w:val="en-US"/>
        </w:rPr>
        <w:t>For max Link margin</w:t>
      </w:r>
      <w:r w:rsidR="006E01A1" w:rsidRPr="0029522F">
        <w:rPr>
          <w:rFonts w:ascii="Times-Roman" w:hAnsi="Times-Roman" w:hint="eastAsia"/>
          <w:lang w:val="en-US"/>
        </w:rPr>
        <w:t xml:space="preserve"> the [0.2 1 0.2] filter achieves the highest value.  This is because the Rx equalization is simplest with the flattest, least aggressive filter.</w:t>
      </w:r>
    </w:p>
    <w:p w14:paraId="2F723533" w14:textId="62154516" w:rsidR="00F61A9A" w:rsidRPr="00F61A9A" w:rsidRDefault="00F61A9A" w:rsidP="00F61A9A">
      <w:pPr>
        <w:pStyle w:val="Caption"/>
        <w:keepNext/>
        <w:jc w:val="center"/>
        <w:rPr>
          <w:lang w:val="en-US"/>
        </w:rPr>
      </w:pPr>
      <w:r>
        <w:rPr>
          <w:lang w:val="en-US"/>
        </w:rPr>
        <w:lastRenderedPageBreak/>
        <w:t xml:space="preserve">Table 3 – Link Margin values for LCRB = 40 for the </w:t>
      </w:r>
      <w:r w:rsidR="00C179B9">
        <w:rPr>
          <w:lang w:val="en-US"/>
        </w:rPr>
        <w:t>TDL</w:t>
      </w:r>
      <w:r>
        <w:rPr>
          <w:lang w:val="en-US"/>
        </w:rPr>
        <w:t>-</w:t>
      </w:r>
      <w:r w:rsidR="00C179B9">
        <w:rPr>
          <w:lang w:val="en-US"/>
        </w:rPr>
        <w:t xml:space="preserve">A30ns </w:t>
      </w:r>
      <w:r>
        <w:rPr>
          <w:lang w:val="en-US"/>
        </w:rPr>
        <w:t>case for comparison</w:t>
      </w:r>
    </w:p>
    <w:p w14:paraId="2BE40719" w14:textId="39F7048A" w:rsidR="002F5C8D" w:rsidRDefault="00F61A9A" w:rsidP="00DA4178">
      <w:pPr>
        <w:jc w:val="both"/>
        <w:rPr>
          <w:rFonts w:ascii="Times-Roman" w:hAnsi="Times-Roman" w:hint="eastAsia"/>
          <w:sz w:val="22"/>
          <w:szCs w:val="22"/>
          <w:lang w:val="en-US"/>
        </w:rPr>
      </w:pPr>
      <w:r w:rsidRPr="00F61A9A">
        <w:rPr>
          <w:rFonts w:hint="eastAsia"/>
          <w:noProof/>
        </w:rPr>
        <w:drawing>
          <wp:inline distT="0" distB="0" distL="0" distR="0" wp14:anchorId="790B9635" wp14:editId="5DE5E965">
            <wp:extent cx="6120765" cy="69850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698500"/>
                    </a:xfrm>
                    <a:prstGeom prst="rect">
                      <a:avLst/>
                    </a:prstGeom>
                    <a:noFill/>
                    <a:ln>
                      <a:noFill/>
                    </a:ln>
                  </pic:spPr>
                </pic:pic>
              </a:graphicData>
            </a:graphic>
          </wp:inline>
        </w:drawing>
      </w:r>
    </w:p>
    <w:p w14:paraId="5476044A" w14:textId="17A6926D" w:rsidR="00F61A9A" w:rsidRPr="0029522F" w:rsidRDefault="007E5AFA" w:rsidP="00C03B9D">
      <w:pPr>
        <w:rPr>
          <w:rFonts w:ascii="Times-Roman" w:hAnsi="Times-Roman" w:hint="eastAsia"/>
          <w:lang w:val="en-US"/>
        </w:rPr>
      </w:pPr>
      <w:r w:rsidRPr="0029522F">
        <w:rPr>
          <w:rFonts w:ascii="Times-Roman" w:hAnsi="Times-Roman" w:hint="eastAsia"/>
          <w:lang w:val="en-US"/>
        </w:rPr>
        <w:t>In Table 3, values are shown for each filter for the LCRB = 40 case.</w:t>
      </w:r>
      <w:r w:rsidR="000623BF" w:rsidRPr="0029522F">
        <w:rPr>
          <w:rFonts w:ascii="Times-Roman" w:hAnsi="Times-Roman" w:hint="eastAsia"/>
          <w:lang w:val="en-US"/>
        </w:rPr>
        <w:t xml:space="preserve">  This </w:t>
      </w:r>
      <w:r w:rsidR="00D86F68" w:rsidRPr="0029522F">
        <w:rPr>
          <w:rFonts w:ascii="Times-Roman" w:hAnsi="Times-Roman" w:hint="eastAsia"/>
          <w:lang w:val="en-US"/>
        </w:rPr>
        <w:t>represents</w:t>
      </w:r>
      <w:r w:rsidR="000623BF" w:rsidRPr="0029522F">
        <w:rPr>
          <w:rFonts w:ascii="Times-Roman" w:hAnsi="Times-Roman" w:hint="eastAsia"/>
          <w:lang w:val="en-US"/>
        </w:rPr>
        <w:t xml:space="preserve"> the upper region of the 2D plot.</w:t>
      </w:r>
      <w:r w:rsidR="00D86F68" w:rsidRPr="0029522F">
        <w:rPr>
          <w:rFonts w:ascii="Times-Roman" w:hAnsi="Times-Roman" w:hint="eastAsia"/>
          <w:lang w:val="en-US"/>
        </w:rPr>
        <w:t xml:space="preserve">  In the table it is seen that the [0.28 1 0.28] filter has the </w:t>
      </w:r>
      <w:r w:rsidR="00B6336A" w:rsidRPr="0029522F">
        <w:rPr>
          <w:rFonts w:ascii="Times-Roman" w:hAnsi="Times-Roman" w:hint="eastAsia"/>
          <w:lang w:val="en-US"/>
        </w:rPr>
        <w:t xml:space="preserve">highest value and the widest region of high values.  </w:t>
      </w:r>
      <w:r w:rsidR="00335600" w:rsidRPr="0029522F">
        <w:rPr>
          <w:rFonts w:ascii="Times-Roman" w:hAnsi="Times-Roman" w:hint="eastAsia"/>
          <w:lang w:val="en-US"/>
        </w:rPr>
        <w:t>This phenomenon</w:t>
      </w:r>
      <w:r w:rsidR="001F712E" w:rsidRPr="0029522F">
        <w:rPr>
          <w:rFonts w:ascii="Times-Roman" w:hAnsi="Times-Roman" w:hint="eastAsia"/>
          <w:lang w:val="en-US"/>
        </w:rPr>
        <w:t xml:space="preserve"> can also be seen comparing Figure 2 to Figure 1,</w:t>
      </w:r>
      <w:r w:rsidR="00870235">
        <w:rPr>
          <w:rFonts w:ascii="Times-Roman" w:hAnsi="Times-Roman"/>
          <w:lang w:val="en-US"/>
        </w:rPr>
        <w:t xml:space="preserve"> </w:t>
      </w:r>
      <w:r w:rsidR="001F712E" w:rsidRPr="0029522F">
        <w:rPr>
          <w:rFonts w:ascii="Times-Roman" w:hAnsi="Times-Roman" w:hint="eastAsia"/>
          <w:lang w:val="en-US"/>
        </w:rPr>
        <w:t xml:space="preserve">3.  The </w:t>
      </w:r>
      <w:r w:rsidR="00335600" w:rsidRPr="0029522F">
        <w:rPr>
          <w:rFonts w:ascii="Times-Roman" w:hAnsi="Times-Roman" w:hint="eastAsia"/>
          <w:lang w:val="en-US"/>
        </w:rPr>
        <w:t>inner triangle region is largest for the [0.28 1 0.28] filter.</w:t>
      </w:r>
    </w:p>
    <w:p w14:paraId="0A55A4C8" w14:textId="41EB58FF" w:rsidR="00335600" w:rsidRPr="0029522F" w:rsidRDefault="00D1121F" w:rsidP="00DA4178">
      <w:pPr>
        <w:jc w:val="both"/>
        <w:rPr>
          <w:rFonts w:ascii="Times-Roman" w:hAnsi="Times-Roman" w:hint="eastAsia"/>
          <w:i/>
          <w:iCs/>
          <w:lang w:val="en-US"/>
        </w:rPr>
      </w:pPr>
      <w:r w:rsidRPr="0029522F">
        <w:rPr>
          <w:rFonts w:ascii="Times-Roman" w:hAnsi="Times-Roman" w:hint="eastAsia"/>
          <w:i/>
          <w:iCs/>
          <w:lang w:val="en-US"/>
        </w:rPr>
        <w:t>Observation 2: Th</w:t>
      </w:r>
      <w:r w:rsidR="009167A1" w:rsidRPr="0029522F">
        <w:rPr>
          <w:rFonts w:ascii="Times-Roman" w:hAnsi="Times-Roman" w:hint="eastAsia"/>
          <w:i/>
          <w:iCs/>
          <w:lang w:val="en-US"/>
        </w:rPr>
        <w:t>e [0.2 1 0.2] filter achieves the highest value</w:t>
      </w:r>
      <w:r w:rsidR="00CB006B" w:rsidRPr="0029522F">
        <w:rPr>
          <w:rFonts w:ascii="Times-Roman" w:hAnsi="Times-Roman" w:hint="eastAsia"/>
          <w:i/>
          <w:iCs/>
          <w:lang w:val="en-US"/>
        </w:rPr>
        <w:t xml:space="preserve"> for link margin.  </w:t>
      </w:r>
      <w:r w:rsidR="006179C4" w:rsidRPr="0029522F">
        <w:rPr>
          <w:rFonts w:ascii="Times-Roman" w:hAnsi="Times-Roman" w:hint="eastAsia"/>
          <w:i/>
          <w:iCs/>
          <w:lang w:val="en-US"/>
        </w:rPr>
        <w:t>However,</w:t>
      </w:r>
      <w:r w:rsidR="00CB006B" w:rsidRPr="0029522F">
        <w:rPr>
          <w:rFonts w:ascii="Times-Roman" w:hAnsi="Times-Roman" w:hint="eastAsia"/>
          <w:i/>
          <w:iCs/>
          <w:lang w:val="en-US"/>
        </w:rPr>
        <w:t xml:space="preserve"> the [0.28 1 0.28] filter has the largest inner triangle region of high values</w:t>
      </w:r>
      <w:r w:rsidR="00571340" w:rsidRPr="0029522F">
        <w:rPr>
          <w:rFonts w:ascii="Times-Roman" w:hAnsi="Times-Roman" w:hint="eastAsia"/>
          <w:i/>
          <w:iCs/>
          <w:lang w:val="en-US"/>
        </w:rPr>
        <w:t>, making it the best compromise filter.</w:t>
      </w:r>
      <w:r w:rsidR="00D65678">
        <w:rPr>
          <w:rFonts w:ascii="Times-Roman" w:hAnsi="Times-Roman"/>
          <w:i/>
          <w:lang w:val="en-US"/>
        </w:rPr>
        <w:t xml:space="preserve"> </w:t>
      </w:r>
      <w:r w:rsidR="00D65678" w:rsidRPr="00D65678">
        <w:rPr>
          <w:rFonts w:ascii="Times-Roman" w:hAnsi="Times-Roman"/>
          <w:i/>
          <w:lang w:val="en-US"/>
        </w:rPr>
        <w:t>The overall difference in performance of different filters is rather limited and as stated in the updated SI objectives the actual filter design can be transparent to the network.</w:t>
      </w:r>
    </w:p>
    <w:p w14:paraId="42ABAA64" w14:textId="5E607DF8" w:rsidR="006179C4" w:rsidRDefault="006179C4" w:rsidP="006179C4">
      <w:pPr>
        <w:pStyle w:val="Heading1"/>
      </w:pPr>
      <w:r>
        <w:t>Conclusions</w:t>
      </w:r>
    </w:p>
    <w:p w14:paraId="06621C21" w14:textId="77777777" w:rsidR="006179C4" w:rsidRPr="0029522F" w:rsidRDefault="006179C4" w:rsidP="006179C4">
      <w:r w:rsidRPr="006179C4">
        <w:rPr>
          <w:b/>
          <w:bCs/>
          <w:lang w:eastAsia="ja-JP" w:bidi="hi-IN"/>
        </w:rPr>
        <w:t>Observation 1:</w:t>
      </w:r>
      <w:r w:rsidRPr="006179C4">
        <w:rPr>
          <w:lang w:eastAsia="ja-JP" w:bidi="hi-IN"/>
        </w:rPr>
        <w:t xml:space="preserve"> </w:t>
      </w:r>
      <w:r w:rsidRPr="0029522F">
        <w:t xml:space="preserve">In all cases simulated, the lower 12% of LCRB cases (LCRB </w:t>
      </w:r>
      <w:r w:rsidRPr="0029522F">
        <w:rPr>
          <w:rFonts w:hint="eastAsia"/>
        </w:rPr>
        <w:t>≤</w:t>
      </w:r>
      <w:r w:rsidRPr="0029522F">
        <w:t xml:space="preserve"> 6 for CBW=20MHz) have at least some negative link </w:t>
      </w:r>
      <w:proofErr w:type="gramStart"/>
      <w:r w:rsidRPr="0029522F">
        <w:t>margin</w:t>
      </w:r>
      <w:proofErr w:type="gramEnd"/>
      <w:r w:rsidRPr="0029522F">
        <w:t>.</w:t>
      </w:r>
    </w:p>
    <w:p w14:paraId="7CDDC0C0" w14:textId="77777777" w:rsidR="006179C4" w:rsidRPr="0029522F" w:rsidRDefault="006179C4" w:rsidP="006179C4">
      <w:r w:rsidRPr="0029522F">
        <w:rPr>
          <w:b/>
          <w:bCs/>
        </w:rPr>
        <w:t>Proposal 1</w:t>
      </w:r>
      <w:r w:rsidRPr="0029522F">
        <w:t>: Based on link margin simulations, it is recommended to select LCRB values greater than 12% of LCRBmax to avoid negative link margin.</w:t>
      </w:r>
    </w:p>
    <w:p w14:paraId="2F15A0C4" w14:textId="77777777" w:rsidR="006179C4" w:rsidRPr="0029522F" w:rsidRDefault="006179C4" w:rsidP="006179C4">
      <w:r w:rsidRPr="0029522F">
        <w:rPr>
          <w:b/>
          <w:bCs/>
        </w:rPr>
        <w:t>Proposal 2</w:t>
      </w:r>
      <w:r w:rsidRPr="0029522F">
        <w:t>: For optimal link performance an inner triangle region gives the best link performance.  Approximate values for the inner triangle region are 8% inside from the left and right edges and 12% from the top of LCRBmax and bottom zero LCRB value.</w:t>
      </w:r>
    </w:p>
    <w:p w14:paraId="4C3DE0D7" w14:textId="2182DAE4" w:rsidR="006179C4" w:rsidRPr="0029522F" w:rsidRDefault="006179C4" w:rsidP="00DA4178">
      <w:pPr>
        <w:jc w:val="both"/>
        <w:rPr>
          <w:rFonts w:hint="eastAsia"/>
          <w:lang w:val="en-US"/>
        </w:rPr>
      </w:pPr>
      <w:r w:rsidRPr="0029522F">
        <w:rPr>
          <w:rFonts w:hint="eastAsia"/>
          <w:b/>
          <w:bCs/>
          <w:lang w:val="en-US"/>
        </w:rPr>
        <w:t>Observation 2</w:t>
      </w:r>
      <w:r w:rsidRPr="0029522F">
        <w:rPr>
          <w:rFonts w:hint="eastAsia"/>
          <w:lang w:val="en-US"/>
        </w:rPr>
        <w:t>: The [0.2 1 0.2] filter achieves the highest value for link margin.  However, the [0.28 1 0.28] filter has the largest inner triangle region of high values, making it the best compromise filter.</w:t>
      </w:r>
      <w:r w:rsidR="00D65678">
        <w:rPr>
          <w:lang w:val="en-US"/>
        </w:rPr>
        <w:t xml:space="preserve"> </w:t>
      </w:r>
      <w:r w:rsidR="00D65678" w:rsidRPr="009C6C1E">
        <w:rPr>
          <w:lang w:val="en-US"/>
        </w:rPr>
        <w:t xml:space="preserve"> </w:t>
      </w:r>
      <w:r w:rsidR="00D65678" w:rsidRPr="0029522F">
        <w:rPr>
          <w:rFonts w:ascii="Times-Roman" w:hAnsi="Times-Roman" w:hint="eastAsia"/>
          <w:iCs/>
          <w:lang w:val="en-US"/>
        </w:rPr>
        <w:t>The overall difference in performance of different filters is rather limited and as stated in the updated SI objectives the actual filter design can be transparent to the network.</w:t>
      </w:r>
    </w:p>
    <w:p w14:paraId="0F869E2E" w14:textId="77777777" w:rsidR="00F01182" w:rsidRPr="00146B4F" w:rsidRDefault="00F01182" w:rsidP="0029522F">
      <w:pPr>
        <w:pStyle w:val="Heading1"/>
        <w:numPr>
          <w:ilvl w:val="0"/>
          <w:numId w:val="0"/>
        </w:numPr>
        <w:ind w:left="432" w:hanging="432"/>
      </w:pPr>
      <w:r w:rsidRPr="00146B4F">
        <w:t>References</w:t>
      </w:r>
    </w:p>
    <w:p w14:paraId="47B5FAD9" w14:textId="306B17AF" w:rsidR="00A315F8" w:rsidRPr="00B82DF6" w:rsidRDefault="00A315F8" w:rsidP="00A315F8">
      <w:pPr>
        <w:widowControl w:val="0"/>
        <w:numPr>
          <w:ilvl w:val="0"/>
          <w:numId w:val="1"/>
        </w:numPr>
        <w:jc w:val="both"/>
        <w:rPr>
          <w:lang w:val="en-US"/>
        </w:rPr>
      </w:pPr>
      <w:r w:rsidRPr="00B82DF6">
        <w:rPr>
          <w:lang w:val="en-US"/>
        </w:rPr>
        <w:t>RP-210910</w:t>
      </w:r>
      <w:r w:rsidR="00BF6C24" w:rsidRPr="00B82DF6">
        <w:rPr>
          <w:lang w:val="en-US"/>
        </w:rPr>
        <w:t xml:space="preserve"> New SID: Optimizations of pi/2 BPSK uplink power in NR</w:t>
      </w:r>
    </w:p>
    <w:p w14:paraId="37D76AC0" w14:textId="4C9A94D7" w:rsidR="00471774" w:rsidRDefault="002C4DDC" w:rsidP="00471774">
      <w:pPr>
        <w:widowControl w:val="0"/>
        <w:numPr>
          <w:ilvl w:val="0"/>
          <w:numId w:val="1"/>
        </w:numPr>
        <w:jc w:val="both"/>
        <w:rPr>
          <w:lang w:val="en-US"/>
        </w:rPr>
      </w:pPr>
      <w:r w:rsidRPr="002C4DDC">
        <w:rPr>
          <w:lang w:val="en-US"/>
        </w:rPr>
        <w:t>RP-213535</w:t>
      </w:r>
      <w:r w:rsidR="00471774" w:rsidRPr="00B82DF6">
        <w:rPr>
          <w:lang w:val="en-US"/>
        </w:rPr>
        <w:t xml:space="preserve"> </w:t>
      </w:r>
      <w:r w:rsidR="003670E8" w:rsidRPr="003670E8">
        <w:rPr>
          <w:lang w:val="en-US"/>
        </w:rPr>
        <w:t>Revised SID: Study on optimizations of pi/2 BPSK uplink power in NR</w:t>
      </w:r>
    </w:p>
    <w:p w14:paraId="38DD2C6F" w14:textId="66C2514E" w:rsidR="00A34DCA" w:rsidRPr="00B82DF6" w:rsidRDefault="00A34DCA" w:rsidP="00A315F8">
      <w:pPr>
        <w:widowControl w:val="0"/>
        <w:numPr>
          <w:ilvl w:val="0"/>
          <w:numId w:val="1"/>
        </w:numPr>
        <w:jc w:val="both"/>
        <w:rPr>
          <w:lang w:val="en-US"/>
        </w:rPr>
      </w:pPr>
      <w:r w:rsidRPr="00B82DF6">
        <w:rPr>
          <w:lang w:val="en-US"/>
        </w:rPr>
        <w:t>R4-2108018 WF on Waveform configuration, parameters for link simulations and agreements</w:t>
      </w:r>
    </w:p>
    <w:p w14:paraId="51E66503" w14:textId="3CC2229A" w:rsidR="00B649E6" w:rsidRPr="00B82DF6" w:rsidRDefault="00B3248D" w:rsidP="1B646AAC">
      <w:pPr>
        <w:numPr>
          <w:ilvl w:val="0"/>
          <w:numId w:val="1"/>
        </w:numPr>
        <w:jc w:val="both"/>
        <w:rPr>
          <w:rFonts w:asciiTheme="minorHAnsi" w:eastAsiaTheme="minorEastAsia" w:hAnsiTheme="minorHAnsi" w:cstheme="minorBidi"/>
          <w:lang w:val="en-US"/>
        </w:rPr>
      </w:pPr>
      <w:r w:rsidRPr="00157342">
        <w:rPr>
          <w:lang w:val="en-US"/>
        </w:rPr>
        <w:t>R4-211804</w:t>
      </w:r>
      <w:r w:rsidR="004B0E0E">
        <w:rPr>
          <w:lang w:val="en-US"/>
        </w:rPr>
        <w:t>4</w:t>
      </w:r>
      <w:r w:rsidR="00B649E6" w:rsidRPr="00B82DF6">
        <w:rPr>
          <w:rFonts w:eastAsia="Times New Roman"/>
          <w:lang w:val="en-US"/>
        </w:rPr>
        <w:t>, “</w:t>
      </w:r>
      <w:r w:rsidR="00EC1C3E" w:rsidRPr="00EC1C3E">
        <w:rPr>
          <w:rFonts w:eastAsia="Times New Roman"/>
          <w:lang w:val="en-US"/>
        </w:rPr>
        <w:t>Pi/2 BPSK pulse shaping link-level performance</w:t>
      </w:r>
      <w:r w:rsidR="00922243" w:rsidRPr="00157342">
        <w:rPr>
          <w:rFonts w:eastAsia="Times New Roman"/>
          <w:lang w:val="en-US"/>
        </w:rPr>
        <w:t>”, Intel, RAN4 #101-e,</w:t>
      </w:r>
      <w:r w:rsidR="00157342" w:rsidRPr="00157342">
        <w:rPr>
          <w:rFonts w:eastAsia="Times New Roman"/>
          <w:lang w:val="en-US"/>
        </w:rPr>
        <w:t xml:space="preserve"> November 2021</w:t>
      </w:r>
      <w:r w:rsidR="00922243" w:rsidRPr="00B82DF6" w:rsidDel="00922243">
        <w:rPr>
          <w:rFonts w:eastAsia="Times New Roman"/>
          <w:lang w:val="en-US"/>
        </w:rPr>
        <w:t xml:space="preserve"> </w:t>
      </w:r>
    </w:p>
    <w:p w14:paraId="2CF7D00F" w14:textId="77777777" w:rsidR="00712042" w:rsidRPr="00B82DF6" w:rsidRDefault="00712042" w:rsidP="00503D50">
      <w:pPr>
        <w:jc w:val="both"/>
        <w:rPr>
          <w:lang w:val="en-US"/>
        </w:rPr>
      </w:pPr>
    </w:p>
    <w:sectPr w:rsidR="00712042" w:rsidRPr="00B82DF6" w:rsidSect="00F0118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7D5A06" w14:textId="77777777" w:rsidR="00A0041C" w:rsidRDefault="00A0041C" w:rsidP="00F01182">
      <w:pPr>
        <w:spacing w:before="0" w:after="0"/>
      </w:pPr>
      <w:r>
        <w:separator/>
      </w:r>
    </w:p>
  </w:endnote>
  <w:endnote w:type="continuationSeparator" w:id="0">
    <w:p w14:paraId="04B591AE" w14:textId="77777777" w:rsidR="00A0041C" w:rsidRDefault="00A0041C" w:rsidP="00F01182">
      <w:pPr>
        <w:spacing w:before="0" w:after="0"/>
      </w:pPr>
      <w:r>
        <w:continuationSeparator/>
      </w:r>
    </w:p>
  </w:endnote>
  <w:endnote w:type="continuationNotice" w:id="1">
    <w:p w14:paraId="273A18BE" w14:textId="77777777" w:rsidR="00A0041C" w:rsidRDefault="00A0041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Mincho"/>
    <w:charset w:val="80"/>
    <w:family w:val="auto"/>
    <w:pitch w:val="default"/>
    <w:sig w:usb0="00000003" w:usb1="08070000" w:usb2="00000010" w:usb3="00000000" w:csb0="00020001" w:csb1="00000000"/>
  </w:font>
  <w:font w:name="Times-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7A2C4E" w:rsidRDefault="007A2C4E"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7A2C4E" w:rsidRDefault="007A2C4E"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7A2C4E" w:rsidRPr="00DB1239" w:rsidRDefault="007A2C4E"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7A2C4E" w:rsidRDefault="007A2C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BA4AB" w14:textId="77777777" w:rsidR="00A0041C" w:rsidRDefault="00A0041C" w:rsidP="00F01182">
      <w:pPr>
        <w:spacing w:before="0" w:after="0"/>
      </w:pPr>
      <w:r>
        <w:separator/>
      </w:r>
    </w:p>
  </w:footnote>
  <w:footnote w:type="continuationSeparator" w:id="0">
    <w:p w14:paraId="07F2E9C8" w14:textId="77777777" w:rsidR="00A0041C" w:rsidRDefault="00A0041C" w:rsidP="00F01182">
      <w:pPr>
        <w:spacing w:before="0" w:after="0"/>
      </w:pPr>
      <w:r>
        <w:continuationSeparator/>
      </w:r>
    </w:p>
  </w:footnote>
  <w:footnote w:type="continuationNotice" w:id="1">
    <w:p w14:paraId="3C1A1D08" w14:textId="77777777" w:rsidR="00A0041C" w:rsidRDefault="00A0041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7A2C4E" w:rsidRDefault="007A2C4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7A2C4E" w:rsidRDefault="007A2C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7A2C4E" w:rsidRDefault="007A2C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2405A"/>
    <w:multiLevelType w:val="hybridMultilevel"/>
    <w:tmpl w:val="642E98E8"/>
    <w:lvl w:ilvl="0" w:tplc="77C427B4">
      <w:start w:val="1"/>
      <w:numFmt w:val="bullet"/>
      <w:lvlText w:val=""/>
      <w:lvlJc w:val="left"/>
      <w:pPr>
        <w:ind w:left="720" w:hanging="360"/>
      </w:pPr>
      <w:rPr>
        <w:rFonts w:ascii="Symbol" w:hAnsi="Symbol" w:hint="default"/>
        <w:lang w:val="fi-F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C6448"/>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352EF4"/>
    <w:multiLevelType w:val="hybridMultilevel"/>
    <w:tmpl w:val="20943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8C4090"/>
    <w:multiLevelType w:val="hybridMultilevel"/>
    <w:tmpl w:val="0CC43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961DE7"/>
    <w:multiLevelType w:val="hybridMultilevel"/>
    <w:tmpl w:val="F34407F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1B24F3"/>
    <w:multiLevelType w:val="hybridMultilevel"/>
    <w:tmpl w:val="D626F4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C37059E"/>
    <w:multiLevelType w:val="hybridMultilevel"/>
    <w:tmpl w:val="677A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692ADD"/>
    <w:multiLevelType w:val="hybridMultilevel"/>
    <w:tmpl w:val="897CED9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B5702B74">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A25CFF"/>
    <w:multiLevelType w:val="hybridMultilevel"/>
    <w:tmpl w:val="F2BE0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CB06E2"/>
    <w:multiLevelType w:val="hybridMultilevel"/>
    <w:tmpl w:val="9D8A3C8C"/>
    <w:lvl w:ilvl="0" w:tplc="25F0D8B6">
      <w:start w:val="1"/>
      <w:numFmt w:val="bullet"/>
      <w:lvlText w:val="•"/>
      <w:lvlJc w:val="left"/>
      <w:pPr>
        <w:tabs>
          <w:tab w:val="num" w:pos="1080"/>
        </w:tabs>
        <w:ind w:left="1080" w:hanging="360"/>
      </w:pPr>
      <w:rPr>
        <w:rFonts w:ascii="Arial" w:hAnsi="Arial" w:hint="default"/>
      </w:rPr>
    </w:lvl>
    <w:lvl w:ilvl="1" w:tplc="3D5696BA">
      <w:start w:val="110"/>
      <w:numFmt w:val="bullet"/>
      <w:lvlText w:val="–"/>
      <w:lvlJc w:val="left"/>
      <w:pPr>
        <w:tabs>
          <w:tab w:val="num" w:pos="1800"/>
        </w:tabs>
        <w:ind w:left="1800" w:hanging="360"/>
      </w:pPr>
      <w:rPr>
        <w:rFonts w:ascii="Arial" w:hAnsi="Arial" w:hint="default"/>
      </w:rPr>
    </w:lvl>
    <w:lvl w:ilvl="2" w:tplc="FD205EF6" w:tentative="1">
      <w:start w:val="1"/>
      <w:numFmt w:val="bullet"/>
      <w:lvlText w:val="•"/>
      <w:lvlJc w:val="left"/>
      <w:pPr>
        <w:tabs>
          <w:tab w:val="num" w:pos="2520"/>
        </w:tabs>
        <w:ind w:left="2520" w:hanging="360"/>
      </w:pPr>
      <w:rPr>
        <w:rFonts w:ascii="Arial" w:hAnsi="Arial" w:hint="default"/>
      </w:rPr>
    </w:lvl>
    <w:lvl w:ilvl="3" w:tplc="7D9C5D84" w:tentative="1">
      <w:start w:val="1"/>
      <w:numFmt w:val="bullet"/>
      <w:lvlText w:val="•"/>
      <w:lvlJc w:val="left"/>
      <w:pPr>
        <w:tabs>
          <w:tab w:val="num" w:pos="3240"/>
        </w:tabs>
        <w:ind w:left="3240" w:hanging="360"/>
      </w:pPr>
      <w:rPr>
        <w:rFonts w:ascii="Arial" w:hAnsi="Arial" w:hint="default"/>
      </w:rPr>
    </w:lvl>
    <w:lvl w:ilvl="4" w:tplc="E3A843BC" w:tentative="1">
      <w:start w:val="1"/>
      <w:numFmt w:val="bullet"/>
      <w:lvlText w:val="•"/>
      <w:lvlJc w:val="left"/>
      <w:pPr>
        <w:tabs>
          <w:tab w:val="num" w:pos="3960"/>
        </w:tabs>
        <w:ind w:left="3960" w:hanging="360"/>
      </w:pPr>
      <w:rPr>
        <w:rFonts w:ascii="Arial" w:hAnsi="Arial" w:hint="default"/>
      </w:rPr>
    </w:lvl>
    <w:lvl w:ilvl="5" w:tplc="0F326308" w:tentative="1">
      <w:start w:val="1"/>
      <w:numFmt w:val="bullet"/>
      <w:lvlText w:val="•"/>
      <w:lvlJc w:val="left"/>
      <w:pPr>
        <w:tabs>
          <w:tab w:val="num" w:pos="4680"/>
        </w:tabs>
        <w:ind w:left="4680" w:hanging="360"/>
      </w:pPr>
      <w:rPr>
        <w:rFonts w:ascii="Arial" w:hAnsi="Arial" w:hint="default"/>
      </w:rPr>
    </w:lvl>
    <w:lvl w:ilvl="6" w:tplc="A41C6332" w:tentative="1">
      <w:start w:val="1"/>
      <w:numFmt w:val="bullet"/>
      <w:lvlText w:val="•"/>
      <w:lvlJc w:val="left"/>
      <w:pPr>
        <w:tabs>
          <w:tab w:val="num" w:pos="5400"/>
        </w:tabs>
        <w:ind w:left="5400" w:hanging="360"/>
      </w:pPr>
      <w:rPr>
        <w:rFonts w:ascii="Arial" w:hAnsi="Arial" w:hint="default"/>
      </w:rPr>
    </w:lvl>
    <w:lvl w:ilvl="7" w:tplc="FB883370" w:tentative="1">
      <w:start w:val="1"/>
      <w:numFmt w:val="bullet"/>
      <w:lvlText w:val="•"/>
      <w:lvlJc w:val="left"/>
      <w:pPr>
        <w:tabs>
          <w:tab w:val="num" w:pos="6120"/>
        </w:tabs>
        <w:ind w:left="6120" w:hanging="360"/>
      </w:pPr>
      <w:rPr>
        <w:rFonts w:ascii="Arial" w:hAnsi="Arial" w:hint="default"/>
      </w:rPr>
    </w:lvl>
    <w:lvl w:ilvl="8" w:tplc="9BC43FB2" w:tentative="1">
      <w:start w:val="1"/>
      <w:numFmt w:val="bullet"/>
      <w:lvlText w:val="•"/>
      <w:lvlJc w:val="left"/>
      <w:pPr>
        <w:tabs>
          <w:tab w:val="num" w:pos="6840"/>
        </w:tabs>
        <w:ind w:left="6840" w:hanging="360"/>
      </w:pPr>
      <w:rPr>
        <w:rFonts w:ascii="Arial" w:hAnsi="Arial" w:hint="default"/>
      </w:rPr>
    </w:lvl>
  </w:abstractNum>
  <w:abstractNum w:abstractNumId="12"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E575E7"/>
    <w:multiLevelType w:val="hybridMultilevel"/>
    <w:tmpl w:val="EDD497B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565106"/>
    <w:multiLevelType w:val="hybridMultilevel"/>
    <w:tmpl w:val="FFFFFFFF"/>
    <w:lvl w:ilvl="0" w:tplc="23B2DE78">
      <w:start w:val="1"/>
      <w:numFmt w:val="decimal"/>
      <w:lvlText w:val="%1."/>
      <w:lvlJc w:val="left"/>
      <w:pPr>
        <w:ind w:left="720" w:hanging="360"/>
      </w:pPr>
    </w:lvl>
    <w:lvl w:ilvl="1" w:tplc="298C6BC8">
      <w:start w:val="1"/>
      <w:numFmt w:val="lowerLetter"/>
      <w:lvlText w:val="%2."/>
      <w:lvlJc w:val="left"/>
      <w:pPr>
        <w:ind w:left="1440" w:hanging="360"/>
      </w:pPr>
    </w:lvl>
    <w:lvl w:ilvl="2" w:tplc="4B765714">
      <w:start w:val="1"/>
      <w:numFmt w:val="lowerRoman"/>
      <w:lvlText w:val="%3."/>
      <w:lvlJc w:val="right"/>
      <w:pPr>
        <w:ind w:left="2160" w:hanging="180"/>
      </w:pPr>
    </w:lvl>
    <w:lvl w:ilvl="3" w:tplc="0450B908">
      <w:start w:val="1"/>
      <w:numFmt w:val="decimal"/>
      <w:lvlText w:val="%4."/>
      <w:lvlJc w:val="left"/>
      <w:pPr>
        <w:ind w:left="2880" w:hanging="360"/>
      </w:pPr>
    </w:lvl>
    <w:lvl w:ilvl="4" w:tplc="E6587172">
      <w:start w:val="1"/>
      <w:numFmt w:val="lowerLetter"/>
      <w:lvlText w:val="%5."/>
      <w:lvlJc w:val="left"/>
      <w:pPr>
        <w:ind w:left="3600" w:hanging="360"/>
      </w:pPr>
    </w:lvl>
    <w:lvl w:ilvl="5" w:tplc="8026CD6E">
      <w:start w:val="1"/>
      <w:numFmt w:val="lowerRoman"/>
      <w:lvlText w:val="%6."/>
      <w:lvlJc w:val="right"/>
      <w:pPr>
        <w:ind w:left="4320" w:hanging="180"/>
      </w:pPr>
    </w:lvl>
    <w:lvl w:ilvl="6" w:tplc="6CA2021C">
      <w:start w:val="1"/>
      <w:numFmt w:val="decimal"/>
      <w:lvlText w:val="%7."/>
      <w:lvlJc w:val="left"/>
      <w:pPr>
        <w:ind w:left="5040" w:hanging="360"/>
      </w:pPr>
    </w:lvl>
    <w:lvl w:ilvl="7" w:tplc="6A441A88">
      <w:start w:val="1"/>
      <w:numFmt w:val="lowerLetter"/>
      <w:lvlText w:val="%8."/>
      <w:lvlJc w:val="left"/>
      <w:pPr>
        <w:ind w:left="5760" w:hanging="360"/>
      </w:pPr>
    </w:lvl>
    <w:lvl w:ilvl="8" w:tplc="2BD4C458">
      <w:start w:val="1"/>
      <w:numFmt w:val="lowerRoman"/>
      <w:lvlText w:val="%9."/>
      <w:lvlJc w:val="right"/>
      <w:pPr>
        <w:ind w:left="6480" w:hanging="180"/>
      </w:pPr>
    </w:lvl>
  </w:abstractNum>
  <w:abstractNum w:abstractNumId="16" w15:restartNumberingAfterBreak="0">
    <w:nsid w:val="5CE4578D"/>
    <w:multiLevelType w:val="hybridMultilevel"/>
    <w:tmpl w:val="285E18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EE74FA"/>
    <w:multiLevelType w:val="hybridMultilevel"/>
    <w:tmpl w:val="B5F61F02"/>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4"/>
  </w:num>
  <w:num w:numId="2">
    <w:abstractNumId w:val="17"/>
  </w:num>
  <w:num w:numId="3">
    <w:abstractNumId w:val="18"/>
  </w:num>
  <w:num w:numId="4">
    <w:abstractNumId w:val="14"/>
  </w:num>
  <w:num w:numId="5">
    <w:abstractNumId w:val="12"/>
  </w:num>
  <w:num w:numId="6">
    <w:abstractNumId w:val="19"/>
  </w:num>
  <w:num w:numId="7">
    <w:abstractNumId w:val="11"/>
  </w:num>
  <w:num w:numId="8">
    <w:abstractNumId w:val="0"/>
  </w:num>
  <w:num w:numId="9">
    <w:abstractNumId w:val="1"/>
  </w:num>
  <w:num w:numId="10">
    <w:abstractNumId w:val="20"/>
  </w:num>
  <w:num w:numId="11">
    <w:abstractNumId w:val="5"/>
  </w:num>
  <w:num w:numId="12">
    <w:abstractNumId w:val="8"/>
  </w:num>
  <w:num w:numId="13">
    <w:abstractNumId w:val="13"/>
  </w:num>
  <w:num w:numId="14">
    <w:abstractNumId w:val="9"/>
  </w:num>
  <w:num w:numId="15">
    <w:abstractNumId w:val="10"/>
  </w:num>
  <w:num w:numId="16">
    <w:abstractNumId w:val="16"/>
  </w:num>
  <w:num w:numId="17">
    <w:abstractNumId w:val="15"/>
  </w:num>
  <w:num w:numId="18">
    <w:abstractNumId w:val="3"/>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grammar="clean"/>
  <w:defaultTabStop w:val="708"/>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0016"/>
    <w:rsid w:val="00005357"/>
    <w:rsid w:val="0000777E"/>
    <w:rsid w:val="00010996"/>
    <w:rsid w:val="00011DFB"/>
    <w:rsid w:val="0001453B"/>
    <w:rsid w:val="000155CA"/>
    <w:rsid w:val="000163F3"/>
    <w:rsid w:val="000200C8"/>
    <w:rsid w:val="00020EAD"/>
    <w:rsid w:val="0002492A"/>
    <w:rsid w:val="00025ABE"/>
    <w:rsid w:val="00030482"/>
    <w:rsid w:val="00030FDE"/>
    <w:rsid w:val="000323D7"/>
    <w:rsid w:val="0003248B"/>
    <w:rsid w:val="0003566D"/>
    <w:rsid w:val="000368C4"/>
    <w:rsid w:val="00037597"/>
    <w:rsid w:val="00044464"/>
    <w:rsid w:val="00045451"/>
    <w:rsid w:val="00047472"/>
    <w:rsid w:val="00051445"/>
    <w:rsid w:val="000623BF"/>
    <w:rsid w:val="000633DA"/>
    <w:rsid w:val="0006639B"/>
    <w:rsid w:val="00074DFE"/>
    <w:rsid w:val="000801E5"/>
    <w:rsid w:val="00080988"/>
    <w:rsid w:val="0008116B"/>
    <w:rsid w:val="00084065"/>
    <w:rsid w:val="00096807"/>
    <w:rsid w:val="000A50D0"/>
    <w:rsid w:val="000A7FA8"/>
    <w:rsid w:val="000B0BF2"/>
    <w:rsid w:val="000B1183"/>
    <w:rsid w:val="000B2852"/>
    <w:rsid w:val="000B335D"/>
    <w:rsid w:val="000C00F6"/>
    <w:rsid w:val="000C284E"/>
    <w:rsid w:val="000C3C28"/>
    <w:rsid w:val="000C591A"/>
    <w:rsid w:val="000C6BD3"/>
    <w:rsid w:val="000D340E"/>
    <w:rsid w:val="000D53D8"/>
    <w:rsid w:val="000D5669"/>
    <w:rsid w:val="000D5EB0"/>
    <w:rsid w:val="000D6470"/>
    <w:rsid w:val="000E1A0A"/>
    <w:rsid w:val="000E21A2"/>
    <w:rsid w:val="000E2548"/>
    <w:rsid w:val="000F01AD"/>
    <w:rsid w:val="000F38BE"/>
    <w:rsid w:val="000F4CE3"/>
    <w:rsid w:val="0010075F"/>
    <w:rsid w:val="00106050"/>
    <w:rsid w:val="00111B6C"/>
    <w:rsid w:val="00113C8F"/>
    <w:rsid w:val="001142A0"/>
    <w:rsid w:val="0011445D"/>
    <w:rsid w:val="00120A87"/>
    <w:rsid w:val="00124E7B"/>
    <w:rsid w:val="001271D0"/>
    <w:rsid w:val="0013118B"/>
    <w:rsid w:val="0013121C"/>
    <w:rsid w:val="00132D03"/>
    <w:rsid w:val="001505A2"/>
    <w:rsid w:val="001511D9"/>
    <w:rsid w:val="001537C9"/>
    <w:rsid w:val="00157342"/>
    <w:rsid w:val="001652EF"/>
    <w:rsid w:val="0017366D"/>
    <w:rsid w:val="00176E8E"/>
    <w:rsid w:val="00177729"/>
    <w:rsid w:val="001809B8"/>
    <w:rsid w:val="00183040"/>
    <w:rsid w:val="00190A6B"/>
    <w:rsid w:val="00191B20"/>
    <w:rsid w:val="0019215D"/>
    <w:rsid w:val="001963D3"/>
    <w:rsid w:val="00196FFA"/>
    <w:rsid w:val="001A6CE8"/>
    <w:rsid w:val="001A7BCA"/>
    <w:rsid w:val="001B2282"/>
    <w:rsid w:val="001B26FC"/>
    <w:rsid w:val="001B5AE6"/>
    <w:rsid w:val="001B7844"/>
    <w:rsid w:val="001B79B4"/>
    <w:rsid w:val="001C2329"/>
    <w:rsid w:val="001C2D4A"/>
    <w:rsid w:val="001C56BB"/>
    <w:rsid w:val="001C7338"/>
    <w:rsid w:val="001D4E50"/>
    <w:rsid w:val="001E3583"/>
    <w:rsid w:val="001E7430"/>
    <w:rsid w:val="001F0012"/>
    <w:rsid w:val="001F226C"/>
    <w:rsid w:val="001F2E9D"/>
    <w:rsid w:val="001F3996"/>
    <w:rsid w:val="001F712E"/>
    <w:rsid w:val="002041F1"/>
    <w:rsid w:val="00204C52"/>
    <w:rsid w:val="00211AEA"/>
    <w:rsid w:val="00213455"/>
    <w:rsid w:val="002169BE"/>
    <w:rsid w:val="00217D2C"/>
    <w:rsid w:val="00221733"/>
    <w:rsid w:val="00221D51"/>
    <w:rsid w:val="002254B0"/>
    <w:rsid w:val="00225F29"/>
    <w:rsid w:val="002324D1"/>
    <w:rsid w:val="00235021"/>
    <w:rsid w:val="00240AD7"/>
    <w:rsid w:val="00241C1E"/>
    <w:rsid w:val="002460DA"/>
    <w:rsid w:val="002501B3"/>
    <w:rsid w:val="00250CB6"/>
    <w:rsid w:val="00252B5F"/>
    <w:rsid w:val="002533F5"/>
    <w:rsid w:val="002562C7"/>
    <w:rsid w:val="0026412A"/>
    <w:rsid w:val="00264652"/>
    <w:rsid w:val="002732EB"/>
    <w:rsid w:val="00276AB5"/>
    <w:rsid w:val="00277B9C"/>
    <w:rsid w:val="00280090"/>
    <w:rsid w:val="002860B6"/>
    <w:rsid w:val="00290B33"/>
    <w:rsid w:val="0029145A"/>
    <w:rsid w:val="00292CC5"/>
    <w:rsid w:val="0029522F"/>
    <w:rsid w:val="00295954"/>
    <w:rsid w:val="002A0E75"/>
    <w:rsid w:val="002A18DD"/>
    <w:rsid w:val="002A37D1"/>
    <w:rsid w:val="002A5AAC"/>
    <w:rsid w:val="002B0F4A"/>
    <w:rsid w:val="002C2A07"/>
    <w:rsid w:val="002C3633"/>
    <w:rsid w:val="002C4DDC"/>
    <w:rsid w:val="002C774D"/>
    <w:rsid w:val="002D0C19"/>
    <w:rsid w:val="002D16D5"/>
    <w:rsid w:val="002D6129"/>
    <w:rsid w:val="002D6315"/>
    <w:rsid w:val="002E027B"/>
    <w:rsid w:val="002E0C15"/>
    <w:rsid w:val="002E1458"/>
    <w:rsid w:val="002E2C6B"/>
    <w:rsid w:val="002E4A8E"/>
    <w:rsid w:val="002F1D5E"/>
    <w:rsid w:val="002F2956"/>
    <w:rsid w:val="002F5C8D"/>
    <w:rsid w:val="00303003"/>
    <w:rsid w:val="00304058"/>
    <w:rsid w:val="00310BCB"/>
    <w:rsid w:val="00312F3D"/>
    <w:rsid w:val="00313845"/>
    <w:rsid w:val="00317554"/>
    <w:rsid w:val="00322045"/>
    <w:rsid w:val="00327524"/>
    <w:rsid w:val="00330A91"/>
    <w:rsid w:val="00330CD2"/>
    <w:rsid w:val="00333DD9"/>
    <w:rsid w:val="00335600"/>
    <w:rsid w:val="00340060"/>
    <w:rsid w:val="00340A85"/>
    <w:rsid w:val="00340FC8"/>
    <w:rsid w:val="00342604"/>
    <w:rsid w:val="00342AB2"/>
    <w:rsid w:val="00353D3D"/>
    <w:rsid w:val="0035405F"/>
    <w:rsid w:val="003618A5"/>
    <w:rsid w:val="003670E8"/>
    <w:rsid w:val="00370259"/>
    <w:rsid w:val="0037057F"/>
    <w:rsid w:val="00376B1A"/>
    <w:rsid w:val="00377B3E"/>
    <w:rsid w:val="00383004"/>
    <w:rsid w:val="003840FE"/>
    <w:rsid w:val="003858C8"/>
    <w:rsid w:val="00397650"/>
    <w:rsid w:val="003A1B10"/>
    <w:rsid w:val="003A3E9E"/>
    <w:rsid w:val="003A4749"/>
    <w:rsid w:val="003A59B4"/>
    <w:rsid w:val="003A7CF1"/>
    <w:rsid w:val="003B2F8B"/>
    <w:rsid w:val="003C0262"/>
    <w:rsid w:val="003C1873"/>
    <w:rsid w:val="003C27EC"/>
    <w:rsid w:val="003C462D"/>
    <w:rsid w:val="003C6E78"/>
    <w:rsid w:val="003C767B"/>
    <w:rsid w:val="003C781F"/>
    <w:rsid w:val="003D22B2"/>
    <w:rsid w:val="003D3806"/>
    <w:rsid w:val="003D4B4C"/>
    <w:rsid w:val="003E3FF2"/>
    <w:rsid w:val="003E598B"/>
    <w:rsid w:val="003E5B16"/>
    <w:rsid w:val="003F3F40"/>
    <w:rsid w:val="003F4AE7"/>
    <w:rsid w:val="003F63E8"/>
    <w:rsid w:val="00403F61"/>
    <w:rsid w:val="00404B17"/>
    <w:rsid w:val="004067B6"/>
    <w:rsid w:val="00410128"/>
    <w:rsid w:val="0041505B"/>
    <w:rsid w:val="00415E66"/>
    <w:rsid w:val="004233E9"/>
    <w:rsid w:val="00425DB6"/>
    <w:rsid w:val="0042670C"/>
    <w:rsid w:val="00431B06"/>
    <w:rsid w:val="00442547"/>
    <w:rsid w:val="00451689"/>
    <w:rsid w:val="00451843"/>
    <w:rsid w:val="004563D3"/>
    <w:rsid w:val="0045736F"/>
    <w:rsid w:val="00460736"/>
    <w:rsid w:val="0046087D"/>
    <w:rsid w:val="00471774"/>
    <w:rsid w:val="00474389"/>
    <w:rsid w:val="004762D8"/>
    <w:rsid w:val="00476AF6"/>
    <w:rsid w:val="00483234"/>
    <w:rsid w:val="00485B6E"/>
    <w:rsid w:val="004864E9"/>
    <w:rsid w:val="00486A4C"/>
    <w:rsid w:val="00490C92"/>
    <w:rsid w:val="00492AF9"/>
    <w:rsid w:val="00496C56"/>
    <w:rsid w:val="004A09B6"/>
    <w:rsid w:val="004A2390"/>
    <w:rsid w:val="004A39EA"/>
    <w:rsid w:val="004B0E0E"/>
    <w:rsid w:val="004B40E3"/>
    <w:rsid w:val="004B480F"/>
    <w:rsid w:val="004C013E"/>
    <w:rsid w:val="004C708A"/>
    <w:rsid w:val="004E35DD"/>
    <w:rsid w:val="004F0323"/>
    <w:rsid w:val="00503D50"/>
    <w:rsid w:val="00505A92"/>
    <w:rsid w:val="0050718C"/>
    <w:rsid w:val="00510D0B"/>
    <w:rsid w:val="00512DB9"/>
    <w:rsid w:val="005155DC"/>
    <w:rsid w:val="0052126B"/>
    <w:rsid w:val="00523459"/>
    <w:rsid w:val="0052368C"/>
    <w:rsid w:val="005404A9"/>
    <w:rsid w:val="0054066D"/>
    <w:rsid w:val="00541412"/>
    <w:rsid w:val="0054388A"/>
    <w:rsid w:val="005468E3"/>
    <w:rsid w:val="00546970"/>
    <w:rsid w:val="00553847"/>
    <w:rsid w:val="0055679E"/>
    <w:rsid w:val="00560AD8"/>
    <w:rsid w:val="00562392"/>
    <w:rsid w:val="00565320"/>
    <w:rsid w:val="00571340"/>
    <w:rsid w:val="00581929"/>
    <w:rsid w:val="00592A38"/>
    <w:rsid w:val="00595995"/>
    <w:rsid w:val="005A0435"/>
    <w:rsid w:val="005B370A"/>
    <w:rsid w:val="005B3C5D"/>
    <w:rsid w:val="005B4627"/>
    <w:rsid w:val="005B4ECE"/>
    <w:rsid w:val="005C3D26"/>
    <w:rsid w:val="005C5C3F"/>
    <w:rsid w:val="005C6DE4"/>
    <w:rsid w:val="005D0CD6"/>
    <w:rsid w:val="005D4E5A"/>
    <w:rsid w:val="005D7F3E"/>
    <w:rsid w:val="005E1AD9"/>
    <w:rsid w:val="005E5AAC"/>
    <w:rsid w:val="005E746A"/>
    <w:rsid w:val="005F50F2"/>
    <w:rsid w:val="005F606C"/>
    <w:rsid w:val="005F6104"/>
    <w:rsid w:val="006012AF"/>
    <w:rsid w:val="00603DE4"/>
    <w:rsid w:val="00604D3E"/>
    <w:rsid w:val="006167E2"/>
    <w:rsid w:val="006179C4"/>
    <w:rsid w:val="00617F90"/>
    <w:rsid w:val="00620075"/>
    <w:rsid w:val="006263E0"/>
    <w:rsid w:val="00627A3B"/>
    <w:rsid w:val="006303F7"/>
    <w:rsid w:val="006321D6"/>
    <w:rsid w:val="00634851"/>
    <w:rsid w:val="00634A83"/>
    <w:rsid w:val="00641A00"/>
    <w:rsid w:val="00642D5F"/>
    <w:rsid w:val="00643A68"/>
    <w:rsid w:val="00643F34"/>
    <w:rsid w:val="00645738"/>
    <w:rsid w:val="00655C57"/>
    <w:rsid w:val="00661B31"/>
    <w:rsid w:val="006631A4"/>
    <w:rsid w:val="006643F4"/>
    <w:rsid w:val="006656E7"/>
    <w:rsid w:val="00666C1E"/>
    <w:rsid w:val="00672AD4"/>
    <w:rsid w:val="00674E3E"/>
    <w:rsid w:val="006817D5"/>
    <w:rsid w:val="00697543"/>
    <w:rsid w:val="006A2D3B"/>
    <w:rsid w:val="006A4298"/>
    <w:rsid w:val="006A465D"/>
    <w:rsid w:val="006A5F2D"/>
    <w:rsid w:val="006A687D"/>
    <w:rsid w:val="006B2BB2"/>
    <w:rsid w:val="006C5B66"/>
    <w:rsid w:val="006C6C57"/>
    <w:rsid w:val="006D23BC"/>
    <w:rsid w:val="006D2527"/>
    <w:rsid w:val="006E01A1"/>
    <w:rsid w:val="006E12C3"/>
    <w:rsid w:val="006E2887"/>
    <w:rsid w:val="006E4320"/>
    <w:rsid w:val="006E44AB"/>
    <w:rsid w:val="006F0760"/>
    <w:rsid w:val="006F50EB"/>
    <w:rsid w:val="006F541B"/>
    <w:rsid w:val="00701619"/>
    <w:rsid w:val="00703B16"/>
    <w:rsid w:val="007042CB"/>
    <w:rsid w:val="00705979"/>
    <w:rsid w:val="00712042"/>
    <w:rsid w:val="0071505F"/>
    <w:rsid w:val="00715F96"/>
    <w:rsid w:val="00721E81"/>
    <w:rsid w:val="00725BA6"/>
    <w:rsid w:val="00725D91"/>
    <w:rsid w:val="0073741D"/>
    <w:rsid w:val="00744995"/>
    <w:rsid w:val="0075233A"/>
    <w:rsid w:val="00755173"/>
    <w:rsid w:val="007552AB"/>
    <w:rsid w:val="007615BB"/>
    <w:rsid w:val="007637A5"/>
    <w:rsid w:val="00766FDA"/>
    <w:rsid w:val="00770555"/>
    <w:rsid w:val="00773A32"/>
    <w:rsid w:val="0077668D"/>
    <w:rsid w:val="00780A46"/>
    <w:rsid w:val="00781FCA"/>
    <w:rsid w:val="00786A54"/>
    <w:rsid w:val="007876C6"/>
    <w:rsid w:val="007904BD"/>
    <w:rsid w:val="00794DE2"/>
    <w:rsid w:val="00796DEF"/>
    <w:rsid w:val="00796F95"/>
    <w:rsid w:val="007A2C4E"/>
    <w:rsid w:val="007A51A3"/>
    <w:rsid w:val="007A6F26"/>
    <w:rsid w:val="007A76A1"/>
    <w:rsid w:val="007A7DFC"/>
    <w:rsid w:val="007B15F7"/>
    <w:rsid w:val="007C01F3"/>
    <w:rsid w:val="007C373D"/>
    <w:rsid w:val="007C5872"/>
    <w:rsid w:val="007D1433"/>
    <w:rsid w:val="007D2422"/>
    <w:rsid w:val="007D2DDB"/>
    <w:rsid w:val="007D3ADC"/>
    <w:rsid w:val="007D5A89"/>
    <w:rsid w:val="007D5C1F"/>
    <w:rsid w:val="007D67BF"/>
    <w:rsid w:val="007D6A6E"/>
    <w:rsid w:val="007D737D"/>
    <w:rsid w:val="007DC83F"/>
    <w:rsid w:val="007E00C1"/>
    <w:rsid w:val="007E2CD1"/>
    <w:rsid w:val="007E5AFA"/>
    <w:rsid w:val="007E5C87"/>
    <w:rsid w:val="007E7C60"/>
    <w:rsid w:val="007F31FD"/>
    <w:rsid w:val="007F5F46"/>
    <w:rsid w:val="008011F1"/>
    <w:rsid w:val="00804CC8"/>
    <w:rsid w:val="008071F5"/>
    <w:rsid w:val="00811FC0"/>
    <w:rsid w:val="00815F9C"/>
    <w:rsid w:val="008229FE"/>
    <w:rsid w:val="00827183"/>
    <w:rsid w:val="00833FDE"/>
    <w:rsid w:val="00836473"/>
    <w:rsid w:val="008364E4"/>
    <w:rsid w:val="00837065"/>
    <w:rsid w:val="00845610"/>
    <w:rsid w:val="00845D56"/>
    <w:rsid w:val="008542EF"/>
    <w:rsid w:val="00855503"/>
    <w:rsid w:val="00855EAE"/>
    <w:rsid w:val="008579C9"/>
    <w:rsid w:val="00860EB6"/>
    <w:rsid w:val="00870235"/>
    <w:rsid w:val="00870F23"/>
    <w:rsid w:val="00880C9D"/>
    <w:rsid w:val="008870F2"/>
    <w:rsid w:val="00887977"/>
    <w:rsid w:val="00891C3A"/>
    <w:rsid w:val="00893C53"/>
    <w:rsid w:val="0089734D"/>
    <w:rsid w:val="008A7479"/>
    <w:rsid w:val="008A79B4"/>
    <w:rsid w:val="008B5DB1"/>
    <w:rsid w:val="008B6914"/>
    <w:rsid w:val="008C6931"/>
    <w:rsid w:val="008C7128"/>
    <w:rsid w:val="008C737F"/>
    <w:rsid w:val="008D1EE6"/>
    <w:rsid w:val="008D4F82"/>
    <w:rsid w:val="008E461D"/>
    <w:rsid w:val="008E5CE8"/>
    <w:rsid w:val="008E624A"/>
    <w:rsid w:val="008E7324"/>
    <w:rsid w:val="008F0F20"/>
    <w:rsid w:val="008F64EB"/>
    <w:rsid w:val="008F71B2"/>
    <w:rsid w:val="008F7D8F"/>
    <w:rsid w:val="00905604"/>
    <w:rsid w:val="00906DC2"/>
    <w:rsid w:val="00907DBF"/>
    <w:rsid w:val="00911E79"/>
    <w:rsid w:val="00912702"/>
    <w:rsid w:val="00915C37"/>
    <w:rsid w:val="009167A1"/>
    <w:rsid w:val="00917B56"/>
    <w:rsid w:val="00920675"/>
    <w:rsid w:val="00922243"/>
    <w:rsid w:val="00930179"/>
    <w:rsid w:val="009345C6"/>
    <w:rsid w:val="009436B2"/>
    <w:rsid w:val="00946161"/>
    <w:rsid w:val="00946D40"/>
    <w:rsid w:val="009550C0"/>
    <w:rsid w:val="00955AFF"/>
    <w:rsid w:val="00963031"/>
    <w:rsid w:val="00963D4E"/>
    <w:rsid w:val="0096521D"/>
    <w:rsid w:val="0097113D"/>
    <w:rsid w:val="00974195"/>
    <w:rsid w:val="009759B6"/>
    <w:rsid w:val="00975FC9"/>
    <w:rsid w:val="0097748E"/>
    <w:rsid w:val="00977EAE"/>
    <w:rsid w:val="00980F52"/>
    <w:rsid w:val="00982489"/>
    <w:rsid w:val="00982F1A"/>
    <w:rsid w:val="00983029"/>
    <w:rsid w:val="00993E56"/>
    <w:rsid w:val="00994040"/>
    <w:rsid w:val="00994A96"/>
    <w:rsid w:val="009A0072"/>
    <w:rsid w:val="009A05A4"/>
    <w:rsid w:val="009A1B64"/>
    <w:rsid w:val="009A41E9"/>
    <w:rsid w:val="009B10CD"/>
    <w:rsid w:val="009B29BF"/>
    <w:rsid w:val="009B3A6E"/>
    <w:rsid w:val="009B5467"/>
    <w:rsid w:val="009B5988"/>
    <w:rsid w:val="009B6F6B"/>
    <w:rsid w:val="009C131D"/>
    <w:rsid w:val="009C6C1E"/>
    <w:rsid w:val="009C7135"/>
    <w:rsid w:val="009D0959"/>
    <w:rsid w:val="009D28F4"/>
    <w:rsid w:val="009D4716"/>
    <w:rsid w:val="009D6577"/>
    <w:rsid w:val="009E2450"/>
    <w:rsid w:val="009E418A"/>
    <w:rsid w:val="009F3400"/>
    <w:rsid w:val="00A0021F"/>
    <w:rsid w:val="00A0041C"/>
    <w:rsid w:val="00A1019E"/>
    <w:rsid w:val="00A10403"/>
    <w:rsid w:val="00A11EB0"/>
    <w:rsid w:val="00A123D8"/>
    <w:rsid w:val="00A21195"/>
    <w:rsid w:val="00A230E0"/>
    <w:rsid w:val="00A27081"/>
    <w:rsid w:val="00A3013C"/>
    <w:rsid w:val="00A315F8"/>
    <w:rsid w:val="00A31AFB"/>
    <w:rsid w:val="00A33EBF"/>
    <w:rsid w:val="00A34DCA"/>
    <w:rsid w:val="00A40215"/>
    <w:rsid w:val="00A4379A"/>
    <w:rsid w:val="00A44073"/>
    <w:rsid w:val="00A4512E"/>
    <w:rsid w:val="00A46188"/>
    <w:rsid w:val="00A4649D"/>
    <w:rsid w:val="00A47144"/>
    <w:rsid w:val="00A47A6A"/>
    <w:rsid w:val="00A47C50"/>
    <w:rsid w:val="00A54C1D"/>
    <w:rsid w:val="00A56D68"/>
    <w:rsid w:val="00A571C0"/>
    <w:rsid w:val="00A60A57"/>
    <w:rsid w:val="00A61243"/>
    <w:rsid w:val="00A67E69"/>
    <w:rsid w:val="00A70943"/>
    <w:rsid w:val="00A70C9E"/>
    <w:rsid w:val="00A70FE4"/>
    <w:rsid w:val="00A71580"/>
    <w:rsid w:val="00A800C6"/>
    <w:rsid w:val="00A846A0"/>
    <w:rsid w:val="00A84DA7"/>
    <w:rsid w:val="00A90F05"/>
    <w:rsid w:val="00A944C4"/>
    <w:rsid w:val="00A9626D"/>
    <w:rsid w:val="00AA1113"/>
    <w:rsid w:val="00AA2F18"/>
    <w:rsid w:val="00AB081E"/>
    <w:rsid w:val="00AB2E7B"/>
    <w:rsid w:val="00AB3A1F"/>
    <w:rsid w:val="00AB41F5"/>
    <w:rsid w:val="00AC18CC"/>
    <w:rsid w:val="00AC21A3"/>
    <w:rsid w:val="00AC3F14"/>
    <w:rsid w:val="00AC4AA0"/>
    <w:rsid w:val="00AC7E67"/>
    <w:rsid w:val="00AD1D53"/>
    <w:rsid w:val="00AD3A54"/>
    <w:rsid w:val="00AD5355"/>
    <w:rsid w:val="00AD750C"/>
    <w:rsid w:val="00AE07E7"/>
    <w:rsid w:val="00AE0EE1"/>
    <w:rsid w:val="00AE7C25"/>
    <w:rsid w:val="00AE7D9B"/>
    <w:rsid w:val="00AF0ADD"/>
    <w:rsid w:val="00AF29A2"/>
    <w:rsid w:val="00AF4066"/>
    <w:rsid w:val="00AF52F7"/>
    <w:rsid w:val="00AF64F1"/>
    <w:rsid w:val="00AF6CAF"/>
    <w:rsid w:val="00B023A3"/>
    <w:rsid w:val="00B031C5"/>
    <w:rsid w:val="00B051CF"/>
    <w:rsid w:val="00B05576"/>
    <w:rsid w:val="00B07A1A"/>
    <w:rsid w:val="00B07F33"/>
    <w:rsid w:val="00B10FB5"/>
    <w:rsid w:val="00B11E4E"/>
    <w:rsid w:val="00B20567"/>
    <w:rsid w:val="00B224D4"/>
    <w:rsid w:val="00B24F62"/>
    <w:rsid w:val="00B25B59"/>
    <w:rsid w:val="00B27CFE"/>
    <w:rsid w:val="00B30358"/>
    <w:rsid w:val="00B30E43"/>
    <w:rsid w:val="00B3248D"/>
    <w:rsid w:val="00B3297D"/>
    <w:rsid w:val="00B40AD4"/>
    <w:rsid w:val="00B413BE"/>
    <w:rsid w:val="00B46E3E"/>
    <w:rsid w:val="00B47073"/>
    <w:rsid w:val="00B51530"/>
    <w:rsid w:val="00B5397D"/>
    <w:rsid w:val="00B54B8B"/>
    <w:rsid w:val="00B55F67"/>
    <w:rsid w:val="00B6336A"/>
    <w:rsid w:val="00B649E6"/>
    <w:rsid w:val="00B651BE"/>
    <w:rsid w:val="00B76C78"/>
    <w:rsid w:val="00B77529"/>
    <w:rsid w:val="00B80054"/>
    <w:rsid w:val="00B81AFE"/>
    <w:rsid w:val="00B82DF6"/>
    <w:rsid w:val="00B9196B"/>
    <w:rsid w:val="00B95FE5"/>
    <w:rsid w:val="00B9686F"/>
    <w:rsid w:val="00B96CE2"/>
    <w:rsid w:val="00B97C0F"/>
    <w:rsid w:val="00BA3E2C"/>
    <w:rsid w:val="00BA5F1E"/>
    <w:rsid w:val="00BA71BC"/>
    <w:rsid w:val="00BA7C61"/>
    <w:rsid w:val="00BB3F09"/>
    <w:rsid w:val="00BB543E"/>
    <w:rsid w:val="00BC4207"/>
    <w:rsid w:val="00BC64D6"/>
    <w:rsid w:val="00BD1E06"/>
    <w:rsid w:val="00BD6C67"/>
    <w:rsid w:val="00BD7077"/>
    <w:rsid w:val="00BE38AF"/>
    <w:rsid w:val="00BE4E62"/>
    <w:rsid w:val="00BF6C24"/>
    <w:rsid w:val="00BF6D8E"/>
    <w:rsid w:val="00C002C9"/>
    <w:rsid w:val="00C03AB1"/>
    <w:rsid w:val="00C03B9D"/>
    <w:rsid w:val="00C03EF9"/>
    <w:rsid w:val="00C03F63"/>
    <w:rsid w:val="00C06FC8"/>
    <w:rsid w:val="00C13FC8"/>
    <w:rsid w:val="00C14DF5"/>
    <w:rsid w:val="00C16332"/>
    <w:rsid w:val="00C179B9"/>
    <w:rsid w:val="00C20274"/>
    <w:rsid w:val="00C2170D"/>
    <w:rsid w:val="00C22AE9"/>
    <w:rsid w:val="00C25F24"/>
    <w:rsid w:val="00C26265"/>
    <w:rsid w:val="00C40213"/>
    <w:rsid w:val="00C418D2"/>
    <w:rsid w:val="00C54BB9"/>
    <w:rsid w:val="00C5611D"/>
    <w:rsid w:val="00C57E3C"/>
    <w:rsid w:val="00C63A6A"/>
    <w:rsid w:val="00C65EF3"/>
    <w:rsid w:val="00C66924"/>
    <w:rsid w:val="00C7349D"/>
    <w:rsid w:val="00C86A45"/>
    <w:rsid w:val="00C915B2"/>
    <w:rsid w:val="00C94ED9"/>
    <w:rsid w:val="00C975E0"/>
    <w:rsid w:val="00CA21DB"/>
    <w:rsid w:val="00CA6469"/>
    <w:rsid w:val="00CB006B"/>
    <w:rsid w:val="00CB1708"/>
    <w:rsid w:val="00CB7EB0"/>
    <w:rsid w:val="00CC1185"/>
    <w:rsid w:val="00CC584B"/>
    <w:rsid w:val="00CC58CB"/>
    <w:rsid w:val="00CD6254"/>
    <w:rsid w:val="00CE1F26"/>
    <w:rsid w:val="00CE3283"/>
    <w:rsid w:val="00CF0B0F"/>
    <w:rsid w:val="00CF44D8"/>
    <w:rsid w:val="00D040B2"/>
    <w:rsid w:val="00D0470E"/>
    <w:rsid w:val="00D05319"/>
    <w:rsid w:val="00D1121F"/>
    <w:rsid w:val="00D1461D"/>
    <w:rsid w:val="00D15936"/>
    <w:rsid w:val="00D15983"/>
    <w:rsid w:val="00D254A8"/>
    <w:rsid w:val="00D301D0"/>
    <w:rsid w:val="00D31FF8"/>
    <w:rsid w:val="00D33D1F"/>
    <w:rsid w:val="00D36125"/>
    <w:rsid w:val="00D424A7"/>
    <w:rsid w:val="00D4283A"/>
    <w:rsid w:val="00D45EA4"/>
    <w:rsid w:val="00D45ED8"/>
    <w:rsid w:val="00D55AEF"/>
    <w:rsid w:val="00D62705"/>
    <w:rsid w:val="00D64A2B"/>
    <w:rsid w:val="00D65678"/>
    <w:rsid w:val="00D75386"/>
    <w:rsid w:val="00D807F6"/>
    <w:rsid w:val="00D86F68"/>
    <w:rsid w:val="00D917A1"/>
    <w:rsid w:val="00D9234B"/>
    <w:rsid w:val="00D9617D"/>
    <w:rsid w:val="00D96D53"/>
    <w:rsid w:val="00D976A4"/>
    <w:rsid w:val="00DA4178"/>
    <w:rsid w:val="00DA4690"/>
    <w:rsid w:val="00DA6789"/>
    <w:rsid w:val="00DA7E22"/>
    <w:rsid w:val="00DC06C7"/>
    <w:rsid w:val="00DC3026"/>
    <w:rsid w:val="00DC3348"/>
    <w:rsid w:val="00DC51DB"/>
    <w:rsid w:val="00DD052B"/>
    <w:rsid w:val="00DD0F74"/>
    <w:rsid w:val="00DD1FD4"/>
    <w:rsid w:val="00DD2031"/>
    <w:rsid w:val="00DD2970"/>
    <w:rsid w:val="00DD4DBC"/>
    <w:rsid w:val="00DE179D"/>
    <w:rsid w:val="00DE6EB6"/>
    <w:rsid w:val="00DE7308"/>
    <w:rsid w:val="00DF0145"/>
    <w:rsid w:val="00DF2C14"/>
    <w:rsid w:val="00DF4A3D"/>
    <w:rsid w:val="00E0150F"/>
    <w:rsid w:val="00E04D4A"/>
    <w:rsid w:val="00E071CC"/>
    <w:rsid w:val="00E202DB"/>
    <w:rsid w:val="00E309CB"/>
    <w:rsid w:val="00E31A14"/>
    <w:rsid w:val="00E33017"/>
    <w:rsid w:val="00E3335F"/>
    <w:rsid w:val="00E33408"/>
    <w:rsid w:val="00E33664"/>
    <w:rsid w:val="00E44293"/>
    <w:rsid w:val="00E44618"/>
    <w:rsid w:val="00E44F50"/>
    <w:rsid w:val="00E51619"/>
    <w:rsid w:val="00E54465"/>
    <w:rsid w:val="00E57791"/>
    <w:rsid w:val="00E616D4"/>
    <w:rsid w:val="00E64253"/>
    <w:rsid w:val="00E673A6"/>
    <w:rsid w:val="00E70269"/>
    <w:rsid w:val="00E72949"/>
    <w:rsid w:val="00E729BC"/>
    <w:rsid w:val="00E77236"/>
    <w:rsid w:val="00E773AC"/>
    <w:rsid w:val="00E85B47"/>
    <w:rsid w:val="00E901F4"/>
    <w:rsid w:val="00E9325B"/>
    <w:rsid w:val="00EA2CD5"/>
    <w:rsid w:val="00EB37F1"/>
    <w:rsid w:val="00EB5D73"/>
    <w:rsid w:val="00EB7E8A"/>
    <w:rsid w:val="00EC1C3E"/>
    <w:rsid w:val="00EC2C4B"/>
    <w:rsid w:val="00EC6DCF"/>
    <w:rsid w:val="00ED01CB"/>
    <w:rsid w:val="00ED0EAA"/>
    <w:rsid w:val="00ED68FC"/>
    <w:rsid w:val="00ED7E07"/>
    <w:rsid w:val="00EE303B"/>
    <w:rsid w:val="00EE70F4"/>
    <w:rsid w:val="00EF22B6"/>
    <w:rsid w:val="00EF6355"/>
    <w:rsid w:val="00F01182"/>
    <w:rsid w:val="00F0181D"/>
    <w:rsid w:val="00F02DAD"/>
    <w:rsid w:val="00F12FC7"/>
    <w:rsid w:val="00F16E73"/>
    <w:rsid w:val="00F17AD3"/>
    <w:rsid w:val="00F22BEF"/>
    <w:rsid w:val="00F27E95"/>
    <w:rsid w:val="00F32004"/>
    <w:rsid w:val="00F36E15"/>
    <w:rsid w:val="00F36F3E"/>
    <w:rsid w:val="00F401AA"/>
    <w:rsid w:val="00F456C0"/>
    <w:rsid w:val="00F52F9F"/>
    <w:rsid w:val="00F54921"/>
    <w:rsid w:val="00F55C57"/>
    <w:rsid w:val="00F57CCB"/>
    <w:rsid w:val="00F6028E"/>
    <w:rsid w:val="00F61A9A"/>
    <w:rsid w:val="00F6361C"/>
    <w:rsid w:val="00F711C2"/>
    <w:rsid w:val="00F7448A"/>
    <w:rsid w:val="00F75085"/>
    <w:rsid w:val="00F82D23"/>
    <w:rsid w:val="00F91261"/>
    <w:rsid w:val="00F94E10"/>
    <w:rsid w:val="00F971A5"/>
    <w:rsid w:val="00FA39B1"/>
    <w:rsid w:val="00FA67D5"/>
    <w:rsid w:val="00FB1DD4"/>
    <w:rsid w:val="00FC061D"/>
    <w:rsid w:val="00FC1583"/>
    <w:rsid w:val="00FC3BD2"/>
    <w:rsid w:val="00FC7344"/>
    <w:rsid w:val="00FC794A"/>
    <w:rsid w:val="00FD19C0"/>
    <w:rsid w:val="00FD6CAA"/>
    <w:rsid w:val="00FD6F0A"/>
    <w:rsid w:val="00FE0174"/>
    <w:rsid w:val="00FE3169"/>
    <w:rsid w:val="00FF479F"/>
    <w:rsid w:val="00FF6927"/>
    <w:rsid w:val="00FF6EB6"/>
    <w:rsid w:val="00FF7219"/>
    <w:rsid w:val="02AD9156"/>
    <w:rsid w:val="1B646AAC"/>
    <w:rsid w:val="2D880B47"/>
    <w:rsid w:val="3153E382"/>
    <w:rsid w:val="60C197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9868DE"/>
  <w15:chartTrackingRefBased/>
  <w15:docId w15:val="{8CF97C4D-E6AA-4B78-BF51-4354A2744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basedOn w:val="Normal"/>
    <w:uiPriority w:val="34"/>
    <w:qFormat/>
    <w:rsid w:val="00E616D4"/>
    <w:pPr>
      <w:ind w:left="720"/>
      <w:contextualSpacing/>
    </w:pPr>
  </w:style>
  <w:style w:type="paragraph" w:styleId="NormalWeb">
    <w:name w:val="Normal (Web)"/>
    <w:basedOn w:val="Normal"/>
    <w:uiPriority w:val="99"/>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table" w:styleId="GridTable1Light-Accent5">
    <w:name w:val="Grid Table 1 Light Accent 5"/>
    <w:basedOn w:val="TableNormal"/>
    <w:uiPriority w:val="46"/>
    <w:rsid w:val="005D4E5A"/>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C86A45"/>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D917A1"/>
    <w:rPr>
      <w:sz w:val="16"/>
      <w:szCs w:val="16"/>
    </w:rPr>
  </w:style>
  <w:style w:type="paragraph" w:styleId="CommentText">
    <w:name w:val="annotation text"/>
    <w:basedOn w:val="Normal"/>
    <w:link w:val="CommentTextChar"/>
    <w:uiPriority w:val="99"/>
    <w:semiHidden/>
    <w:unhideWhenUsed/>
    <w:rsid w:val="00D917A1"/>
  </w:style>
  <w:style w:type="character" w:customStyle="1" w:styleId="CommentTextChar">
    <w:name w:val="Comment Text Char"/>
    <w:basedOn w:val="DefaultParagraphFont"/>
    <w:link w:val="CommentText"/>
    <w:uiPriority w:val="99"/>
    <w:semiHidden/>
    <w:rsid w:val="00D917A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917A1"/>
    <w:rPr>
      <w:b/>
      <w:bCs/>
    </w:rPr>
  </w:style>
  <w:style w:type="character" w:customStyle="1" w:styleId="CommentSubjectChar">
    <w:name w:val="Comment Subject Char"/>
    <w:basedOn w:val="CommentTextChar"/>
    <w:link w:val="CommentSubject"/>
    <w:uiPriority w:val="99"/>
    <w:semiHidden/>
    <w:rsid w:val="00D917A1"/>
    <w:rPr>
      <w:rFonts w:ascii="Times New Roman" w:eastAsia="SimSun" w:hAnsi="Times New Roman" w:cs="Times New Roman"/>
      <w:b/>
      <w:bCs/>
      <w:sz w:val="20"/>
      <w:szCs w:val="20"/>
      <w:lang w:val="en-GB"/>
    </w:rPr>
  </w:style>
  <w:style w:type="paragraph" w:customStyle="1" w:styleId="Proposal1">
    <w:name w:val="Proposal1"/>
    <w:basedOn w:val="Normal"/>
    <w:link w:val="Proposal1Char"/>
    <w:qFormat/>
    <w:rsid w:val="001F0012"/>
    <w:pPr>
      <w:tabs>
        <w:tab w:val="left" w:pos="1276"/>
      </w:tabs>
      <w:ind w:left="1276" w:hanging="1276"/>
      <w:jc w:val="both"/>
    </w:pPr>
    <w:rPr>
      <w:b/>
    </w:rPr>
  </w:style>
  <w:style w:type="character" w:customStyle="1" w:styleId="Proposal1Char">
    <w:name w:val="Proposal1 Char"/>
    <w:link w:val="Proposal1"/>
    <w:rsid w:val="001F0012"/>
    <w:rPr>
      <w:rFonts w:ascii="Times New Roman" w:eastAsia="SimSun" w:hAnsi="Times New Roman" w:cs="Times New Roman"/>
      <w:b/>
      <w:sz w:val="20"/>
      <w:szCs w:val="20"/>
      <w:lang w:val="en-GB"/>
    </w:rPr>
  </w:style>
  <w:style w:type="table" w:styleId="GridTable4-Accent1">
    <w:name w:val="Grid Table 4 Accent 1"/>
    <w:basedOn w:val="TableNormal"/>
    <w:uiPriority w:val="49"/>
    <w:rsid w:val="00B10FB5"/>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10FB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441033">
      <w:bodyDiv w:val="1"/>
      <w:marLeft w:val="0"/>
      <w:marRight w:val="0"/>
      <w:marTop w:val="0"/>
      <w:marBottom w:val="0"/>
      <w:divBdr>
        <w:top w:val="none" w:sz="0" w:space="0" w:color="auto"/>
        <w:left w:val="none" w:sz="0" w:space="0" w:color="auto"/>
        <w:bottom w:val="none" w:sz="0" w:space="0" w:color="auto"/>
        <w:right w:val="none" w:sz="0" w:space="0" w:color="auto"/>
      </w:divBdr>
    </w:div>
    <w:div w:id="224603799">
      <w:bodyDiv w:val="1"/>
      <w:marLeft w:val="0"/>
      <w:marRight w:val="0"/>
      <w:marTop w:val="0"/>
      <w:marBottom w:val="0"/>
      <w:divBdr>
        <w:top w:val="none" w:sz="0" w:space="0" w:color="auto"/>
        <w:left w:val="none" w:sz="0" w:space="0" w:color="auto"/>
        <w:bottom w:val="none" w:sz="0" w:space="0" w:color="auto"/>
        <w:right w:val="none" w:sz="0" w:space="0" w:color="auto"/>
      </w:divBdr>
    </w:div>
    <w:div w:id="239294179">
      <w:bodyDiv w:val="1"/>
      <w:marLeft w:val="0"/>
      <w:marRight w:val="0"/>
      <w:marTop w:val="0"/>
      <w:marBottom w:val="0"/>
      <w:divBdr>
        <w:top w:val="none" w:sz="0" w:space="0" w:color="auto"/>
        <w:left w:val="none" w:sz="0" w:space="0" w:color="auto"/>
        <w:bottom w:val="none" w:sz="0" w:space="0" w:color="auto"/>
        <w:right w:val="none" w:sz="0" w:space="0" w:color="auto"/>
      </w:divBdr>
    </w:div>
    <w:div w:id="246958257">
      <w:bodyDiv w:val="1"/>
      <w:marLeft w:val="0"/>
      <w:marRight w:val="0"/>
      <w:marTop w:val="0"/>
      <w:marBottom w:val="0"/>
      <w:divBdr>
        <w:top w:val="none" w:sz="0" w:space="0" w:color="auto"/>
        <w:left w:val="none" w:sz="0" w:space="0" w:color="auto"/>
        <w:bottom w:val="none" w:sz="0" w:space="0" w:color="auto"/>
        <w:right w:val="none" w:sz="0" w:space="0" w:color="auto"/>
      </w:divBdr>
    </w:div>
    <w:div w:id="416054896">
      <w:bodyDiv w:val="1"/>
      <w:marLeft w:val="0"/>
      <w:marRight w:val="0"/>
      <w:marTop w:val="0"/>
      <w:marBottom w:val="0"/>
      <w:divBdr>
        <w:top w:val="none" w:sz="0" w:space="0" w:color="auto"/>
        <w:left w:val="none" w:sz="0" w:space="0" w:color="auto"/>
        <w:bottom w:val="none" w:sz="0" w:space="0" w:color="auto"/>
        <w:right w:val="none" w:sz="0" w:space="0" w:color="auto"/>
      </w:divBdr>
    </w:div>
    <w:div w:id="579142869">
      <w:bodyDiv w:val="1"/>
      <w:marLeft w:val="0"/>
      <w:marRight w:val="0"/>
      <w:marTop w:val="0"/>
      <w:marBottom w:val="0"/>
      <w:divBdr>
        <w:top w:val="none" w:sz="0" w:space="0" w:color="auto"/>
        <w:left w:val="none" w:sz="0" w:space="0" w:color="auto"/>
        <w:bottom w:val="none" w:sz="0" w:space="0" w:color="auto"/>
        <w:right w:val="none" w:sz="0" w:space="0" w:color="auto"/>
      </w:divBdr>
    </w:div>
    <w:div w:id="780997640">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942304358">
      <w:bodyDiv w:val="1"/>
      <w:marLeft w:val="0"/>
      <w:marRight w:val="0"/>
      <w:marTop w:val="0"/>
      <w:marBottom w:val="0"/>
      <w:divBdr>
        <w:top w:val="none" w:sz="0" w:space="0" w:color="auto"/>
        <w:left w:val="none" w:sz="0" w:space="0" w:color="auto"/>
        <w:bottom w:val="none" w:sz="0" w:space="0" w:color="auto"/>
        <w:right w:val="none" w:sz="0" w:space="0" w:color="auto"/>
      </w:divBdr>
    </w:div>
    <w:div w:id="988749971">
      <w:bodyDiv w:val="1"/>
      <w:marLeft w:val="0"/>
      <w:marRight w:val="0"/>
      <w:marTop w:val="0"/>
      <w:marBottom w:val="0"/>
      <w:divBdr>
        <w:top w:val="none" w:sz="0" w:space="0" w:color="auto"/>
        <w:left w:val="none" w:sz="0" w:space="0" w:color="auto"/>
        <w:bottom w:val="none" w:sz="0" w:space="0" w:color="auto"/>
        <w:right w:val="none" w:sz="0" w:space="0" w:color="auto"/>
      </w:divBdr>
    </w:div>
    <w:div w:id="998267074">
      <w:bodyDiv w:val="1"/>
      <w:marLeft w:val="0"/>
      <w:marRight w:val="0"/>
      <w:marTop w:val="0"/>
      <w:marBottom w:val="0"/>
      <w:divBdr>
        <w:top w:val="none" w:sz="0" w:space="0" w:color="auto"/>
        <w:left w:val="none" w:sz="0" w:space="0" w:color="auto"/>
        <w:bottom w:val="none" w:sz="0" w:space="0" w:color="auto"/>
        <w:right w:val="none" w:sz="0" w:space="0" w:color="auto"/>
      </w:divBdr>
    </w:div>
    <w:div w:id="1002857331">
      <w:bodyDiv w:val="1"/>
      <w:marLeft w:val="0"/>
      <w:marRight w:val="0"/>
      <w:marTop w:val="0"/>
      <w:marBottom w:val="0"/>
      <w:divBdr>
        <w:top w:val="none" w:sz="0" w:space="0" w:color="auto"/>
        <w:left w:val="none" w:sz="0" w:space="0" w:color="auto"/>
        <w:bottom w:val="none" w:sz="0" w:space="0" w:color="auto"/>
        <w:right w:val="none" w:sz="0" w:space="0" w:color="auto"/>
      </w:divBdr>
    </w:div>
    <w:div w:id="1058623786">
      <w:bodyDiv w:val="1"/>
      <w:marLeft w:val="0"/>
      <w:marRight w:val="0"/>
      <w:marTop w:val="0"/>
      <w:marBottom w:val="0"/>
      <w:divBdr>
        <w:top w:val="none" w:sz="0" w:space="0" w:color="auto"/>
        <w:left w:val="none" w:sz="0" w:space="0" w:color="auto"/>
        <w:bottom w:val="none" w:sz="0" w:space="0" w:color="auto"/>
        <w:right w:val="none" w:sz="0" w:space="0" w:color="auto"/>
      </w:divBdr>
    </w:div>
    <w:div w:id="1157069066">
      <w:bodyDiv w:val="1"/>
      <w:marLeft w:val="0"/>
      <w:marRight w:val="0"/>
      <w:marTop w:val="0"/>
      <w:marBottom w:val="0"/>
      <w:divBdr>
        <w:top w:val="none" w:sz="0" w:space="0" w:color="auto"/>
        <w:left w:val="none" w:sz="0" w:space="0" w:color="auto"/>
        <w:bottom w:val="none" w:sz="0" w:space="0" w:color="auto"/>
        <w:right w:val="none" w:sz="0" w:space="0" w:color="auto"/>
      </w:divBdr>
    </w:div>
    <w:div w:id="1212575737">
      <w:bodyDiv w:val="1"/>
      <w:marLeft w:val="0"/>
      <w:marRight w:val="0"/>
      <w:marTop w:val="0"/>
      <w:marBottom w:val="0"/>
      <w:divBdr>
        <w:top w:val="none" w:sz="0" w:space="0" w:color="auto"/>
        <w:left w:val="none" w:sz="0" w:space="0" w:color="auto"/>
        <w:bottom w:val="none" w:sz="0" w:space="0" w:color="auto"/>
        <w:right w:val="none" w:sz="0" w:space="0" w:color="auto"/>
      </w:divBdr>
    </w:div>
    <w:div w:id="1221944722">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47440540">
      <w:bodyDiv w:val="1"/>
      <w:marLeft w:val="0"/>
      <w:marRight w:val="0"/>
      <w:marTop w:val="0"/>
      <w:marBottom w:val="0"/>
      <w:divBdr>
        <w:top w:val="none" w:sz="0" w:space="0" w:color="auto"/>
        <w:left w:val="none" w:sz="0" w:space="0" w:color="auto"/>
        <w:bottom w:val="none" w:sz="0" w:space="0" w:color="auto"/>
        <w:right w:val="none" w:sz="0" w:space="0" w:color="auto"/>
      </w:divBdr>
    </w:div>
    <w:div w:id="1391032237">
      <w:bodyDiv w:val="1"/>
      <w:marLeft w:val="0"/>
      <w:marRight w:val="0"/>
      <w:marTop w:val="0"/>
      <w:marBottom w:val="0"/>
      <w:divBdr>
        <w:top w:val="none" w:sz="0" w:space="0" w:color="auto"/>
        <w:left w:val="none" w:sz="0" w:space="0" w:color="auto"/>
        <w:bottom w:val="none" w:sz="0" w:space="0" w:color="auto"/>
        <w:right w:val="none" w:sz="0" w:space="0" w:color="auto"/>
      </w:divBdr>
    </w:div>
    <w:div w:id="1409887936">
      <w:bodyDiv w:val="1"/>
      <w:marLeft w:val="0"/>
      <w:marRight w:val="0"/>
      <w:marTop w:val="0"/>
      <w:marBottom w:val="0"/>
      <w:divBdr>
        <w:top w:val="none" w:sz="0" w:space="0" w:color="auto"/>
        <w:left w:val="none" w:sz="0" w:space="0" w:color="auto"/>
        <w:bottom w:val="none" w:sz="0" w:space="0" w:color="auto"/>
        <w:right w:val="none" w:sz="0" w:space="0" w:color="auto"/>
      </w:divBdr>
    </w:div>
    <w:div w:id="1818838061">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15697D-B941-48A8-91FC-7D1C6848CAC9}">
  <ds:schemaRefs>
    <ds:schemaRef ds:uri="http://purl.org/dc/elements/1.1/"/>
    <ds:schemaRef ds:uri="http://schemas.microsoft.com/office/2006/metadata/properties"/>
    <ds:schemaRef ds:uri="6f30b71e-bcaf-4bc3-8acb-e44453a8cc7d"/>
    <ds:schemaRef ds:uri="http://purl.org/dc/terms/"/>
    <ds:schemaRef ds:uri="fec27805-09a8-40a2-bd80-053a1fed723f"/>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B4D3901-0EE7-4FE4-93DC-C155567A04AA}">
  <ds:schemaRefs>
    <ds:schemaRef ds:uri="http://schemas.openxmlformats.org/officeDocument/2006/bibliography"/>
  </ds:schemaRefs>
</ds:datastoreItem>
</file>

<file path=customXml/itemProps3.xml><?xml version="1.0" encoding="utf-8"?>
<ds:datastoreItem xmlns:ds="http://schemas.openxmlformats.org/officeDocument/2006/customXml" ds:itemID="{3EEDD520-4E47-4DBB-AC3F-3AD3522E29E8}">
  <ds:schemaRefs>
    <ds:schemaRef ds:uri="http://schemas.microsoft.com/sharepoint/v3/contenttype/forms"/>
  </ds:schemaRefs>
</ds:datastoreItem>
</file>

<file path=customXml/itemProps4.xml><?xml version="1.0" encoding="utf-8"?>
<ds:datastoreItem xmlns:ds="http://schemas.openxmlformats.org/officeDocument/2006/customXml" ds:itemID="{D695A854-5BF2-462F-9129-C1A1AE7382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4</Pages>
  <Words>1284</Words>
  <Characters>7320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Lehne, Mark A</cp:lastModifiedBy>
  <cp:revision>205</cp:revision>
  <dcterms:created xsi:type="dcterms:W3CDTF">2022-01-07T19:45:00Z</dcterms:created>
  <dcterms:modified xsi:type="dcterms:W3CDTF">2022-01-10T20:39:00Z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y fmtid="{D5CDD505-2E9C-101B-9397-08002B2CF9AE}" pid="3" name="ComplianceAssetId">
    <vt:lpwstr/>
  </property>
  <property fmtid="{D5CDD505-2E9C-101B-9397-08002B2CF9AE}" pid="4" name="_ExtendedDescription">
    <vt:lpwstr/>
  </property>
</Properties>
</file>