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5BFF8395"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sidR="00D6068C">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20</w:t>
      </w:r>
      <w:r w:rsidR="002D3D23">
        <w:rPr>
          <w:rFonts w:cs="Arial"/>
          <w:sz w:val="24"/>
          <w:szCs w:val="24"/>
          <w:lang w:val="de-DE"/>
        </w:rPr>
        <w:t>1854</w:t>
      </w:r>
    </w:p>
    <w:p w14:paraId="5A5E9D28" w14:textId="2E879BF0" w:rsidR="00A40206" w:rsidRPr="00DB3907" w:rsidRDefault="00CE18BF" w:rsidP="00A40206">
      <w:pPr>
        <w:pStyle w:val="Header"/>
        <w:tabs>
          <w:tab w:val="left" w:pos="6521"/>
        </w:tabs>
        <w:rPr>
          <w:rFonts w:cs="Arial"/>
          <w:sz w:val="24"/>
          <w:szCs w:val="24"/>
        </w:rPr>
      </w:pPr>
      <w:r>
        <w:rPr>
          <w:rFonts w:cs="Arial"/>
          <w:sz w:val="24"/>
          <w:szCs w:val="24"/>
        </w:rPr>
        <w:t>January</w:t>
      </w:r>
      <w:r w:rsidR="00450863">
        <w:rPr>
          <w:rFonts w:cs="Arial"/>
          <w:sz w:val="24"/>
          <w:szCs w:val="24"/>
        </w:rPr>
        <w:t xml:space="preserve"> </w:t>
      </w:r>
      <w:r w:rsidR="00E35BC4">
        <w:rPr>
          <w:rFonts w:cs="Arial"/>
          <w:sz w:val="24"/>
          <w:szCs w:val="24"/>
        </w:rPr>
        <w:t>1</w:t>
      </w:r>
      <w:r>
        <w:rPr>
          <w:rFonts w:cs="Arial"/>
          <w:sz w:val="24"/>
          <w:szCs w:val="24"/>
        </w:rPr>
        <w:t>7</w:t>
      </w:r>
      <w:r w:rsidR="00450863">
        <w:rPr>
          <w:rFonts w:cs="Arial"/>
          <w:sz w:val="24"/>
          <w:szCs w:val="24"/>
          <w:vertAlign w:val="superscript"/>
        </w:rPr>
        <w:t>t</w:t>
      </w:r>
      <w:r>
        <w:rPr>
          <w:rFonts w:cs="Arial"/>
          <w:sz w:val="24"/>
          <w:szCs w:val="24"/>
          <w:vertAlign w:val="superscript"/>
        </w:rPr>
        <w:t>h</w:t>
      </w:r>
      <w:r w:rsidR="00A40206">
        <w:rPr>
          <w:rFonts w:cs="Arial"/>
          <w:sz w:val="24"/>
          <w:szCs w:val="24"/>
        </w:rPr>
        <w:t xml:space="preserve"> ‒ </w:t>
      </w:r>
      <w:r>
        <w:rPr>
          <w:rFonts w:cs="Arial"/>
          <w:sz w:val="24"/>
          <w:szCs w:val="24"/>
        </w:rPr>
        <w:t>25</w:t>
      </w:r>
      <w:r w:rsidR="00A40206">
        <w:rPr>
          <w:rFonts w:cs="Arial"/>
          <w:sz w:val="24"/>
          <w:szCs w:val="24"/>
          <w:vertAlign w:val="superscript"/>
        </w:rPr>
        <w:t>th</w:t>
      </w:r>
      <w:r w:rsidR="00A40206">
        <w:rPr>
          <w:rFonts w:cs="Arial"/>
          <w:sz w:val="24"/>
          <w:szCs w:val="24"/>
        </w:rPr>
        <w:t>, 202</w:t>
      </w:r>
      <w:r>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D4A5E9A"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70DD7">
        <w:rPr>
          <w:rFonts w:ascii="Arial" w:hAnsi="Arial"/>
          <w:sz w:val="24"/>
          <w:lang w:val="en-US"/>
        </w:rPr>
        <w:t>5.1.3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76E3C4AD"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C2E7D">
        <w:rPr>
          <w:rFonts w:ascii="Arial" w:hAnsi="Arial"/>
          <w:sz w:val="24"/>
          <w:lang w:val="en-US"/>
        </w:rPr>
        <w:t xml:space="preserve">NS signaling, MPR, and A-MPR </w:t>
      </w:r>
      <w:r w:rsidR="00407576">
        <w:rPr>
          <w:rFonts w:ascii="Arial" w:hAnsi="Arial"/>
          <w:sz w:val="24"/>
          <w:lang w:val="en-US"/>
        </w:rPr>
        <w:t xml:space="preserve">for the </w:t>
      </w:r>
      <w:r w:rsidR="000C2E7D">
        <w:rPr>
          <w:rFonts w:ascii="Arial" w:hAnsi="Arial"/>
          <w:sz w:val="24"/>
          <w:lang w:val="en-US"/>
        </w:rPr>
        <w:t xml:space="preserve">5925 – 6425 MHz </w:t>
      </w:r>
      <w:r w:rsidR="00543570">
        <w:rPr>
          <w:rFonts w:ascii="Arial" w:hAnsi="Arial"/>
          <w:sz w:val="24"/>
          <w:lang w:val="en-US"/>
        </w:rPr>
        <w:t>NR-U band</w:t>
      </w:r>
      <w:r w:rsidR="001546C6">
        <w:rPr>
          <w:rFonts w:ascii="Arial" w:hAnsi="Arial"/>
          <w:sz w:val="24"/>
          <w:lang w:val="en-US"/>
        </w:rPr>
        <w:t xml:space="preserve"> </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77A561A3" w:rsidR="00420B13" w:rsidRDefault="00BD2ABA" w:rsidP="00354733">
      <w:pPr>
        <w:rPr>
          <w:lang w:val="en-US"/>
        </w:rPr>
      </w:pPr>
      <w:r>
        <w:rPr>
          <w:lang w:val="en-US"/>
        </w:rPr>
        <w:t>The technical work is</w:t>
      </w:r>
      <w:r w:rsidR="000C2E7D">
        <w:rPr>
          <w:lang w:val="en-US"/>
        </w:rPr>
        <w:t xml:space="preserve"> nearing completion </w:t>
      </w:r>
      <w:r>
        <w:rPr>
          <w:lang w:val="en-US"/>
        </w:rPr>
        <w:t>for</w:t>
      </w:r>
      <w:r w:rsidR="000C2E7D">
        <w:rPr>
          <w:lang w:val="en-US"/>
        </w:rPr>
        <w:t xml:space="preserve"> the definition of an NR-U band covering the range </w:t>
      </w:r>
      <w:r w:rsidR="007247C5">
        <w:rPr>
          <w:lang w:val="en-US"/>
        </w:rPr>
        <w:t>5925 – 6425 MHz.  A recent adjustment to the work item was agreed in [</w:t>
      </w:r>
      <w:r w:rsidR="00FD155D">
        <w:rPr>
          <w:lang w:val="en-US"/>
        </w:rPr>
        <w:t>1</w:t>
      </w:r>
      <w:r w:rsidR="007247C5">
        <w:rPr>
          <w:lang w:val="en-US"/>
        </w:rPr>
        <w:t xml:space="preserve">] where the lower edge of the band was modified to 5925 </w:t>
      </w:r>
      <w:proofErr w:type="gramStart"/>
      <w:r w:rsidR="007247C5">
        <w:rPr>
          <w:lang w:val="en-US"/>
        </w:rPr>
        <w:t xml:space="preserve">MHz  </w:t>
      </w:r>
      <w:r w:rsidR="00420B13">
        <w:rPr>
          <w:lang w:val="en-US"/>
        </w:rPr>
        <w:t>enabl</w:t>
      </w:r>
      <w:r w:rsidR="00A54856">
        <w:rPr>
          <w:lang w:val="en-US"/>
        </w:rPr>
        <w:t>ing</w:t>
      </w:r>
      <w:proofErr w:type="gramEnd"/>
      <w:r w:rsidR="00420B13">
        <w:rPr>
          <w:lang w:val="en-US"/>
        </w:rPr>
        <w:t xml:space="preserve"> the band to be used in countries where </w:t>
      </w:r>
      <w:r w:rsidR="000C5A31">
        <w:rPr>
          <w:lang w:val="en-US"/>
        </w:rPr>
        <w:t xml:space="preserve">the lowest 20 MHz from </w:t>
      </w:r>
      <w:r w:rsidR="00420B13">
        <w:rPr>
          <w:lang w:val="en-US"/>
        </w:rPr>
        <w:t xml:space="preserve">5925 – 5945 MHz </w:t>
      </w:r>
      <w:r w:rsidR="000C5A31">
        <w:rPr>
          <w:lang w:val="en-US"/>
        </w:rPr>
        <w:t>becomes</w:t>
      </w:r>
      <w:r w:rsidR="00420B13">
        <w:rPr>
          <w:lang w:val="en-US"/>
        </w:rPr>
        <w:t xml:space="preserve"> available for NR-U.</w:t>
      </w:r>
    </w:p>
    <w:p w14:paraId="10F6602E" w14:textId="6B0D4239" w:rsidR="007E1E78" w:rsidRDefault="007E1E78" w:rsidP="0099327E">
      <w:pPr>
        <w:pStyle w:val="Heading1"/>
        <w:tabs>
          <w:tab w:val="clear" w:pos="432"/>
          <w:tab w:val="num" w:pos="522"/>
        </w:tabs>
        <w:ind w:left="522" w:hanging="522"/>
        <w:rPr>
          <w:lang w:val="en-US"/>
        </w:rPr>
      </w:pPr>
      <w:r>
        <w:rPr>
          <w:lang w:val="en-US"/>
        </w:rPr>
        <w:t>Discussion</w:t>
      </w:r>
    </w:p>
    <w:p w14:paraId="0DB8E096" w14:textId="17DEDA5A" w:rsidR="00BD2ABA" w:rsidRDefault="00550135" w:rsidP="006450CB">
      <w:pPr>
        <w:spacing w:after="0"/>
      </w:pPr>
      <w:r>
        <w:t>The general requirements for NR-U include ACLR, SEM, and general spurious emissions.</w:t>
      </w:r>
      <w:r w:rsidR="00B639EA">
        <w:t xml:space="preserve">  The requirements for NR-U are largely captured in separate suffix F sub-clauses in TS 38.101-1 since the requirements are different from those for licensed NR.  Not only is the LBT-based channel access mechanism different, but the interlaced waveform itself is different as well as the emission requirements.  For example, SEM is specified as a relative (dBr) requirement for NR-U rather than an absolute (dBm) requirement.  </w:t>
      </w:r>
      <w:r w:rsidR="002C4205">
        <w:t>To enable the UE to meet these general requirements, MPR has been introduced into the specification</w:t>
      </w:r>
      <w:r w:rsidR="00AB122A">
        <w:t xml:space="preserve"> in sub-clause 6.2F.2 of 38.101-1 for UE power class 5 20 MHz as well as wideband operation.</w:t>
      </w:r>
    </w:p>
    <w:p w14:paraId="5B6B5AAD" w14:textId="11F5EFA1" w:rsidR="00AB122A" w:rsidRDefault="00AB122A" w:rsidP="006450CB">
      <w:pPr>
        <w:spacing w:after="0"/>
      </w:pPr>
      <w:r>
        <w:t xml:space="preserve">In addition to the general requirements, usage in unlicensed bands is usually also governed by regulatory restrictions.  For example, limitations on transmit power spectral density (PSD), total output power or EIRP, additional spurious emissions are common.  Moreover, there are different modes of operation with different requirements for indoor usage or outdoor usage, for example a distinction between low power indoor (LPI) and very low power (VLP).  </w:t>
      </w:r>
    </w:p>
    <w:p w14:paraId="694A3920" w14:textId="6D31E7BA" w:rsidR="006E1C46" w:rsidRDefault="00F4035D" w:rsidP="006450CB">
      <w:pPr>
        <w:spacing w:after="0"/>
      </w:pPr>
      <w:r>
        <w:t xml:space="preserve">For the NR-U band currently being defined, </w:t>
      </w:r>
      <w:r w:rsidR="00987DD1">
        <w:t>the work item modification [1] allows the band to be used in countries outside of Europe or more specifically, outside the scope of ECC Decision (20)01</w:t>
      </w:r>
      <w:r w:rsidR="001456C9">
        <w:t xml:space="preserve"> [2]</w:t>
      </w:r>
      <w:r w:rsidR="00987DD1">
        <w:t xml:space="preserve">.  </w:t>
      </w:r>
      <w:r w:rsidR="00085BE1">
        <w:t>T</w:t>
      </w:r>
      <w:r w:rsidR="00987DD1">
        <w:t>he band already agreed to be designated as Band n102 [</w:t>
      </w:r>
      <w:r w:rsidR="00035DD1">
        <w:t>3</w:t>
      </w:r>
      <w:r w:rsidR="00987DD1">
        <w:t xml:space="preserve">] </w:t>
      </w:r>
      <w:r w:rsidR="00BE7A3A">
        <w:t xml:space="preserve">shall </w:t>
      </w:r>
      <w:r w:rsidR="00987DD1">
        <w:t xml:space="preserve">be defined with frequency range 5925 – 6425 MHz. </w:t>
      </w:r>
      <w:r w:rsidR="00172D5B">
        <w:t xml:space="preserve"> NS values for this band should be defined </w:t>
      </w:r>
      <w:r w:rsidR="001456C9">
        <w:t>to comply</w:t>
      </w:r>
      <w:r w:rsidR="00172D5B">
        <w:t xml:space="preserve"> with </w:t>
      </w:r>
      <w:r w:rsidR="001456C9">
        <w:t xml:space="preserve">[2] including a reduced frequency range within the band starting from 5945 MHz </w:t>
      </w:r>
      <w:r w:rsidR="007540AB">
        <w:t xml:space="preserve">as well as additional spurious emission requirements at 5935 MHz </w:t>
      </w:r>
      <w:r w:rsidR="001456C9">
        <w:t>for those deployments based in Europe.  This includes two NS values – one for LPI operation and the other for VLP</w:t>
      </w:r>
      <w:r w:rsidR="00BA1377">
        <w:t xml:space="preserve"> assuming the technical work for VLP specifications is completed, otherwise, the NS should be left as a placeholder.  </w:t>
      </w:r>
      <w:r w:rsidR="006736EC">
        <w:t xml:space="preserve">It may be beneficial to include a note in the specifications to indicate that one of these two NS’s is expected to be signaled for deployment in Europe based on [2].  </w:t>
      </w:r>
      <w:r w:rsidR="000D639F">
        <w:t xml:space="preserve">Additionally, a modified </w:t>
      </w:r>
      <w:r w:rsidR="00035DD1">
        <w:t xml:space="preserve">out-of-band </w:t>
      </w:r>
      <w:r w:rsidR="000D639F">
        <w:t xml:space="preserve">blocking requirement </w:t>
      </w:r>
      <w:r w:rsidR="00134647">
        <w:t>of -33 dBm</w:t>
      </w:r>
      <w:r w:rsidR="00035DD1">
        <w:t xml:space="preserve"> </w:t>
      </w:r>
      <w:r w:rsidR="000D639F">
        <w:t>[</w:t>
      </w:r>
      <w:r w:rsidR="00035DD1">
        <w:t>3</w:t>
      </w:r>
      <w:r w:rsidR="000D639F">
        <w:t>] was also agreed to be applicable for Europe</w:t>
      </w:r>
      <w:r w:rsidR="00A20A0F">
        <w:t xml:space="preserve">.  It seems reasonable that this blocking requirement could be generally applicable to Band n102, but it could also </w:t>
      </w:r>
      <w:proofErr w:type="gramStart"/>
      <w:r w:rsidR="00A20A0F">
        <w:t>be considered to be</w:t>
      </w:r>
      <w:proofErr w:type="gramEnd"/>
      <w:r w:rsidR="00A20A0F">
        <w:t xml:space="preserve"> applicable only when one of the European NS values are signaled.  </w:t>
      </w:r>
      <w:r w:rsidR="007540AB">
        <w:t>On the other hand, for deployments outside of Europe, only the MPR requirements under NS_01 would be applicable at this time</w:t>
      </w:r>
      <w:r w:rsidR="001A5DC9">
        <w:t xml:space="preserve"> since it is unclear exactly which regulations should apply</w:t>
      </w:r>
      <w:r w:rsidR="00971E1B">
        <w:t>, although it is likely that at least PSD limits would be applicable.</w:t>
      </w:r>
      <w:r w:rsidR="00A92368">
        <w:t xml:space="preserve">  </w:t>
      </w:r>
    </w:p>
    <w:p w14:paraId="5207CB41" w14:textId="28823BD1" w:rsidR="00987DD1" w:rsidRDefault="00987DD1" w:rsidP="006450CB">
      <w:pPr>
        <w:spacing w:after="0"/>
      </w:pPr>
    </w:p>
    <w:p w14:paraId="273D826A" w14:textId="1DF24B77" w:rsidR="00913641" w:rsidRDefault="00C83D6C" w:rsidP="001135B2">
      <w:pPr>
        <w:pStyle w:val="ListParagraph"/>
        <w:numPr>
          <w:ilvl w:val="0"/>
          <w:numId w:val="31"/>
        </w:numPr>
        <w:spacing w:after="0"/>
      </w:pPr>
      <w:r>
        <w:t>Specify</w:t>
      </w:r>
      <w:r w:rsidR="00913641">
        <w:t xml:space="preserve"> band n102 </w:t>
      </w:r>
      <w:r>
        <w:t xml:space="preserve">with </w:t>
      </w:r>
      <w:r w:rsidR="00913641">
        <w:t>frequency range 5925 – 6425 MHz</w:t>
      </w:r>
    </w:p>
    <w:p w14:paraId="5E8A1EE6" w14:textId="62B39E18" w:rsidR="00913641" w:rsidRDefault="00913641" w:rsidP="001135B2">
      <w:pPr>
        <w:pStyle w:val="ListParagraph"/>
        <w:numPr>
          <w:ilvl w:val="0"/>
          <w:numId w:val="31"/>
        </w:numPr>
        <w:spacing w:after="0"/>
      </w:pPr>
      <w:r>
        <w:t>Define NS_xx and NS_yy for Europe</w:t>
      </w:r>
      <w:r w:rsidR="00D86DB1">
        <w:t xml:space="preserve"> applicable over the range 5945 – 6425 MHz</w:t>
      </w:r>
    </w:p>
    <w:p w14:paraId="3CEFE9D4" w14:textId="265746CB" w:rsidR="00D86DB1" w:rsidRDefault="00D86DB1" w:rsidP="001135B2">
      <w:pPr>
        <w:pStyle w:val="ListParagraph"/>
        <w:numPr>
          <w:ilvl w:val="0"/>
          <w:numId w:val="31"/>
        </w:numPr>
        <w:spacing w:after="0"/>
      </w:pPr>
      <w:r>
        <w:t>Include a note</w:t>
      </w:r>
      <w:r w:rsidR="00BA79D0">
        <w:t xml:space="preserve"> in the specification</w:t>
      </w:r>
      <w:r>
        <w:t xml:space="preserve"> indicating that one of NS_xx or NS_yy is expected to be signaled for deployments in Europe</w:t>
      </w:r>
      <w:r w:rsidR="00E5537B">
        <w:t>.</w:t>
      </w:r>
    </w:p>
    <w:p w14:paraId="7D43AA4A" w14:textId="79ADA578" w:rsidR="00B60432" w:rsidRDefault="00B60432" w:rsidP="001135B2">
      <w:pPr>
        <w:pStyle w:val="ListParagraph"/>
        <w:numPr>
          <w:ilvl w:val="0"/>
          <w:numId w:val="31"/>
        </w:numPr>
        <w:spacing w:after="0"/>
      </w:pPr>
      <w:r>
        <w:t>NS_yy may be left as a placeholder in case the specifications for VLP are not completed at the close of the work item</w:t>
      </w:r>
    </w:p>
    <w:p w14:paraId="1B3F05AF" w14:textId="6A9C1B58" w:rsidR="00A20A0F" w:rsidRDefault="0092280B" w:rsidP="001135B2">
      <w:pPr>
        <w:pStyle w:val="ListParagraph"/>
        <w:numPr>
          <w:ilvl w:val="0"/>
          <w:numId w:val="31"/>
        </w:numPr>
        <w:spacing w:after="0"/>
      </w:pPr>
      <w:r>
        <w:t>[</w:t>
      </w:r>
      <w:r w:rsidR="00A20A0F">
        <w:t xml:space="preserve">Modified UE blocking requirements </w:t>
      </w:r>
      <w:r>
        <w:t>are applicable generally to Band n102] or [Modified UE blocking requirements are applicable to Band n102 only when NS_xx or NS_yy are signaled]</w:t>
      </w:r>
    </w:p>
    <w:p w14:paraId="4BBEFF6F" w14:textId="27793984" w:rsidR="00E5537B" w:rsidRDefault="00E5537B" w:rsidP="001135B2">
      <w:pPr>
        <w:pStyle w:val="ListParagraph"/>
        <w:numPr>
          <w:ilvl w:val="0"/>
          <w:numId w:val="31"/>
        </w:numPr>
        <w:spacing w:after="0"/>
      </w:pPr>
      <w:r>
        <w:t>For deployments outside of Europe, general requirements under NS_01 are currently available.  Additional NS values may need to be added in the future to properly reflect regulatory conditions as they become available.</w:t>
      </w:r>
    </w:p>
    <w:p w14:paraId="3F711097" w14:textId="77777777" w:rsidR="00987DD1" w:rsidRDefault="00987DD1" w:rsidP="006450CB">
      <w:pPr>
        <w:spacing w:after="0"/>
      </w:pPr>
    </w:p>
    <w:p w14:paraId="3F8BEA58" w14:textId="6F00ACA1" w:rsidR="009C37D0" w:rsidRDefault="00FA01C7" w:rsidP="009C37D0">
      <w:pPr>
        <w:pStyle w:val="Heading1"/>
        <w:tabs>
          <w:tab w:val="clear" w:pos="432"/>
          <w:tab w:val="num" w:pos="522"/>
        </w:tabs>
        <w:ind w:left="522" w:hanging="522"/>
        <w:rPr>
          <w:lang w:val="en-US"/>
        </w:rPr>
      </w:pPr>
      <w:r>
        <w:rPr>
          <w:lang w:val="en-US"/>
        </w:rPr>
        <w:lastRenderedPageBreak/>
        <w:t>Conclusion</w:t>
      </w:r>
    </w:p>
    <w:p w14:paraId="7A4C6634" w14:textId="75D08B84" w:rsidR="00C65776" w:rsidRPr="00C65776" w:rsidRDefault="001755E9" w:rsidP="00C65776">
      <w:pPr>
        <w:rPr>
          <w:lang w:val="en-US"/>
        </w:rPr>
      </w:pPr>
      <w:r>
        <w:rPr>
          <w:lang w:val="en-US"/>
        </w:rPr>
        <w:t xml:space="preserve">A work item to define an NR-U band for the lower 6 GHz frequency range in Europe has been ongoing </w:t>
      </w:r>
      <w:r w:rsidR="00780EA5">
        <w:rPr>
          <w:lang w:val="en-US"/>
        </w:rPr>
        <w:t xml:space="preserve">and is nearing completion.  The work item was recently expanded in scope to allow to extend the lower edge of the band down to 5925 MHz to enable the band to be used outside of Europe as well.  </w:t>
      </w:r>
      <w:r w:rsidR="00E30549">
        <w:rPr>
          <w:lang w:val="en-US"/>
        </w:rPr>
        <w:t>Since there are requirements that are specific to Europe</w:t>
      </w:r>
      <w:r w:rsidR="00016903">
        <w:rPr>
          <w:lang w:val="en-US"/>
        </w:rPr>
        <w:t xml:space="preserve"> that may not be applicable (or may differ) outside of Europe, it is necessary to distinguish these by NS.  Until requirements for deployment outside of Europe are available, the general requirements under NS_01 </w:t>
      </w:r>
      <w:r w:rsidR="00E728CA">
        <w:rPr>
          <w:lang w:val="en-US"/>
        </w:rPr>
        <w:t>are applicable.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9FA582E" w14:textId="1925830E" w:rsidR="00FD155D" w:rsidRDefault="00FD155D" w:rsidP="00D23312">
      <w:pPr>
        <w:numPr>
          <w:ilvl w:val="0"/>
          <w:numId w:val="2"/>
        </w:numPr>
        <w:tabs>
          <w:tab w:val="left" w:pos="1080"/>
        </w:tabs>
        <w:rPr>
          <w:lang w:val="en-US" w:eastAsia="x-none"/>
        </w:rPr>
      </w:pPr>
      <w:bookmarkStart w:id="0" w:name="_Hlk859252"/>
      <w:r>
        <w:rPr>
          <w:lang w:val="en-US" w:eastAsia="x-none"/>
        </w:rPr>
        <w:t>RP-213604, “</w:t>
      </w:r>
      <w:r w:rsidR="000B6760" w:rsidRPr="000B6760">
        <w:rPr>
          <w:lang w:val="en-US" w:eastAsia="x-none"/>
        </w:rPr>
        <w:t>Revised WID on introduction of lower 6GHz NR unlicensed operation for Europe</w:t>
      </w:r>
      <w:r w:rsidR="000B6760">
        <w:rPr>
          <w:lang w:val="en-US" w:eastAsia="x-none"/>
        </w:rPr>
        <w:t>,” Nokia, Nokia Shanghai Bell</w:t>
      </w:r>
    </w:p>
    <w:p w14:paraId="0B04A2E7" w14:textId="77777777" w:rsidR="001456C9" w:rsidRDefault="001456C9" w:rsidP="001456C9">
      <w:pPr>
        <w:numPr>
          <w:ilvl w:val="0"/>
          <w:numId w:val="2"/>
        </w:numPr>
        <w:tabs>
          <w:tab w:val="left" w:pos="1080"/>
        </w:tabs>
        <w:rPr>
          <w:lang w:val="en-US" w:eastAsia="x-none"/>
        </w:rPr>
      </w:pPr>
      <w:r>
        <w:rPr>
          <w:lang w:val="en-US" w:eastAsia="x-none"/>
        </w:rPr>
        <w:t>ECC Decision (20)01, “</w:t>
      </w:r>
      <w:r w:rsidRPr="00EA27DA">
        <w:rPr>
          <w:lang w:val="en-US" w:eastAsia="x-none"/>
        </w:rPr>
        <w:t>On the harmonised use of the frequency band 5945-6425 MHz for Wireless Access Systems including Radio Local Area Networks (WAS/RLAN)</w:t>
      </w:r>
      <w:r>
        <w:rPr>
          <w:lang w:val="en-US" w:eastAsia="x-none"/>
        </w:rPr>
        <w:t>,” 20 November 2020.</w:t>
      </w:r>
    </w:p>
    <w:p w14:paraId="60342EF4" w14:textId="32AAE0FB" w:rsidR="00FD155D" w:rsidRDefault="001D02BF" w:rsidP="00D23312">
      <w:pPr>
        <w:numPr>
          <w:ilvl w:val="0"/>
          <w:numId w:val="2"/>
        </w:numPr>
        <w:tabs>
          <w:tab w:val="left" w:pos="1080"/>
        </w:tabs>
        <w:rPr>
          <w:lang w:val="en-US" w:eastAsia="x-none"/>
        </w:rPr>
      </w:pPr>
      <w:r>
        <w:rPr>
          <w:lang w:val="en-US" w:eastAsia="x-none"/>
        </w:rPr>
        <w:t>R4-2119860, “</w:t>
      </w:r>
      <w:r w:rsidR="00977869" w:rsidRPr="00977869">
        <w:rPr>
          <w:lang w:val="en-US" w:eastAsia="x-none"/>
        </w:rPr>
        <w:t>WF on introduction of lower 6GHz NR unlicensed operation for Europe</w:t>
      </w:r>
      <w:r w:rsidR="00977869">
        <w:rPr>
          <w:lang w:val="en-US" w:eastAsia="x-none"/>
        </w:rPr>
        <w:t>,” Nokia</w:t>
      </w:r>
    </w:p>
    <w:bookmarkEnd w:id="0"/>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5A73C" w14:textId="77777777" w:rsidR="00151E7D" w:rsidRDefault="00151E7D">
      <w:r>
        <w:separator/>
      </w:r>
    </w:p>
  </w:endnote>
  <w:endnote w:type="continuationSeparator" w:id="0">
    <w:p w14:paraId="62024402" w14:textId="77777777" w:rsidR="00151E7D" w:rsidRDefault="0015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6F6C" w14:textId="77777777" w:rsidR="00151E7D" w:rsidRDefault="00151E7D">
      <w:r>
        <w:separator/>
      </w:r>
    </w:p>
  </w:footnote>
  <w:footnote w:type="continuationSeparator" w:id="0">
    <w:p w14:paraId="5EEF665A" w14:textId="77777777" w:rsidR="00151E7D" w:rsidRDefault="00151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4"/>
  </w:num>
  <w:num w:numId="4">
    <w:abstractNumId w:val="27"/>
  </w:num>
  <w:num w:numId="5">
    <w:abstractNumId w:val="20"/>
  </w:num>
  <w:num w:numId="6">
    <w:abstractNumId w:val="7"/>
  </w:num>
  <w:num w:numId="7">
    <w:abstractNumId w:val="1"/>
  </w:num>
  <w:num w:numId="8">
    <w:abstractNumId w:val="23"/>
  </w:num>
  <w:num w:numId="9">
    <w:abstractNumId w:val="8"/>
  </w:num>
  <w:num w:numId="10">
    <w:abstractNumId w:val="17"/>
  </w:num>
  <w:num w:numId="11">
    <w:abstractNumId w:val="29"/>
  </w:num>
  <w:num w:numId="12">
    <w:abstractNumId w:val="6"/>
  </w:num>
  <w:num w:numId="13">
    <w:abstractNumId w:val="15"/>
  </w:num>
  <w:num w:numId="14">
    <w:abstractNumId w:val="3"/>
  </w:num>
  <w:num w:numId="15">
    <w:abstractNumId w:val="14"/>
  </w:num>
  <w:num w:numId="16">
    <w:abstractNumId w:val="2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3"/>
  </w:num>
  <w:num w:numId="19">
    <w:abstractNumId w:val="1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0"/>
  </w:num>
  <w:num w:numId="23">
    <w:abstractNumId w:val="19"/>
  </w:num>
  <w:num w:numId="24">
    <w:abstractNumId w:val="25"/>
  </w:num>
  <w:num w:numId="25">
    <w:abstractNumId w:val="26"/>
  </w:num>
  <w:num w:numId="26">
    <w:abstractNumId w:val="2"/>
  </w:num>
  <w:num w:numId="27">
    <w:abstractNumId w:val="16"/>
  </w:num>
  <w:num w:numId="28">
    <w:abstractNumId w:val="18"/>
  </w:num>
  <w:num w:numId="29">
    <w:abstractNumId w:val="22"/>
  </w:num>
  <w:num w:numId="30">
    <w:abstractNumId w:val="4"/>
  </w:num>
  <w:num w:numId="3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903"/>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317"/>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0FB9"/>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2E7D"/>
    <w:rsid w:val="000C3601"/>
    <w:rsid w:val="000C47C2"/>
    <w:rsid w:val="000C4A55"/>
    <w:rsid w:val="000C4A63"/>
    <w:rsid w:val="000C4A8B"/>
    <w:rsid w:val="000C5396"/>
    <w:rsid w:val="000C577D"/>
    <w:rsid w:val="000C5A31"/>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39F"/>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647"/>
    <w:rsid w:val="00134A8F"/>
    <w:rsid w:val="0013513B"/>
    <w:rsid w:val="0013546D"/>
    <w:rsid w:val="00135E13"/>
    <w:rsid w:val="00136B51"/>
    <w:rsid w:val="00136BDF"/>
    <w:rsid w:val="00137126"/>
    <w:rsid w:val="0013754C"/>
    <w:rsid w:val="001375EB"/>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EB5"/>
    <w:rsid w:val="00154025"/>
    <w:rsid w:val="00154061"/>
    <w:rsid w:val="0015439A"/>
    <w:rsid w:val="001546C6"/>
    <w:rsid w:val="00154986"/>
    <w:rsid w:val="00154A62"/>
    <w:rsid w:val="00154F3B"/>
    <w:rsid w:val="001553C6"/>
    <w:rsid w:val="001559C8"/>
    <w:rsid w:val="00155AB9"/>
    <w:rsid w:val="00155C95"/>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5A3"/>
    <w:rsid w:val="001739BE"/>
    <w:rsid w:val="00173B56"/>
    <w:rsid w:val="001748B7"/>
    <w:rsid w:val="00174969"/>
    <w:rsid w:val="001749BF"/>
    <w:rsid w:val="00174BD8"/>
    <w:rsid w:val="001755E9"/>
    <w:rsid w:val="00175B5B"/>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BE9"/>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EB7"/>
    <w:rsid w:val="00230EC6"/>
    <w:rsid w:val="00230EC9"/>
    <w:rsid w:val="00230FED"/>
    <w:rsid w:val="00231333"/>
    <w:rsid w:val="00231913"/>
    <w:rsid w:val="00231BD8"/>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205"/>
    <w:rsid w:val="002C4394"/>
    <w:rsid w:val="002C4B36"/>
    <w:rsid w:val="002C4E58"/>
    <w:rsid w:val="002C4F68"/>
    <w:rsid w:val="002C5D0B"/>
    <w:rsid w:val="002C7C8C"/>
    <w:rsid w:val="002D087B"/>
    <w:rsid w:val="002D0BCE"/>
    <w:rsid w:val="002D0C99"/>
    <w:rsid w:val="002D14E8"/>
    <w:rsid w:val="002D1B2B"/>
    <w:rsid w:val="002D2365"/>
    <w:rsid w:val="002D254B"/>
    <w:rsid w:val="002D282D"/>
    <w:rsid w:val="002D2DBA"/>
    <w:rsid w:val="002D3535"/>
    <w:rsid w:val="002D3A61"/>
    <w:rsid w:val="002D3D23"/>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C02"/>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D8F"/>
    <w:rsid w:val="00354733"/>
    <w:rsid w:val="00354768"/>
    <w:rsid w:val="00355206"/>
    <w:rsid w:val="003557D8"/>
    <w:rsid w:val="003573AD"/>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2F81"/>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539"/>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B43"/>
    <w:rsid w:val="00422E0A"/>
    <w:rsid w:val="00423164"/>
    <w:rsid w:val="0042335E"/>
    <w:rsid w:val="00423441"/>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5A4"/>
    <w:rsid w:val="00444C43"/>
    <w:rsid w:val="00445605"/>
    <w:rsid w:val="0044573D"/>
    <w:rsid w:val="00445800"/>
    <w:rsid w:val="004458FE"/>
    <w:rsid w:val="0044602B"/>
    <w:rsid w:val="0044606C"/>
    <w:rsid w:val="00446622"/>
    <w:rsid w:val="00446644"/>
    <w:rsid w:val="00446EAF"/>
    <w:rsid w:val="00450852"/>
    <w:rsid w:val="00450863"/>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87C"/>
    <w:rsid w:val="004A1885"/>
    <w:rsid w:val="004A1D0F"/>
    <w:rsid w:val="004A204A"/>
    <w:rsid w:val="004A2BDE"/>
    <w:rsid w:val="004A2F5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4DA"/>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BAD"/>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35B"/>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6603"/>
    <w:rsid w:val="006173AF"/>
    <w:rsid w:val="006178BC"/>
    <w:rsid w:val="00617AA7"/>
    <w:rsid w:val="006200A9"/>
    <w:rsid w:val="006205C1"/>
    <w:rsid w:val="00620D81"/>
    <w:rsid w:val="0062180E"/>
    <w:rsid w:val="00621FC7"/>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1C46"/>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FF5"/>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80B"/>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BBB"/>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3C7"/>
    <w:rsid w:val="009833FD"/>
    <w:rsid w:val="009835EA"/>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87DD1"/>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0F"/>
    <w:rsid w:val="00A2101B"/>
    <w:rsid w:val="00A213F6"/>
    <w:rsid w:val="00A21606"/>
    <w:rsid w:val="00A21BE5"/>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4856"/>
    <w:rsid w:val="00A55067"/>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C31"/>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36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22A"/>
    <w:rsid w:val="00AB19DD"/>
    <w:rsid w:val="00AB1AAE"/>
    <w:rsid w:val="00AB21F9"/>
    <w:rsid w:val="00AB243F"/>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264"/>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9D0"/>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974"/>
    <w:rsid w:val="00BD3E95"/>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3D6C"/>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68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B1"/>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206"/>
    <w:rsid w:val="00E12531"/>
    <w:rsid w:val="00E12E73"/>
    <w:rsid w:val="00E131BE"/>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A79"/>
    <w:rsid w:val="00E33CB9"/>
    <w:rsid w:val="00E343BD"/>
    <w:rsid w:val="00E35962"/>
    <w:rsid w:val="00E35A2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C8B"/>
    <w:rsid w:val="00E53C5E"/>
    <w:rsid w:val="00E53EAD"/>
    <w:rsid w:val="00E5436C"/>
    <w:rsid w:val="00E5448C"/>
    <w:rsid w:val="00E545B7"/>
    <w:rsid w:val="00E5470D"/>
    <w:rsid w:val="00E54D84"/>
    <w:rsid w:val="00E55033"/>
    <w:rsid w:val="00E55073"/>
    <w:rsid w:val="00E5537B"/>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B1B"/>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0A"/>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887"/>
    <w:rsid w:val="00EB6EEC"/>
    <w:rsid w:val="00EB760C"/>
    <w:rsid w:val="00EB7611"/>
    <w:rsid w:val="00EB7844"/>
    <w:rsid w:val="00EB793A"/>
    <w:rsid w:val="00EC02AE"/>
    <w:rsid w:val="00EC0C2B"/>
    <w:rsid w:val="00EC1747"/>
    <w:rsid w:val="00EC1777"/>
    <w:rsid w:val="00EC2052"/>
    <w:rsid w:val="00EC232B"/>
    <w:rsid w:val="00EC2383"/>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55D"/>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817</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cp:revision>
  <cp:lastPrinted>2017-09-11T16:45:00Z</cp:lastPrinted>
  <dcterms:created xsi:type="dcterms:W3CDTF">2022-01-10T21:11:00Z</dcterms:created>
  <dcterms:modified xsi:type="dcterms:W3CDTF">2022-01-10T21:12:00Z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