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22A" w:rsidRPr="0029122A" w:rsidRDefault="0029122A" w:rsidP="0029122A">
      <w:pPr>
        <w:tabs>
          <w:tab w:val="left" w:pos="1985"/>
        </w:tabs>
        <w:spacing w:after="100" w:afterAutospacing="1"/>
        <w:jc w:val="both"/>
        <w:rPr>
          <w:rFonts w:ascii="Arial" w:hAnsi="Arial"/>
          <w:b/>
          <w:noProof/>
          <w:sz w:val="24"/>
          <w:lang w:eastAsia="zh-CN"/>
        </w:rPr>
      </w:pPr>
      <w:bookmarkStart w:id="0" w:name="_Ref399006623"/>
      <w:bookmarkStart w:id="1" w:name="_Toc92513360"/>
      <w:r w:rsidRPr="0029122A">
        <w:rPr>
          <w:rFonts w:ascii="Arial" w:hAnsi="Arial"/>
          <w:b/>
          <w:noProof/>
          <w:sz w:val="24"/>
          <w:lang w:eastAsia="zh-CN"/>
        </w:rPr>
        <w:t>3GPP TSG-RAN WG4 Meeting # 10</w:t>
      </w:r>
      <w:r w:rsidR="00A16513">
        <w:rPr>
          <w:rFonts w:ascii="Arial" w:hAnsi="Arial"/>
          <w:b/>
          <w:noProof/>
          <w:sz w:val="24"/>
          <w:lang w:eastAsia="zh-CN"/>
        </w:rPr>
        <w:t>1</w:t>
      </w:r>
      <w:r w:rsidR="0093343B">
        <w:rPr>
          <w:rFonts w:ascii="Arial" w:hAnsi="Arial"/>
          <w:b/>
          <w:noProof/>
          <w:sz w:val="24"/>
          <w:lang w:eastAsia="zh-CN"/>
        </w:rPr>
        <w:t>-bis-</w:t>
      </w:r>
      <w:r w:rsidRPr="0029122A">
        <w:rPr>
          <w:rFonts w:ascii="Arial" w:hAnsi="Arial"/>
          <w:b/>
          <w:noProof/>
          <w:sz w:val="24"/>
          <w:lang w:eastAsia="zh-CN"/>
        </w:rPr>
        <w:t>e                           R4-2</w:t>
      </w:r>
      <w:r w:rsidR="0093343B">
        <w:rPr>
          <w:rFonts w:ascii="Arial" w:hAnsi="Arial"/>
          <w:b/>
          <w:noProof/>
          <w:sz w:val="24"/>
          <w:lang w:eastAsia="zh-CN"/>
        </w:rPr>
        <w:t>20</w:t>
      </w:r>
      <w:r w:rsidR="00694B07">
        <w:rPr>
          <w:rFonts w:ascii="Arial" w:hAnsi="Arial"/>
          <w:b/>
          <w:noProof/>
          <w:sz w:val="24"/>
          <w:lang w:eastAsia="zh-CN"/>
        </w:rPr>
        <w:t>1</w:t>
      </w:r>
      <w:r w:rsidR="00002925">
        <w:rPr>
          <w:rFonts w:ascii="Arial" w:hAnsi="Arial"/>
          <w:b/>
          <w:noProof/>
          <w:sz w:val="24"/>
          <w:lang w:eastAsia="zh-CN"/>
        </w:rPr>
        <w:t>310</w:t>
      </w:r>
      <w:bookmarkStart w:id="2" w:name="_GoBack"/>
      <w:bookmarkEnd w:id="2"/>
    </w:p>
    <w:p w:rsidR="00FE02E7" w:rsidRPr="00810842" w:rsidRDefault="0029122A" w:rsidP="0029122A">
      <w:pPr>
        <w:tabs>
          <w:tab w:val="left" w:pos="1985"/>
        </w:tabs>
        <w:spacing w:after="100" w:afterAutospacing="1"/>
        <w:jc w:val="both"/>
        <w:rPr>
          <w:rFonts w:ascii="Arial" w:hAnsi="Arial"/>
          <w:b/>
          <w:noProof/>
          <w:sz w:val="24"/>
          <w:lang w:eastAsia="zh-CN"/>
        </w:rPr>
      </w:pPr>
      <w:r w:rsidRPr="0029122A">
        <w:rPr>
          <w:rFonts w:ascii="Arial" w:hAnsi="Arial"/>
          <w:b/>
          <w:noProof/>
          <w:sz w:val="24"/>
          <w:lang w:eastAsia="zh-CN"/>
        </w:rPr>
        <w:t>Electronic Meeting, 1</w:t>
      </w:r>
      <w:r w:rsidR="0093343B">
        <w:rPr>
          <w:rFonts w:ascii="Arial" w:hAnsi="Arial"/>
          <w:b/>
          <w:noProof/>
          <w:sz w:val="24"/>
          <w:lang w:eastAsia="zh-CN"/>
        </w:rPr>
        <w:t>7</w:t>
      </w:r>
      <w:r w:rsidRPr="0029122A">
        <w:rPr>
          <w:rFonts w:ascii="Arial" w:hAnsi="Arial"/>
          <w:b/>
          <w:noProof/>
          <w:sz w:val="24"/>
          <w:lang w:eastAsia="zh-CN"/>
        </w:rPr>
        <w:t xml:space="preserve">– </w:t>
      </w:r>
      <w:r w:rsidR="0093343B">
        <w:rPr>
          <w:rFonts w:ascii="Arial" w:hAnsi="Arial"/>
          <w:b/>
          <w:noProof/>
          <w:sz w:val="24"/>
          <w:lang w:eastAsia="zh-CN"/>
        </w:rPr>
        <w:t>25</w:t>
      </w:r>
      <w:r w:rsidRPr="0029122A">
        <w:rPr>
          <w:rFonts w:ascii="Arial" w:hAnsi="Arial"/>
          <w:b/>
          <w:noProof/>
          <w:sz w:val="24"/>
          <w:lang w:eastAsia="zh-CN"/>
        </w:rPr>
        <w:t xml:space="preserve"> </w:t>
      </w:r>
      <w:r w:rsidR="0093343B">
        <w:rPr>
          <w:rFonts w:ascii="Arial" w:hAnsi="Arial"/>
          <w:b/>
          <w:noProof/>
          <w:sz w:val="24"/>
          <w:lang w:eastAsia="zh-CN"/>
        </w:rPr>
        <w:t>January</w:t>
      </w:r>
      <w:r w:rsidRPr="0029122A">
        <w:rPr>
          <w:rFonts w:ascii="Arial" w:hAnsi="Arial"/>
          <w:b/>
          <w:noProof/>
          <w:sz w:val="24"/>
          <w:lang w:eastAsia="zh-CN"/>
        </w:rPr>
        <w:t>, 202</w:t>
      </w:r>
      <w:r w:rsidR="00A25823">
        <w:rPr>
          <w:rFonts w:ascii="Arial" w:hAnsi="Arial"/>
          <w:b/>
          <w:noProof/>
          <w:sz w:val="24"/>
          <w:lang w:eastAsia="zh-CN"/>
        </w:rPr>
        <w:t>2</w:t>
      </w:r>
    </w:p>
    <w:p w:rsidR="005929A6" w:rsidRPr="00FE02E7"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16513" w:rsidRPr="00A16513">
        <w:rPr>
          <w:rFonts w:ascii="Arial" w:hAnsi="Arial" w:cs="Arial"/>
          <w:sz w:val="22"/>
        </w:rPr>
        <w:t xml:space="preserve">Discussion on UE </w:t>
      </w:r>
      <w:proofErr w:type="spellStart"/>
      <w:proofErr w:type="gramStart"/>
      <w:r w:rsidR="00BF5C77">
        <w:rPr>
          <w:rFonts w:ascii="Arial" w:hAnsi="Arial" w:cs="Arial"/>
          <w:sz w:val="22"/>
        </w:rPr>
        <w:t>Tx</w:t>
      </w:r>
      <w:proofErr w:type="spellEnd"/>
      <w:proofErr w:type="gramEnd"/>
      <w:r w:rsidR="00BF5C77">
        <w:rPr>
          <w:rFonts w:ascii="Arial" w:hAnsi="Arial" w:cs="Arial"/>
          <w:sz w:val="22"/>
        </w:rPr>
        <w:t xml:space="preserve"> </w:t>
      </w:r>
      <w:r w:rsidR="001C1FC0">
        <w:rPr>
          <w:rFonts w:ascii="Arial" w:hAnsi="Arial" w:cs="Arial"/>
          <w:sz w:val="22"/>
        </w:rPr>
        <w:t xml:space="preserve">RF </w:t>
      </w:r>
      <w:r w:rsidR="00A16513" w:rsidRPr="00A16513">
        <w:rPr>
          <w:rFonts w:ascii="Arial" w:hAnsi="Arial" w:cs="Arial"/>
          <w:sz w:val="22"/>
        </w:rPr>
        <w:t>requirements for satellite access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F5C77">
        <w:rPr>
          <w:rFonts w:ascii="Arial" w:eastAsia="宋体" w:hAnsi="Arial" w:cs="Arial"/>
          <w:sz w:val="22"/>
          <w:lang w:eastAsia="zh-CN"/>
        </w:rPr>
        <w:t>6</w:t>
      </w:r>
      <w:r w:rsidR="009E4300" w:rsidRPr="009E4300">
        <w:rPr>
          <w:rFonts w:ascii="Arial" w:eastAsia="宋体" w:hAnsi="Arial" w:cs="Arial"/>
          <w:sz w:val="22"/>
          <w:lang w:eastAsia="zh-CN"/>
        </w:rPr>
        <w:t>.13.4.</w:t>
      </w:r>
      <w:r w:rsidR="00BF5C77">
        <w:rPr>
          <w:rFonts w:ascii="Arial" w:eastAsia="宋体" w:hAnsi="Arial" w:cs="Arial"/>
          <w:sz w:val="22"/>
          <w:lang w:eastAsia="zh-CN"/>
        </w:rPr>
        <w:t>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E31AB9" w:rsidRPr="00E31AB9" w:rsidRDefault="00CA5684" w:rsidP="00E31AB9">
      <w:pPr>
        <w:rPr>
          <w:iCs/>
          <w:lang w:val="en-US"/>
        </w:rPr>
      </w:pPr>
      <w:r>
        <w:rPr>
          <w:rFonts w:eastAsia="宋体"/>
          <w:lang w:val="en-US" w:eastAsia="zh-CN"/>
        </w:rPr>
        <w:t>I</w:t>
      </w:r>
      <w:r w:rsidR="00202159">
        <w:rPr>
          <w:rFonts w:eastAsia="宋体"/>
          <w:lang w:val="en-US" w:eastAsia="zh-CN"/>
        </w:rPr>
        <w:t>n last meeting</w:t>
      </w:r>
      <w:r>
        <w:rPr>
          <w:rFonts w:eastAsia="宋体"/>
          <w:lang w:val="en-US" w:eastAsia="zh-CN"/>
        </w:rPr>
        <w:t>,</w:t>
      </w:r>
      <w:r w:rsidRPr="00CA5684">
        <w:rPr>
          <w:rFonts w:eastAsia="宋体"/>
          <w:lang w:val="en-US" w:eastAsia="zh-CN"/>
        </w:rPr>
        <w:t xml:space="preserve"> </w:t>
      </w:r>
      <w:r>
        <w:rPr>
          <w:rFonts w:eastAsia="宋体"/>
          <w:lang w:val="en-US" w:eastAsia="zh-CN"/>
        </w:rPr>
        <w:t xml:space="preserve">RAN4 can make some conclusions on UE </w:t>
      </w:r>
      <w:proofErr w:type="spellStart"/>
      <w:proofErr w:type="gramStart"/>
      <w:r>
        <w:rPr>
          <w:rFonts w:eastAsia="宋体"/>
          <w:lang w:val="en-US" w:eastAsia="zh-CN"/>
        </w:rPr>
        <w:t>Tx</w:t>
      </w:r>
      <w:proofErr w:type="spellEnd"/>
      <w:proofErr w:type="gramEnd"/>
      <w:r>
        <w:rPr>
          <w:rFonts w:eastAsia="宋体"/>
          <w:lang w:val="en-US" w:eastAsia="zh-CN"/>
        </w:rPr>
        <w:t xml:space="preserve"> RF requirements, e.g. maximum output power and output power dynamic. </w:t>
      </w:r>
      <w:r w:rsidR="00423BC9">
        <w:rPr>
          <w:rFonts w:eastAsia="宋体"/>
          <w:lang w:val="en-US" w:eastAsia="zh-CN"/>
        </w:rPr>
        <w:t xml:space="preserve">In this paper, we’d like to </w:t>
      </w:r>
      <w:r>
        <w:rPr>
          <w:rFonts w:eastAsia="宋体"/>
          <w:lang w:val="en-US" w:eastAsia="zh-CN"/>
        </w:rPr>
        <w:t xml:space="preserve">further </w:t>
      </w:r>
      <w:r w:rsidR="00423BC9">
        <w:rPr>
          <w:rFonts w:eastAsia="宋体"/>
          <w:lang w:val="en-US" w:eastAsia="zh-CN"/>
        </w:rPr>
        <w:t xml:space="preserve">discuss the UE </w:t>
      </w:r>
      <w:proofErr w:type="spellStart"/>
      <w:proofErr w:type="gramStart"/>
      <w:r>
        <w:rPr>
          <w:rFonts w:eastAsia="宋体"/>
          <w:lang w:val="en-US" w:eastAsia="zh-CN"/>
        </w:rPr>
        <w:t>Tx</w:t>
      </w:r>
      <w:proofErr w:type="spellEnd"/>
      <w:proofErr w:type="gramEnd"/>
      <w:r>
        <w:rPr>
          <w:rFonts w:eastAsia="宋体"/>
          <w:lang w:val="en-US" w:eastAsia="zh-CN"/>
        </w:rPr>
        <w:t xml:space="preserve"> </w:t>
      </w:r>
      <w:r w:rsidR="00423BC9">
        <w:rPr>
          <w:rFonts w:eastAsia="宋体"/>
          <w:lang w:val="en-US" w:eastAsia="zh-CN"/>
        </w:rPr>
        <w:t>RF requirements</w:t>
      </w:r>
      <w:r w:rsidR="00202159">
        <w:rPr>
          <w:rFonts w:eastAsia="宋体"/>
          <w:lang w:val="en-US" w:eastAsia="zh-CN"/>
        </w:rPr>
        <w:t xml:space="preserve"> based on the approved WF [1]</w:t>
      </w:r>
      <w:r w:rsidR="00423BC9">
        <w:rPr>
          <w:rFonts w:eastAsia="宋体"/>
          <w:lang w:val="en-US" w:eastAsia="zh-CN"/>
        </w:rPr>
        <w:t>.</w:t>
      </w:r>
    </w:p>
    <w:p w:rsidR="00423BC9" w:rsidRDefault="00AB7694" w:rsidP="00AB7694">
      <w:pPr>
        <w:pStyle w:val="1"/>
        <w:rPr>
          <w:rFonts w:eastAsia="宋体"/>
          <w:lang w:eastAsia="zh-CN"/>
        </w:rPr>
      </w:pPr>
      <w:r w:rsidRPr="00AB7694">
        <w:rPr>
          <w:rFonts w:eastAsia="宋体"/>
          <w:lang w:eastAsia="zh-CN"/>
        </w:rPr>
        <w:t>Transmitter characteristics</w:t>
      </w:r>
    </w:p>
    <w:p w:rsidR="007B2FB8" w:rsidRDefault="00AB7694" w:rsidP="00AB7694">
      <w:pPr>
        <w:rPr>
          <w:rFonts w:eastAsia="宋体"/>
          <w:b/>
        </w:rPr>
      </w:pPr>
      <w:r w:rsidRPr="00AB7694">
        <w:rPr>
          <w:rFonts w:eastAsia="宋体"/>
          <w:b/>
          <w:lang w:eastAsia="zh-CN"/>
        </w:rPr>
        <w:t>1)</w:t>
      </w:r>
      <w:r>
        <w:rPr>
          <w:rFonts w:eastAsia="宋体"/>
          <w:b/>
        </w:rPr>
        <w:t xml:space="preserve"> </w:t>
      </w:r>
      <w:r w:rsidR="00CA5684">
        <w:rPr>
          <w:rFonts w:eastAsia="宋体"/>
          <w:b/>
        </w:rPr>
        <w:t>General principle for ACLR vs MPR</w:t>
      </w:r>
    </w:p>
    <w:p w:rsidR="00CA5684" w:rsidRDefault="00B35FFE" w:rsidP="00AB7694">
      <w:pPr>
        <w:rPr>
          <w:rFonts w:eastAsia="宋体"/>
          <w:lang w:eastAsia="zh-CN"/>
        </w:rPr>
      </w:pPr>
      <w:r>
        <w:rPr>
          <w:rFonts w:eastAsia="宋体"/>
          <w:lang w:eastAsia="zh-CN"/>
        </w:rPr>
        <w:t xml:space="preserve">Based on the email summary [2] in last meeting, the topic for NTN UE ACLR was discussed in issue 1-1-3 and moderator proposed option 1 as below: </w:t>
      </w:r>
    </w:p>
    <w:p w:rsidR="00B35FFE" w:rsidRPr="00B35FFE" w:rsidRDefault="00B35FFE" w:rsidP="00B35FFE">
      <w:pPr>
        <w:rPr>
          <w:b/>
          <w:i/>
          <w:color w:val="0070C0"/>
          <w:u w:val="single"/>
          <w:lang w:val="en-US" w:eastAsia="ko-KR"/>
        </w:rPr>
      </w:pPr>
      <w:r w:rsidRPr="00B35FFE">
        <w:rPr>
          <w:b/>
          <w:i/>
          <w:color w:val="0070C0"/>
          <w:u w:val="single"/>
          <w:lang w:val="en-US" w:eastAsia="ko-KR"/>
        </w:rPr>
        <w:t xml:space="preserve">Issue 1-1-3: </w:t>
      </w:r>
      <w:r w:rsidRPr="00B35FFE">
        <w:rPr>
          <w:i/>
          <w:color w:val="000000" w:themeColor="text1"/>
          <w:lang w:val="en-US" w:eastAsia="zh-CN"/>
        </w:rPr>
        <w:t>NTN UE ACS and ACLR</w:t>
      </w:r>
    </w:p>
    <w:p w:rsidR="00B35FFE" w:rsidRPr="00B35FFE" w:rsidRDefault="00B35FFE" w:rsidP="00B35FFE">
      <w:pPr>
        <w:pStyle w:val="afc"/>
        <w:numPr>
          <w:ilvl w:val="0"/>
          <w:numId w:val="14"/>
        </w:numPr>
        <w:autoSpaceDN w:val="0"/>
        <w:spacing w:after="120"/>
        <w:ind w:left="720" w:firstLineChars="0"/>
        <w:rPr>
          <w:rFonts w:ascii="Times New Roman" w:hAnsi="Times New Roman" w:cs="Times New Roman"/>
          <w:i/>
          <w:color w:val="0070C0"/>
          <w:sz w:val="22"/>
        </w:rPr>
      </w:pPr>
      <w:r w:rsidRPr="00B35FFE">
        <w:rPr>
          <w:rFonts w:ascii="Times New Roman" w:hAnsi="Times New Roman" w:cs="Times New Roman"/>
          <w:i/>
          <w:color w:val="0070C0"/>
          <w:sz w:val="22"/>
        </w:rPr>
        <w:t>Proposals</w:t>
      </w:r>
    </w:p>
    <w:p w:rsidR="00B35FFE" w:rsidRDefault="00B35FFE" w:rsidP="00B35FFE">
      <w:pPr>
        <w:ind w:left="568" w:firstLine="284"/>
        <w:rPr>
          <w:rFonts w:eastAsia="Arial"/>
          <w:i/>
          <w:lang w:val="en-US"/>
        </w:rPr>
      </w:pPr>
      <w:r w:rsidRPr="00B35FFE">
        <w:rPr>
          <w:i/>
          <w:color w:val="0070C0"/>
          <w:szCs w:val="24"/>
          <w:lang w:val="en-US" w:eastAsia="zh-CN"/>
        </w:rPr>
        <w:t xml:space="preserve">Option 1: </w:t>
      </w:r>
      <w:bookmarkStart w:id="3" w:name="_Hlk86850826"/>
      <w:r w:rsidRPr="00B35FFE">
        <w:rPr>
          <w:rFonts w:eastAsia="Arial"/>
          <w:i/>
          <w:lang w:val="en-US"/>
        </w:rPr>
        <w:t xml:space="preserve">RAN4 should use for </w:t>
      </w:r>
      <w:r w:rsidRPr="00B35FFE">
        <w:rPr>
          <w:rFonts w:eastAsia="Arial"/>
          <w:b/>
          <w:i/>
          <w:lang w:val="en-US"/>
        </w:rPr>
        <w:t>NTN UE the same ACLR and ACS values</w:t>
      </w:r>
      <w:r w:rsidRPr="00B35FFE">
        <w:rPr>
          <w:rFonts w:eastAsia="Arial"/>
          <w:i/>
          <w:lang w:val="en-US"/>
        </w:rPr>
        <w:t xml:space="preserve"> as for handheld TN UE.</w:t>
      </w:r>
      <w:bookmarkEnd w:id="3"/>
    </w:p>
    <w:p w:rsidR="00274815" w:rsidRPr="00A1115A" w:rsidRDefault="00274815" w:rsidP="00274815">
      <w:pPr>
        <w:pStyle w:val="TH"/>
      </w:pPr>
      <w:r w:rsidRPr="00A1115A">
        <w:t xml:space="preserve">Table </w:t>
      </w:r>
      <w:r>
        <w:t>2</w:t>
      </w:r>
      <w:r w:rsidRPr="00A1115A">
        <w:t>-1 Maximum power reduction (MPR) for power class 3</w:t>
      </w:r>
      <w:r>
        <w:t xml:space="preserve"> specified in TS 38.101-1</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274815" w:rsidRPr="00A1115A" w:rsidTr="005404FE">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rsidR="00274815" w:rsidRPr="00A1115A" w:rsidRDefault="00274815" w:rsidP="005404FE">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H"/>
            </w:pPr>
            <w:r w:rsidRPr="00A1115A">
              <w:t>MPR (dB)</w:t>
            </w:r>
          </w:p>
        </w:tc>
      </w:tr>
      <w:tr w:rsidR="00274815" w:rsidRPr="00A1115A" w:rsidTr="005404FE">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rsidR="00274815" w:rsidRPr="00A1115A" w:rsidRDefault="00274815" w:rsidP="005404FE">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274815" w:rsidRPr="00A1115A" w:rsidRDefault="00274815" w:rsidP="005404FE">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274815" w:rsidRPr="00A1115A" w:rsidRDefault="00274815" w:rsidP="005404FE">
            <w:pPr>
              <w:pStyle w:val="TAH"/>
            </w:pPr>
            <w:r w:rsidRPr="00A1115A">
              <w:t>Inner RB allocations</w:t>
            </w:r>
          </w:p>
        </w:tc>
      </w:tr>
      <w:tr w:rsidR="00274815" w:rsidRPr="00A1115A" w:rsidTr="005404F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rsidR="00274815" w:rsidRPr="00A1115A" w:rsidRDefault="00274815" w:rsidP="005404FE">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rsidR="00274815" w:rsidRPr="00A1115A" w:rsidRDefault="00274815" w:rsidP="005404FE">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274815" w:rsidRPr="00A1115A" w:rsidRDefault="00274815" w:rsidP="005404FE">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274815" w:rsidRPr="00A1115A" w:rsidRDefault="00274815" w:rsidP="005404FE">
            <w:pPr>
              <w:pStyle w:val="TAC"/>
            </w:pPr>
            <w:r w:rsidRPr="00A1115A">
              <w:t>≤ 0.2</w:t>
            </w:r>
            <w:r w:rsidRPr="00A1115A">
              <w:rPr>
                <w:vertAlign w:val="superscript"/>
              </w:rPr>
              <w:t>1</w:t>
            </w:r>
          </w:p>
        </w:tc>
      </w:tr>
      <w:tr w:rsidR="00274815" w:rsidRPr="00A1115A" w:rsidTr="005404FE">
        <w:trPr>
          <w:trHeight w:val="187"/>
        </w:trPr>
        <w:tc>
          <w:tcPr>
            <w:tcW w:w="1072" w:type="dxa"/>
            <w:tcBorders>
              <w:top w:val="nil"/>
              <w:left w:val="single" w:sz="4" w:space="0" w:color="auto"/>
              <w:bottom w:val="nil"/>
              <w:right w:val="single" w:sz="4" w:space="0" w:color="auto"/>
            </w:tcBorders>
            <w:shd w:val="clear" w:color="auto" w:fill="auto"/>
          </w:tcPr>
          <w:p w:rsidR="00274815" w:rsidRPr="00A1115A" w:rsidRDefault="00274815" w:rsidP="005404FE">
            <w:pPr>
              <w:pStyle w:val="TAC"/>
            </w:pPr>
          </w:p>
        </w:tc>
        <w:tc>
          <w:tcPr>
            <w:tcW w:w="1560" w:type="dxa"/>
            <w:tcBorders>
              <w:top w:val="nil"/>
              <w:left w:val="single" w:sz="4" w:space="0" w:color="auto"/>
              <w:bottom w:val="single" w:sz="4" w:space="0" w:color="auto"/>
              <w:right w:val="single" w:sz="4" w:space="0" w:color="auto"/>
            </w:tcBorders>
            <w:shd w:val="clear" w:color="auto" w:fill="auto"/>
          </w:tcPr>
          <w:p w:rsidR="00274815" w:rsidRPr="00A1115A" w:rsidRDefault="00274815" w:rsidP="005404FE">
            <w:pPr>
              <w:pStyle w:val="TAC"/>
            </w:pPr>
          </w:p>
        </w:tc>
        <w:tc>
          <w:tcPr>
            <w:tcW w:w="2268" w:type="dxa"/>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rPr>
                <w:lang w:val="en-CA"/>
              </w:rPr>
            </w:pPr>
            <w:r w:rsidRPr="00A1115A">
              <w:t>0</w:t>
            </w:r>
            <w:r w:rsidRPr="00A1115A">
              <w:rPr>
                <w:vertAlign w:val="superscript"/>
              </w:rPr>
              <w:t>2</w:t>
            </w:r>
          </w:p>
        </w:tc>
      </w:tr>
      <w:tr w:rsidR="00274815" w:rsidRPr="00A1115A" w:rsidTr="005404FE">
        <w:trPr>
          <w:trHeight w:val="187"/>
        </w:trPr>
        <w:tc>
          <w:tcPr>
            <w:tcW w:w="1072" w:type="dxa"/>
            <w:tcBorders>
              <w:top w:val="nil"/>
              <w:left w:val="single" w:sz="4" w:space="0" w:color="auto"/>
              <w:bottom w:val="nil"/>
              <w:right w:val="single" w:sz="4" w:space="0" w:color="auto"/>
            </w:tcBorders>
            <w:shd w:val="clear" w:color="auto" w:fill="auto"/>
          </w:tcPr>
          <w:p w:rsidR="00274815" w:rsidRPr="00A1115A" w:rsidRDefault="00274815" w:rsidP="005404FE">
            <w:pPr>
              <w:pStyle w:val="TAC"/>
            </w:pPr>
          </w:p>
        </w:tc>
        <w:tc>
          <w:tcPr>
            <w:tcW w:w="1560" w:type="dxa"/>
            <w:tcBorders>
              <w:left w:val="single" w:sz="4" w:space="0" w:color="auto"/>
              <w:bottom w:val="single" w:sz="4" w:space="0" w:color="auto"/>
              <w:right w:val="single" w:sz="4" w:space="0" w:color="auto"/>
            </w:tcBorders>
          </w:tcPr>
          <w:p w:rsidR="00274815" w:rsidRPr="00A1115A" w:rsidRDefault="00274815" w:rsidP="005404FE">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pPr>
            <w:r w:rsidRPr="00A1115A">
              <w:t>≤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pPr>
            <w:r w:rsidRPr="00A1115A">
              <w:t>0</w:t>
            </w:r>
            <w:r w:rsidRPr="00A1115A">
              <w:rPr>
                <w:vertAlign w:val="superscript"/>
              </w:rPr>
              <w:t>2</w:t>
            </w:r>
          </w:p>
        </w:tc>
      </w:tr>
      <w:tr w:rsidR="00274815" w:rsidRPr="00A1115A" w:rsidTr="005404FE">
        <w:trPr>
          <w:trHeight w:val="187"/>
        </w:trPr>
        <w:tc>
          <w:tcPr>
            <w:tcW w:w="1072" w:type="dxa"/>
            <w:tcBorders>
              <w:top w:val="nil"/>
              <w:left w:val="single" w:sz="4" w:space="0" w:color="auto"/>
              <w:bottom w:val="nil"/>
              <w:right w:val="single" w:sz="4" w:space="0" w:color="auto"/>
            </w:tcBorders>
            <w:shd w:val="clear" w:color="auto" w:fill="auto"/>
            <w:hideMark/>
          </w:tcPr>
          <w:p w:rsidR="00274815" w:rsidRPr="00A1115A" w:rsidRDefault="00274815" w:rsidP="005404FE">
            <w:pPr>
              <w:pStyle w:val="TAC"/>
            </w:pPr>
          </w:p>
        </w:tc>
        <w:tc>
          <w:tcPr>
            <w:tcW w:w="1560" w:type="dxa"/>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rsidR="00274815" w:rsidRPr="00274815" w:rsidRDefault="00274815" w:rsidP="005404FE">
            <w:pPr>
              <w:pStyle w:val="TAC"/>
              <w:rPr>
                <w:highlight w:val="yellow"/>
              </w:rPr>
            </w:pPr>
            <w:r w:rsidRPr="00274815">
              <w:rPr>
                <w:highlight w:val="yellow"/>
              </w:rPr>
              <w:t xml:space="preserve">≤ </w:t>
            </w:r>
            <w:r w:rsidRPr="00274815">
              <w:rPr>
                <w:highlight w:val="yellow"/>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274815" w:rsidRPr="00A1115A" w:rsidRDefault="00274815" w:rsidP="005404FE">
            <w:pPr>
              <w:pStyle w:val="TAC"/>
            </w:pPr>
            <w:r w:rsidRPr="00A1115A">
              <w:rPr>
                <w:lang w:val="en-CA"/>
              </w:rPr>
              <w:t>0</w:t>
            </w:r>
          </w:p>
        </w:tc>
      </w:tr>
      <w:tr w:rsidR="00274815" w:rsidRPr="00A1115A" w:rsidTr="005404FE">
        <w:trPr>
          <w:trHeight w:val="187"/>
        </w:trPr>
        <w:tc>
          <w:tcPr>
            <w:tcW w:w="1072" w:type="dxa"/>
            <w:tcBorders>
              <w:top w:val="nil"/>
              <w:left w:val="single" w:sz="4" w:space="0" w:color="auto"/>
              <w:bottom w:val="nil"/>
              <w:right w:val="single" w:sz="4" w:space="0" w:color="auto"/>
            </w:tcBorders>
            <w:shd w:val="clear" w:color="auto" w:fill="auto"/>
            <w:hideMark/>
          </w:tcPr>
          <w:p w:rsidR="00274815" w:rsidRPr="00A1115A" w:rsidRDefault="00274815" w:rsidP="005404FE">
            <w:pPr>
              <w:pStyle w:val="TAC"/>
            </w:pPr>
          </w:p>
        </w:tc>
        <w:tc>
          <w:tcPr>
            <w:tcW w:w="1560" w:type="dxa"/>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rsidR="00274815" w:rsidRPr="00274815" w:rsidRDefault="00274815" w:rsidP="005404FE">
            <w:pPr>
              <w:pStyle w:val="TAC"/>
              <w:rPr>
                <w:highlight w:val="yellow"/>
              </w:rPr>
            </w:pPr>
            <w:r w:rsidRPr="00274815">
              <w:rPr>
                <w:highlight w:val="yellow"/>
              </w:rPr>
              <w:t xml:space="preserve">≤ </w:t>
            </w:r>
            <w:r w:rsidRPr="00274815">
              <w:rPr>
                <w:highlight w:val="yellow"/>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274815" w:rsidRPr="00A1115A" w:rsidRDefault="00274815" w:rsidP="005404FE">
            <w:pPr>
              <w:pStyle w:val="TAC"/>
            </w:pPr>
            <w:r w:rsidRPr="00A1115A">
              <w:t xml:space="preserve">≤ </w:t>
            </w:r>
            <w:r w:rsidRPr="00A1115A">
              <w:rPr>
                <w:lang w:val="en-CA"/>
              </w:rPr>
              <w:t>1</w:t>
            </w:r>
          </w:p>
        </w:tc>
      </w:tr>
      <w:tr w:rsidR="00274815" w:rsidRPr="00A1115A" w:rsidTr="005404FE">
        <w:trPr>
          <w:trHeight w:val="187"/>
        </w:trPr>
        <w:tc>
          <w:tcPr>
            <w:tcW w:w="1072" w:type="dxa"/>
            <w:tcBorders>
              <w:top w:val="nil"/>
              <w:left w:val="single" w:sz="4" w:space="0" w:color="auto"/>
              <w:bottom w:val="nil"/>
              <w:right w:val="single" w:sz="4" w:space="0" w:color="auto"/>
            </w:tcBorders>
            <w:shd w:val="clear" w:color="auto" w:fill="auto"/>
            <w:hideMark/>
          </w:tcPr>
          <w:p w:rsidR="00274815" w:rsidRPr="00A1115A" w:rsidRDefault="00274815" w:rsidP="005404FE">
            <w:pPr>
              <w:pStyle w:val="TAC"/>
            </w:pPr>
          </w:p>
        </w:tc>
        <w:tc>
          <w:tcPr>
            <w:tcW w:w="1560" w:type="dxa"/>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pPr>
            <w:r w:rsidRPr="00A1115A">
              <w:t xml:space="preserve">≤ </w:t>
            </w:r>
            <w:r w:rsidRPr="00A1115A">
              <w:rPr>
                <w:lang w:val="en-CA"/>
              </w:rPr>
              <w:t>2.5</w:t>
            </w:r>
          </w:p>
        </w:tc>
      </w:tr>
      <w:tr w:rsidR="00274815" w:rsidRPr="00A1115A" w:rsidTr="005404F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rsidR="00274815" w:rsidRPr="00A1115A" w:rsidRDefault="00274815" w:rsidP="005404FE">
            <w:pPr>
              <w:pStyle w:val="TAC"/>
            </w:pPr>
          </w:p>
        </w:tc>
        <w:tc>
          <w:tcPr>
            <w:tcW w:w="1560" w:type="dxa"/>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pPr>
            <w:r w:rsidRPr="00A1115A">
              <w:t>≤ 4.5</w:t>
            </w:r>
          </w:p>
        </w:tc>
      </w:tr>
      <w:tr w:rsidR="00274815" w:rsidRPr="00A1115A" w:rsidTr="005404F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rsidR="00274815" w:rsidRPr="00A1115A" w:rsidRDefault="00274815" w:rsidP="005404FE">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rsidR="00274815" w:rsidRPr="00274815" w:rsidRDefault="00274815" w:rsidP="005404FE">
            <w:pPr>
              <w:pStyle w:val="TAC"/>
              <w:rPr>
                <w:highlight w:val="yellow"/>
              </w:rPr>
            </w:pPr>
            <w:r w:rsidRPr="00274815">
              <w:rPr>
                <w:highlight w:val="yellow"/>
              </w:rPr>
              <w:t xml:space="preserve">≤ </w:t>
            </w:r>
            <w:r w:rsidRPr="00274815">
              <w:rPr>
                <w:highlight w:val="yellow"/>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274815" w:rsidRPr="00A1115A" w:rsidRDefault="00274815" w:rsidP="005404FE">
            <w:pPr>
              <w:pStyle w:val="TAC"/>
            </w:pPr>
            <w:r w:rsidRPr="00A1115A">
              <w:t>≤</w:t>
            </w:r>
            <w:r w:rsidRPr="00A1115A">
              <w:rPr>
                <w:lang w:val="en-CA"/>
              </w:rPr>
              <w:t xml:space="preserve"> 1.5</w:t>
            </w:r>
          </w:p>
        </w:tc>
      </w:tr>
      <w:tr w:rsidR="00274815" w:rsidRPr="00A1115A" w:rsidTr="005404FE">
        <w:trPr>
          <w:trHeight w:val="187"/>
        </w:trPr>
        <w:tc>
          <w:tcPr>
            <w:tcW w:w="1072" w:type="dxa"/>
            <w:tcBorders>
              <w:top w:val="nil"/>
              <w:left w:val="single" w:sz="4" w:space="0" w:color="auto"/>
              <w:bottom w:val="nil"/>
              <w:right w:val="single" w:sz="4" w:space="0" w:color="auto"/>
            </w:tcBorders>
            <w:shd w:val="clear" w:color="auto" w:fill="auto"/>
            <w:hideMark/>
          </w:tcPr>
          <w:p w:rsidR="00274815" w:rsidRPr="00A1115A" w:rsidRDefault="00274815" w:rsidP="005404F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rsidR="00274815" w:rsidRPr="00274815" w:rsidRDefault="00274815" w:rsidP="005404FE">
            <w:pPr>
              <w:pStyle w:val="TAC"/>
              <w:rPr>
                <w:highlight w:val="yellow"/>
              </w:rPr>
            </w:pPr>
            <w:r w:rsidRPr="00274815">
              <w:rPr>
                <w:highlight w:val="yellow"/>
              </w:rPr>
              <w:t>≤ 3</w:t>
            </w:r>
          </w:p>
        </w:tc>
        <w:tc>
          <w:tcPr>
            <w:tcW w:w="2126" w:type="dxa"/>
            <w:tcBorders>
              <w:top w:val="single" w:sz="4" w:space="0" w:color="auto"/>
              <w:left w:val="single" w:sz="4" w:space="0" w:color="auto"/>
              <w:bottom w:val="single" w:sz="4" w:space="0" w:color="auto"/>
              <w:right w:val="single" w:sz="4" w:space="0" w:color="auto"/>
            </w:tcBorders>
            <w:hideMark/>
          </w:tcPr>
          <w:p w:rsidR="00274815" w:rsidRPr="00A1115A" w:rsidRDefault="00274815" w:rsidP="005404FE">
            <w:pPr>
              <w:pStyle w:val="TAC"/>
            </w:pPr>
            <w:r w:rsidRPr="00A1115A">
              <w:t xml:space="preserve">≤ </w:t>
            </w:r>
            <w:r w:rsidRPr="00A1115A">
              <w:rPr>
                <w:lang w:val="en-CA"/>
              </w:rPr>
              <w:t>2</w:t>
            </w:r>
          </w:p>
        </w:tc>
      </w:tr>
      <w:tr w:rsidR="00274815" w:rsidRPr="00A1115A" w:rsidTr="005404FE">
        <w:trPr>
          <w:trHeight w:val="187"/>
        </w:trPr>
        <w:tc>
          <w:tcPr>
            <w:tcW w:w="1072" w:type="dxa"/>
            <w:tcBorders>
              <w:top w:val="nil"/>
              <w:left w:val="single" w:sz="4" w:space="0" w:color="auto"/>
              <w:bottom w:val="nil"/>
              <w:right w:val="single" w:sz="4" w:space="0" w:color="auto"/>
            </w:tcBorders>
            <w:shd w:val="clear" w:color="auto" w:fill="auto"/>
            <w:hideMark/>
          </w:tcPr>
          <w:p w:rsidR="00274815" w:rsidRPr="00A1115A" w:rsidRDefault="00274815" w:rsidP="005404FE">
            <w:pPr>
              <w:pStyle w:val="TAC"/>
            </w:pPr>
          </w:p>
        </w:tc>
        <w:tc>
          <w:tcPr>
            <w:tcW w:w="1560" w:type="dxa"/>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pPr>
            <w:r w:rsidRPr="00A1115A">
              <w:t xml:space="preserve">≤ </w:t>
            </w:r>
            <w:r w:rsidRPr="00A1115A">
              <w:rPr>
                <w:lang w:val="en-CA"/>
              </w:rPr>
              <w:t>3.5</w:t>
            </w:r>
          </w:p>
        </w:tc>
      </w:tr>
      <w:tr w:rsidR="00274815" w:rsidRPr="00A1115A" w:rsidTr="005404F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rsidR="00274815" w:rsidRPr="00A1115A" w:rsidRDefault="00274815" w:rsidP="005404F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C"/>
            </w:pPr>
            <w:r w:rsidRPr="00A1115A">
              <w:t xml:space="preserve">≤ </w:t>
            </w:r>
            <w:r w:rsidRPr="00A1115A">
              <w:rPr>
                <w:lang w:val="en-CA"/>
              </w:rPr>
              <w:t>6.5</w:t>
            </w:r>
          </w:p>
        </w:tc>
      </w:tr>
      <w:tr w:rsidR="00274815" w:rsidRPr="00A1115A" w:rsidTr="005404FE">
        <w:tc>
          <w:tcPr>
            <w:tcW w:w="9577" w:type="dxa"/>
            <w:gridSpan w:val="5"/>
            <w:tcBorders>
              <w:top w:val="single" w:sz="4" w:space="0" w:color="auto"/>
              <w:left w:val="single" w:sz="4" w:space="0" w:color="auto"/>
              <w:bottom w:val="single" w:sz="4" w:space="0" w:color="auto"/>
              <w:right w:val="single" w:sz="4" w:space="0" w:color="auto"/>
            </w:tcBorders>
          </w:tcPr>
          <w:p w:rsidR="00274815" w:rsidRPr="00A1115A" w:rsidRDefault="00274815" w:rsidP="005404FE">
            <w:pPr>
              <w:pStyle w:val="TAN"/>
            </w:pPr>
            <w:r w:rsidRPr="00A1115A">
              <w:t>NOTE 1:</w:t>
            </w:r>
            <w:r w:rsidRPr="00A1115A">
              <w:tab/>
              <w:t xml:space="preserve">Applicable for UE operating in TDD mode with Pi/2 BPSK modulation and </w:t>
            </w:r>
            <w:bookmarkStart w:id="4" w:name="_Hlk525291220"/>
            <w:r w:rsidRPr="00A1115A">
              <w:t xml:space="preserve">UE indicates support for UE capability </w:t>
            </w:r>
            <w:r w:rsidRPr="00A1115A">
              <w:rPr>
                <w:i/>
                <w:lang w:val="en-US"/>
              </w:rPr>
              <w:t>powerBoosting-pi2BPSK</w:t>
            </w:r>
            <w:r w:rsidRPr="00A1115A" w:rsidDel="00B4601F">
              <w:rPr>
                <w:i/>
              </w:rPr>
              <w:t xml:space="preserve"> </w:t>
            </w:r>
            <w:bookmarkEnd w:id="4"/>
            <w:r w:rsidRPr="00A1115A">
              <w:t xml:space="preserve">and if the IE </w:t>
            </w:r>
            <w:r w:rsidRPr="00A1115A">
              <w:rPr>
                <w:i/>
                <w:lang w:val="en-US"/>
              </w:rPr>
              <w:t>powerBoostPi2BPSK</w:t>
            </w:r>
            <w:r w:rsidRPr="00A1115A" w:rsidDel="007C4ED7">
              <w:t xml:space="preserve"> </w:t>
            </w:r>
            <w:r w:rsidRPr="00A1115A">
              <w:t xml:space="preserve">is set to 1 and 40 % or less slots in radio frame are used for UL transmission for bands n40, n41, n77, n78 and n79. The reference power of 0 dB MPR is 26 </w:t>
            </w:r>
            <w:proofErr w:type="spellStart"/>
            <w:r w:rsidRPr="00A1115A">
              <w:t>dBm</w:t>
            </w:r>
            <w:proofErr w:type="spellEnd"/>
            <w:r w:rsidRPr="00A1115A">
              <w:t>.</w:t>
            </w:r>
          </w:p>
          <w:p w:rsidR="00274815" w:rsidRPr="00A1115A" w:rsidRDefault="00274815" w:rsidP="005404FE">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rsidR="00274815" w:rsidRPr="00274815" w:rsidRDefault="00274815" w:rsidP="00B35FFE">
      <w:pPr>
        <w:rPr>
          <w:rFonts w:eastAsia="宋体"/>
          <w:lang w:eastAsia="zh-CN"/>
        </w:rPr>
      </w:pPr>
    </w:p>
    <w:p w:rsidR="00B35FFE" w:rsidRDefault="00B35FFE" w:rsidP="00B35FFE">
      <w:pPr>
        <w:rPr>
          <w:rFonts w:eastAsia="宋体"/>
          <w:lang w:eastAsia="zh-CN"/>
        </w:rPr>
      </w:pPr>
      <w:r>
        <w:rPr>
          <w:rFonts w:eastAsia="宋体"/>
          <w:lang w:eastAsia="zh-CN"/>
        </w:rPr>
        <w:t>It can be understood i</w:t>
      </w:r>
      <w:r w:rsidRPr="00B35FFE">
        <w:rPr>
          <w:rFonts w:eastAsia="宋体"/>
          <w:lang w:eastAsia="zh-CN"/>
        </w:rPr>
        <w:t xml:space="preserve">t is </w:t>
      </w:r>
      <w:r>
        <w:rPr>
          <w:rFonts w:eastAsia="宋体"/>
          <w:lang w:eastAsia="zh-CN"/>
        </w:rPr>
        <w:t xml:space="preserve">feasible </w:t>
      </w:r>
      <w:r w:rsidRPr="00B35FFE">
        <w:rPr>
          <w:rFonts w:eastAsia="宋体"/>
          <w:lang w:eastAsia="zh-CN"/>
        </w:rPr>
        <w:t>to consider reus</w:t>
      </w:r>
      <w:r>
        <w:rPr>
          <w:rFonts w:eastAsia="宋体"/>
          <w:lang w:eastAsia="zh-CN"/>
        </w:rPr>
        <w:t>ing</w:t>
      </w:r>
      <w:r w:rsidRPr="00B35FFE">
        <w:rPr>
          <w:rFonts w:eastAsia="宋体"/>
          <w:lang w:eastAsia="zh-CN"/>
        </w:rPr>
        <w:t xml:space="preserve"> the ACLR value of TN UE</w:t>
      </w:r>
      <w:r>
        <w:rPr>
          <w:rFonts w:eastAsia="宋体"/>
          <w:lang w:eastAsia="zh-CN"/>
        </w:rPr>
        <w:t>. If we followed option 1, maybe MPR requirements specified</w:t>
      </w:r>
      <w:r w:rsidRPr="00B35FFE">
        <w:t xml:space="preserve"> </w:t>
      </w:r>
      <w:r>
        <w:t xml:space="preserve">in </w:t>
      </w:r>
      <w:r w:rsidRPr="00B35FFE">
        <w:rPr>
          <w:rFonts w:eastAsia="宋体"/>
          <w:lang w:eastAsia="zh-CN"/>
        </w:rPr>
        <w:t>Table 6.2.2-1</w:t>
      </w:r>
      <w:r>
        <w:rPr>
          <w:rFonts w:eastAsia="宋体"/>
          <w:lang w:eastAsia="zh-CN"/>
        </w:rPr>
        <w:t xml:space="preserve"> from TS 38.101-1 can be reused</w:t>
      </w:r>
      <w:r w:rsidR="00274815">
        <w:rPr>
          <w:rFonts w:eastAsia="宋体"/>
          <w:lang w:eastAsia="zh-CN"/>
        </w:rPr>
        <w:t xml:space="preserve"> as shown above</w:t>
      </w:r>
      <w:r>
        <w:rPr>
          <w:rFonts w:eastAsia="宋体"/>
          <w:lang w:eastAsia="zh-CN"/>
        </w:rPr>
        <w:t>. And RAN4’s workloads and NTN UE spec’s impact can be limited. However, based on the initial co-existence simulation results, 30dB ACLR for NTN-TN scenario may be overdesigned</w:t>
      </w:r>
      <w:r w:rsidR="001B25A1">
        <w:rPr>
          <w:rFonts w:eastAsia="宋体"/>
          <w:lang w:eastAsia="zh-CN"/>
        </w:rPr>
        <w:t xml:space="preserve"> for NTN UE</w:t>
      </w:r>
      <w:r>
        <w:rPr>
          <w:rFonts w:eastAsia="宋体"/>
          <w:lang w:eastAsia="zh-CN"/>
        </w:rPr>
        <w:t xml:space="preserve">. Reducing NTN UE ACLR requirements can improve the MPR </w:t>
      </w:r>
      <w:r>
        <w:rPr>
          <w:rFonts w:eastAsia="宋体"/>
          <w:lang w:eastAsia="zh-CN"/>
        </w:rPr>
        <w:lastRenderedPageBreak/>
        <w:t xml:space="preserve">requirements. As we all know, the UL coverage is the bottleneck of satellite communication system. </w:t>
      </w:r>
      <w:r w:rsidR="00274815">
        <w:rPr>
          <w:rFonts w:eastAsia="宋体"/>
          <w:lang w:eastAsia="zh-CN"/>
        </w:rPr>
        <w:t xml:space="preserve">For outer RB allocations, the MPR requirements are relaxer than inner cases due to stringent requirements of ACLR/SEM. It’s better for RAN4 to reconsider the </w:t>
      </w:r>
      <w:r w:rsidR="00274815" w:rsidRPr="00274815">
        <w:rPr>
          <w:rFonts w:eastAsia="宋体"/>
          <w:lang w:eastAsia="zh-CN"/>
        </w:rPr>
        <w:t>optimization</w:t>
      </w:r>
      <w:r w:rsidR="00274815">
        <w:rPr>
          <w:rFonts w:eastAsia="宋体"/>
          <w:lang w:eastAsia="zh-CN"/>
        </w:rPr>
        <w:t xml:space="preserve"> and balance between ACLR and MPR for NTN UE. </w:t>
      </w:r>
      <w:r w:rsidR="001B25A1">
        <w:rPr>
          <w:rFonts w:eastAsia="宋体"/>
          <w:lang w:eastAsia="zh-CN"/>
        </w:rPr>
        <w:t xml:space="preserve">Besides, a balanced requirements between </w:t>
      </w:r>
      <w:r w:rsidR="001B25A1" w:rsidRPr="001B25A1">
        <w:rPr>
          <w:rFonts w:eastAsia="宋体"/>
          <w:lang w:eastAsia="zh-CN"/>
        </w:rPr>
        <w:t>ACLR and MPR</w:t>
      </w:r>
      <w:r w:rsidR="001B25A1">
        <w:rPr>
          <w:rFonts w:eastAsia="宋体"/>
          <w:lang w:eastAsia="zh-CN"/>
        </w:rPr>
        <w:t xml:space="preserve"> are more important especially for higher power class NTN UE which may be introduced for satellite communication system in the future. </w:t>
      </w:r>
      <w:r w:rsidR="00274815" w:rsidRPr="00274815">
        <w:rPr>
          <w:rFonts w:eastAsia="宋体"/>
          <w:b/>
          <w:lang w:eastAsia="zh-CN"/>
        </w:rPr>
        <w:t xml:space="preserve">Considering limited time in Rel-17 for NTN topic, the following two options are listed for working group to further </w:t>
      </w:r>
      <w:r w:rsidR="006D0F23">
        <w:rPr>
          <w:rFonts w:eastAsia="宋体"/>
          <w:b/>
          <w:lang w:eastAsia="zh-CN"/>
        </w:rPr>
        <w:t>trade off,</w:t>
      </w:r>
      <w:r w:rsidR="00274815" w:rsidRPr="00274815">
        <w:rPr>
          <w:rFonts w:eastAsia="宋体"/>
          <w:b/>
          <w:lang w:eastAsia="zh-CN"/>
        </w:rPr>
        <w:t xml:space="preserve"> if co-existence study </w:t>
      </w:r>
      <w:r w:rsidR="006D0F23">
        <w:rPr>
          <w:rFonts w:eastAsia="宋体"/>
          <w:b/>
          <w:lang w:eastAsia="zh-CN"/>
        </w:rPr>
        <w:t xml:space="preserve">shows that </w:t>
      </w:r>
      <w:r w:rsidR="00274815" w:rsidRPr="00274815">
        <w:rPr>
          <w:rFonts w:eastAsia="宋体"/>
          <w:b/>
          <w:lang w:eastAsia="zh-CN"/>
        </w:rPr>
        <w:t>ACLR results for NTN UE are less than 30dB.</w:t>
      </w:r>
    </w:p>
    <w:p w:rsidR="00274815" w:rsidRDefault="00274815" w:rsidP="00B35FFE">
      <w:pPr>
        <w:rPr>
          <w:rFonts w:eastAsia="宋体"/>
          <w:lang w:eastAsia="zh-CN"/>
        </w:rPr>
      </w:pPr>
      <w:r w:rsidRPr="00274815">
        <w:rPr>
          <w:rFonts w:eastAsia="宋体"/>
          <w:lang w:eastAsia="zh-CN"/>
        </w:rPr>
        <w:t xml:space="preserve">Option 1: ACLR values </w:t>
      </w:r>
      <w:r>
        <w:rPr>
          <w:rFonts w:eastAsia="宋体"/>
          <w:lang w:eastAsia="zh-CN"/>
        </w:rPr>
        <w:t xml:space="preserve">specified in TS 38.101-1 can be reused </w:t>
      </w:r>
      <w:r w:rsidRPr="00274815">
        <w:rPr>
          <w:rFonts w:eastAsia="宋体"/>
          <w:lang w:eastAsia="zh-CN"/>
        </w:rPr>
        <w:t>for NTN UE.</w:t>
      </w:r>
    </w:p>
    <w:p w:rsidR="00274815" w:rsidRDefault="00274815" w:rsidP="00B35FFE">
      <w:pPr>
        <w:rPr>
          <w:rFonts w:eastAsia="宋体"/>
          <w:lang w:eastAsia="zh-CN"/>
        </w:rPr>
      </w:pPr>
      <w:r>
        <w:rPr>
          <w:rFonts w:eastAsia="宋体"/>
          <w:lang w:eastAsia="zh-CN"/>
        </w:rPr>
        <w:t>Option 2: A balanced requirements between ACLR and MPR can be</w:t>
      </w:r>
      <w:r w:rsidR="001B25A1">
        <w:rPr>
          <w:rFonts w:eastAsia="宋体"/>
          <w:lang w:eastAsia="zh-CN"/>
        </w:rPr>
        <w:t xml:space="preserve"> studied and</w:t>
      </w:r>
      <w:r>
        <w:rPr>
          <w:rFonts w:eastAsia="宋体"/>
          <w:lang w:eastAsia="zh-CN"/>
        </w:rPr>
        <w:t xml:space="preserve"> specified for NTN UE</w:t>
      </w:r>
      <w:r w:rsidR="00E14059">
        <w:rPr>
          <w:rFonts w:eastAsia="宋体"/>
          <w:lang w:eastAsia="zh-CN"/>
        </w:rPr>
        <w:t xml:space="preserve"> considering UL system performance</w:t>
      </w:r>
      <w:r>
        <w:rPr>
          <w:rFonts w:eastAsia="宋体"/>
          <w:lang w:eastAsia="zh-CN"/>
        </w:rPr>
        <w:t>.</w:t>
      </w:r>
    </w:p>
    <w:p w:rsidR="00274815" w:rsidRDefault="00274815" w:rsidP="00B35FFE">
      <w:pPr>
        <w:rPr>
          <w:rFonts w:eastAsia="宋体"/>
          <w:lang w:eastAsia="zh-CN"/>
        </w:rPr>
      </w:pPr>
      <w:r>
        <w:rPr>
          <w:rFonts w:eastAsia="宋体"/>
          <w:lang w:eastAsia="zh-CN"/>
        </w:rPr>
        <w:t>The pros and cons are listed as below for further discussion.</w:t>
      </w:r>
    </w:p>
    <w:tbl>
      <w:tblPr>
        <w:tblStyle w:val="af8"/>
        <w:tblW w:w="0" w:type="auto"/>
        <w:tblLook w:val="04A0" w:firstRow="1" w:lastRow="0" w:firstColumn="1" w:lastColumn="0" w:noHBand="0" w:noVBand="1"/>
      </w:tblPr>
      <w:tblGrid>
        <w:gridCol w:w="1413"/>
        <w:gridCol w:w="4111"/>
        <w:gridCol w:w="4107"/>
      </w:tblGrid>
      <w:tr w:rsidR="001B25A1" w:rsidTr="006B229B">
        <w:tc>
          <w:tcPr>
            <w:tcW w:w="1413" w:type="dxa"/>
          </w:tcPr>
          <w:p w:rsidR="001B25A1" w:rsidRDefault="001B25A1" w:rsidP="00B35FFE">
            <w:pPr>
              <w:rPr>
                <w:rFonts w:eastAsia="宋体"/>
                <w:lang w:eastAsia="zh-CN"/>
              </w:rPr>
            </w:pPr>
            <w:r>
              <w:rPr>
                <w:rFonts w:eastAsia="宋体" w:hint="eastAsia"/>
                <w:lang w:eastAsia="zh-CN"/>
              </w:rPr>
              <w:t>O</w:t>
            </w:r>
            <w:r>
              <w:rPr>
                <w:rFonts w:eastAsia="宋体"/>
                <w:lang w:eastAsia="zh-CN"/>
              </w:rPr>
              <w:t>ptions</w:t>
            </w:r>
          </w:p>
        </w:tc>
        <w:tc>
          <w:tcPr>
            <w:tcW w:w="4111" w:type="dxa"/>
          </w:tcPr>
          <w:p w:rsidR="001B25A1" w:rsidRDefault="001B25A1" w:rsidP="00B35FFE">
            <w:pPr>
              <w:rPr>
                <w:rFonts w:eastAsia="宋体"/>
                <w:lang w:eastAsia="zh-CN"/>
              </w:rPr>
            </w:pPr>
            <w:r>
              <w:rPr>
                <w:rFonts w:eastAsia="宋体" w:hint="eastAsia"/>
                <w:lang w:eastAsia="zh-CN"/>
              </w:rPr>
              <w:t>P</w:t>
            </w:r>
            <w:r>
              <w:rPr>
                <w:rFonts w:eastAsia="宋体"/>
                <w:lang w:eastAsia="zh-CN"/>
              </w:rPr>
              <w:t>ros</w:t>
            </w:r>
          </w:p>
        </w:tc>
        <w:tc>
          <w:tcPr>
            <w:tcW w:w="4107" w:type="dxa"/>
          </w:tcPr>
          <w:p w:rsidR="001B25A1" w:rsidRDefault="001B25A1" w:rsidP="00B35FFE">
            <w:pPr>
              <w:rPr>
                <w:rFonts w:eastAsia="宋体"/>
                <w:lang w:eastAsia="zh-CN"/>
              </w:rPr>
            </w:pPr>
            <w:r>
              <w:rPr>
                <w:rFonts w:eastAsia="宋体" w:hint="eastAsia"/>
                <w:lang w:eastAsia="zh-CN"/>
              </w:rPr>
              <w:t>C</w:t>
            </w:r>
            <w:r>
              <w:rPr>
                <w:rFonts w:eastAsia="宋体"/>
                <w:lang w:eastAsia="zh-CN"/>
              </w:rPr>
              <w:t>ons</w:t>
            </w:r>
          </w:p>
        </w:tc>
      </w:tr>
      <w:tr w:rsidR="001B25A1" w:rsidTr="006B229B">
        <w:tc>
          <w:tcPr>
            <w:tcW w:w="1413" w:type="dxa"/>
          </w:tcPr>
          <w:p w:rsidR="001B25A1" w:rsidRDefault="001B25A1" w:rsidP="00B35FFE">
            <w:pPr>
              <w:rPr>
                <w:rFonts w:eastAsia="宋体"/>
                <w:lang w:eastAsia="zh-CN"/>
              </w:rPr>
            </w:pPr>
            <w:r>
              <w:rPr>
                <w:rFonts w:eastAsia="宋体" w:hint="eastAsia"/>
                <w:lang w:eastAsia="zh-CN"/>
              </w:rPr>
              <w:t>O</w:t>
            </w:r>
            <w:r>
              <w:rPr>
                <w:rFonts w:eastAsia="宋体"/>
                <w:lang w:eastAsia="zh-CN"/>
              </w:rPr>
              <w:t>ption 1</w:t>
            </w:r>
          </w:p>
        </w:tc>
        <w:tc>
          <w:tcPr>
            <w:tcW w:w="4111" w:type="dxa"/>
          </w:tcPr>
          <w:p w:rsidR="001B25A1" w:rsidRDefault="001B25A1" w:rsidP="001B25A1">
            <w:pPr>
              <w:rPr>
                <w:rFonts w:eastAsia="宋体"/>
                <w:lang w:eastAsia="zh-CN"/>
              </w:rPr>
            </w:pPr>
            <w:r>
              <w:rPr>
                <w:rFonts w:eastAsia="宋体" w:hint="eastAsia"/>
                <w:lang w:eastAsia="zh-CN"/>
              </w:rPr>
              <w:t>1</w:t>
            </w:r>
            <w:r>
              <w:rPr>
                <w:rFonts w:eastAsia="宋体"/>
                <w:lang w:eastAsia="zh-CN"/>
              </w:rPr>
              <w:t>. I</w:t>
            </w:r>
            <w:r w:rsidRPr="001B25A1">
              <w:rPr>
                <w:rFonts w:eastAsia="宋体"/>
                <w:lang w:eastAsia="zh-CN"/>
              </w:rPr>
              <w:t xml:space="preserve">t is feasible </w:t>
            </w:r>
            <w:r>
              <w:rPr>
                <w:rFonts w:eastAsia="宋体"/>
                <w:lang w:eastAsia="zh-CN"/>
              </w:rPr>
              <w:t xml:space="preserve">for NTN UE </w:t>
            </w:r>
            <w:r w:rsidRPr="001B25A1">
              <w:rPr>
                <w:rFonts w:eastAsia="宋体"/>
                <w:lang w:eastAsia="zh-CN"/>
              </w:rPr>
              <w:t xml:space="preserve">to consider reusing the </w:t>
            </w:r>
            <w:r>
              <w:rPr>
                <w:rFonts w:eastAsia="宋体"/>
                <w:lang w:eastAsia="zh-CN"/>
              </w:rPr>
              <w:t xml:space="preserve">30dB </w:t>
            </w:r>
            <w:r w:rsidRPr="001B25A1">
              <w:rPr>
                <w:rFonts w:eastAsia="宋体"/>
                <w:lang w:eastAsia="zh-CN"/>
              </w:rPr>
              <w:t>ACLR</w:t>
            </w:r>
            <w:r>
              <w:rPr>
                <w:rFonts w:eastAsia="宋体"/>
                <w:lang w:eastAsia="zh-CN"/>
              </w:rPr>
              <w:t>.</w:t>
            </w:r>
          </w:p>
          <w:p w:rsidR="001B25A1" w:rsidRPr="001B25A1" w:rsidRDefault="001B25A1" w:rsidP="001B25A1">
            <w:pPr>
              <w:rPr>
                <w:rFonts w:eastAsia="宋体"/>
                <w:lang w:eastAsia="zh-CN"/>
              </w:rPr>
            </w:pPr>
            <w:r>
              <w:rPr>
                <w:rFonts w:eastAsia="宋体"/>
                <w:lang w:eastAsia="zh-CN"/>
              </w:rPr>
              <w:t xml:space="preserve">2. </w:t>
            </w:r>
            <w:r w:rsidRPr="001B25A1">
              <w:rPr>
                <w:rFonts w:eastAsia="宋体"/>
                <w:lang w:eastAsia="zh-CN"/>
              </w:rPr>
              <w:t xml:space="preserve">RAN4’s workloads and NTN UE spec’s impact </w:t>
            </w:r>
            <w:r>
              <w:rPr>
                <w:rFonts w:eastAsia="宋体"/>
                <w:lang w:eastAsia="zh-CN"/>
              </w:rPr>
              <w:t xml:space="preserve">in Rel-17 </w:t>
            </w:r>
            <w:r w:rsidRPr="001B25A1">
              <w:rPr>
                <w:rFonts w:eastAsia="宋体"/>
                <w:lang w:eastAsia="zh-CN"/>
              </w:rPr>
              <w:t>can be limited.</w:t>
            </w:r>
          </w:p>
        </w:tc>
        <w:tc>
          <w:tcPr>
            <w:tcW w:w="4107" w:type="dxa"/>
          </w:tcPr>
          <w:p w:rsidR="001B25A1" w:rsidRDefault="006B229B" w:rsidP="006B229B">
            <w:pPr>
              <w:rPr>
                <w:rFonts w:eastAsia="宋体"/>
                <w:lang w:eastAsia="zh-CN"/>
              </w:rPr>
            </w:pPr>
            <w:r>
              <w:rPr>
                <w:rFonts w:eastAsia="宋体"/>
                <w:lang w:eastAsia="zh-CN"/>
              </w:rPr>
              <w:t xml:space="preserve">1. </w:t>
            </w:r>
            <w:r w:rsidR="001B25A1">
              <w:rPr>
                <w:rFonts w:eastAsia="宋体" w:hint="eastAsia"/>
                <w:lang w:eastAsia="zh-CN"/>
              </w:rPr>
              <w:t>Th</w:t>
            </w:r>
            <w:r w:rsidR="001B25A1">
              <w:rPr>
                <w:rFonts w:eastAsia="宋体"/>
                <w:lang w:eastAsia="zh-CN"/>
              </w:rPr>
              <w:t xml:space="preserve">e RF requirements for NTN </w:t>
            </w:r>
            <w:r>
              <w:rPr>
                <w:rFonts w:eastAsia="宋体"/>
                <w:lang w:eastAsia="zh-CN"/>
              </w:rPr>
              <w:t xml:space="preserve">PC3 </w:t>
            </w:r>
            <w:r w:rsidR="001B25A1">
              <w:rPr>
                <w:rFonts w:eastAsia="宋体"/>
                <w:lang w:eastAsia="zh-CN"/>
              </w:rPr>
              <w:t>UE are not optimized</w:t>
            </w:r>
            <w:r>
              <w:rPr>
                <w:rFonts w:eastAsia="宋体"/>
                <w:lang w:eastAsia="zh-CN"/>
              </w:rPr>
              <w:t xml:space="preserve"> considering the UL performance.</w:t>
            </w:r>
          </w:p>
          <w:p w:rsidR="006B229B" w:rsidRDefault="006B229B" w:rsidP="009656A8">
            <w:pPr>
              <w:rPr>
                <w:rFonts w:eastAsia="宋体"/>
                <w:lang w:eastAsia="zh-CN"/>
              </w:rPr>
            </w:pPr>
            <w:r>
              <w:rPr>
                <w:rFonts w:eastAsia="宋体"/>
                <w:lang w:eastAsia="zh-CN"/>
              </w:rPr>
              <w:t>2. Larger ACLR may result higher power reduction for NTN UE with some RB allocations.</w:t>
            </w:r>
          </w:p>
        </w:tc>
      </w:tr>
      <w:tr w:rsidR="001B25A1" w:rsidTr="006B229B">
        <w:tc>
          <w:tcPr>
            <w:tcW w:w="1413" w:type="dxa"/>
          </w:tcPr>
          <w:p w:rsidR="001B25A1" w:rsidRDefault="006B229B" w:rsidP="00B35FFE">
            <w:pPr>
              <w:rPr>
                <w:rFonts w:eastAsia="宋体"/>
                <w:lang w:eastAsia="zh-CN"/>
              </w:rPr>
            </w:pPr>
            <w:r>
              <w:rPr>
                <w:rFonts w:eastAsia="宋体" w:hint="eastAsia"/>
                <w:lang w:eastAsia="zh-CN"/>
              </w:rPr>
              <w:t>O</w:t>
            </w:r>
            <w:r>
              <w:rPr>
                <w:rFonts w:eastAsia="宋体"/>
                <w:lang w:eastAsia="zh-CN"/>
              </w:rPr>
              <w:t>ption 2</w:t>
            </w:r>
          </w:p>
        </w:tc>
        <w:tc>
          <w:tcPr>
            <w:tcW w:w="4111" w:type="dxa"/>
          </w:tcPr>
          <w:p w:rsidR="001B25A1" w:rsidRDefault="006B229B" w:rsidP="00B35FFE">
            <w:pPr>
              <w:rPr>
                <w:rFonts w:eastAsia="宋体"/>
                <w:lang w:eastAsia="zh-CN"/>
              </w:rPr>
            </w:pPr>
            <w:r>
              <w:rPr>
                <w:rFonts w:eastAsia="宋体"/>
                <w:lang w:eastAsia="zh-CN"/>
              </w:rPr>
              <w:t xml:space="preserve">1. </w:t>
            </w:r>
            <w:r>
              <w:rPr>
                <w:rFonts w:eastAsia="宋体" w:hint="eastAsia"/>
                <w:lang w:eastAsia="zh-CN"/>
              </w:rPr>
              <w:t>A</w:t>
            </w:r>
            <w:r>
              <w:rPr>
                <w:rFonts w:eastAsia="宋体"/>
                <w:lang w:eastAsia="zh-CN"/>
              </w:rPr>
              <w:t xml:space="preserve"> balanced ACLR and MPR requirements for NTN UE can improve the UL performance for satellite service.</w:t>
            </w:r>
          </w:p>
          <w:p w:rsidR="006B229B" w:rsidRDefault="006B229B" w:rsidP="00B35FFE">
            <w:pPr>
              <w:rPr>
                <w:rFonts w:eastAsia="宋体"/>
                <w:lang w:eastAsia="zh-CN"/>
              </w:rPr>
            </w:pPr>
            <w:r>
              <w:rPr>
                <w:rFonts w:eastAsia="宋体"/>
                <w:lang w:eastAsia="zh-CN"/>
              </w:rPr>
              <w:t>2. It’s worth</w:t>
            </w:r>
            <w:r w:rsidR="009656A8">
              <w:rPr>
                <w:rFonts w:eastAsia="宋体"/>
                <w:lang w:eastAsia="zh-CN"/>
              </w:rPr>
              <w:t>y</w:t>
            </w:r>
            <w:r>
              <w:rPr>
                <w:rFonts w:eastAsia="宋体"/>
                <w:lang w:eastAsia="zh-CN"/>
              </w:rPr>
              <w:t xml:space="preserve"> for RAN4 to further study a reasonable ACLR and MPR requirements for NTN UE</w:t>
            </w:r>
            <w:r w:rsidR="009656A8">
              <w:rPr>
                <w:rFonts w:eastAsia="宋体"/>
                <w:lang w:eastAsia="zh-CN"/>
              </w:rPr>
              <w:t xml:space="preserve"> from technical perspective</w:t>
            </w:r>
            <w:r>
              <w:rPr>
                <w:rFonts w:eastAsia="宋体"/>
                <w:lang w:eastAsia="zh-CN"/>
              </w:rPr>
              <w:t>.</w:t>
            </w:r>
          </w:p>
        </w:tc>
        <w:tc>
          <w:tcPr>
            <w:tcW w:w="4107" w:type="dxa"/>
          </w:tcPr>
          <w:p w:rsidR="001B25A1" w:rsidRDefault="009656A8" w:rsidP="009656A8">
            <w:pPr>
              <w:rPr>
                <w:rFonts w:eastAsia="宋体"/>
                <w:lang w:eastAsia="zh-CN"/>
              </w:rPr>
            </w:pPr>
            <w:r>
              <w:rPr>
                <w:rFonts w:eastAsia="宋体" w:hint="eastAsia"/>
                <w:lang w:eastAsia="zh-CN"/>
              </w:rPr>
              <w:t>1</w:t>
            </w:r>
            <w:r>
              <w:rPr>
                <w:rFonts w:eastAsia="宋体"/>
                <w:lang w:eastAsia="zh-CN"/>
              </w:rPr>
              <w:t xml:space="preserve">. RAN4 need to </w:t>
            </w:r>
            <w:r w:rsidR="008E562F">
              <w:rPr>
                <w:rFonts w:eastAsia="宋体"/>
                <w:lang w:eastAsia="zh-CN"/>
              </w:rPr>
              <w:t>revaluate</w:t>
            </w:r>
            <w:r>
              <w:rPr>
                <w:rFonts w:eastAsia="宋体"/>
                <w:lang w:eastAsia="zh-CN"/>
              </w:rPr>
              <w:t xml:space="preserve"> the MPR requirements for NTN UE if ACLR requirement is changed. The workloads may be increased.</w:t>
            </w:r>
          </w:p>
          <w:p w:rsidR="009656A8" w:rsidRPr="009656A8" w:rsidRDefault="009656A8" w:rsidP="006D0F23">
            <w:pPr>
              <w:rPr>
                <w:rFonts w:eastAsia="宋体"/>
                <w:lang w:eastAsia="zh-CN"/>
              </w:rPr>
            </w:pPr>
            <w:r>
              <w:rPr>
                <w:rFonts w:eastAsia="宋体"/>
                <w:lang w:eastAsia="zh-CN"/>
              </w:rPr>
              <w:t xml:space="preserve">2. </w:t>
            </w:r>
            <w:r w:rsidR="006D0F23">
              <w:rPr>
                <w:rFonts w:eastAsia="宋体"/>
                <w:lang w:eastAsia="zh-CN"/>
              </w:rPr>
              <w:t>It may have a risk to complete all the NTN UE RF requirements during the limited Rel-17 timeline if workloads are increased.</w:t>
            </w:r>
          </w:p>
        </w:tc>
      </w:tr>
    </w:tbl>
    <w:p w:rsidR="00D07053" w:rsidRDefault="00D07053" w:rsidP="00B35FFE">
      <w:pPr>
        <w:rPr>
          <w:rFonts w:eastAsia="宋体"/>
          <w:lang w:eastAsia="zh-CN"/>
        </w:rPr>
      </w:pPr>
    </w:p>
    <w:p w:rsidR="006D0F23" w:rsidRDefault="006D0F23" w:rsidP="00B35FFE">
      <w:pPr>
        <w:rPr>
          <w:rFonts w:eastAsia="宋体"/>
          <w:b/>
          <w:lang w:eastAsia="zh-CN"/>
        </w:rPr>
      </w:pPr>
      <w:r w:rsidRPr="006D0F23">
        <w:rPr>
          <w:rFonts w:eastAsia="宋体"/>
          <w:b/>
          <w:lang w:eastAsia="zh-CN"/>
        </w:rPr>
        <w:t xml:space="preserve">Proposal </w:t>
      </w:r>
      <w:r>
        <w:rPr>
          <w:rFonts w:eastAsia="宋体"/>
          <w:b/>
          <w:lang w:eastAsia="zh-CN"/>
        </w:rPr>
        <w:t>1</w:t>
      </w:r>
      <w:r w:rsidRPr="006D0F23">
        <w:rPr>
          <w:rFonts w:eastAsia="宋体"/>
          <w:b/>
          <w:lang w:eastAsia="zh-CN"/>
        </w:rPr>
        <w:t xml:space="preserve">: </w:t>
      </w:r>
      <w:r>
        <w:rPr>
          <w:rFonts w:eastAsia="宋体"/>
          <w:b/>
          <w:lang w:eastAsia="zh-CN"/>
        </w:rPr>
        <w:t xml:space="preserve">If </w:t>
      </w:r>
      <w:r w:rsidRPr="00274815">
        <w:rPr>
          <w:rFonts w:eastAsia="宋体"/>
          <w:b/>
          <w:lang w:eastAsia="zh-CN"/>
        </w:rPr>
        <w:t xml:space="preserve">co-existence study </w:t>
      </w:r>
      <w:r>
        <w:rPr>
          <w:rFonts w:eastAsia="宋体"/>
          <w:b/>
          <w:lang w:eastAsia="zh-CN"/>
        </w:rPr>
        <w:t xml:space="preserve">shows that </w:t>
      </w:r>
      <w:r w:rsidRPr="00274815">
        <w:rPr>
          <w:rFonts w:eastAsia="宋体"/>
          <w:b/>
          <w:lang w:eastAsia="zh-CN"/>
        </w:rPr>
        <w:t xml:space="preserve">ACLR results for </w:t>
      </w:r>
      <w:r w:rsidR="005D6300">
        <w:rPr>
          <w:rFonts w:eastAsia="宋体"/>
          <w:b/>
          <w:lang w:eastAsia="zh-CN"/>
        </w:rPr>
        <w:t xml:space="preserve">satellite </w:t>
      </w:r>
      <w:r w:rsidRPr="00274815">
        <w:rPr>
          <w:rFonts w:eastAsia="宋体"/>
          <w:b/>
          <w:lang w:eastAsia="zh-CN"/>
        </w:rPr>
        <w:t>NTN UE are less than 30dB</w:t>
      </w:r>
      <w:r>
        <w:rPr>
          <w:rFonts w:eastAsia="宋体"/>
          <w:b/>
          <w:lang w:eastAsia="zh-CN"/>
        </w:rPr>
        <w:t>, it’s recommended for working group to trade off option 1 and option 2.</w:t>
      </w:r>
    </w:p>
    <w:p w:rsidR="00CA5684" w:rsidRPr="00CA5684" w:rsidRDefault="00CA5684" w:rsidP="00AB7694">
      <w:pPr>
        <w:rPr>
          <w:rFonts w:eastAsia="宋体"/>
          <w:b/>
        </w:rPr>
      </w:pPr>
      <w:r>
        <w:rPr>
          <w:rFonts w:eastAsia="宋体"/>
          <w:b/>
        </w:rPr>
        <w:t>2</w:t>
      </w:r>
      <w:r w:rsidRPr="00CA5684">
        <w:rPr>
          <w:rFonts w:eastAsia="宋体"/>
          <w:b/>
        </w:rPr>
        <w:t>)</w:t>
      </w:r>
      <w:r w:rsidRPr="00CA5684">
        <w:rPr>
          <w:rFonts w:eastAsia="宋体"/>
          <w:b/>
        </w:rPr>
        <w:tab/>
        <w:t>Transmit modulation quality</w:t>
      </w:r>
    </w:p>
    <w:p w:rsidR="00CA5684" w:rsidRDefault="00986289" w:rsidP="00986289">
      <w:pPr>
        <w:rPr>
          <w:rFonts w:eastAsia="宋体"/>
          <w:lang w:eastAsia="zh-CN"/>
        </w:rPr>
      </w:pPr>
      <w:r w:rsidRPr="00986289">
        <w:rPr>
          <w:rFonts w:eastAsia="宋体" w:hint="eastAsia"/>
          <w:lang w:eastAsia="zh-CN"/>
        </w:rPr>
        <w:t>Ba</w:t>
      </w:r>
      <w:r w:rsidRPr="00986289">
        <w:rPr>
          <w:rFonts w:eastAsia="宋体"/>
          <w:lang w:eastAsia="zh-CN"/>
        </w:rPr>
        <w:t xml:space="preserve">sed on the </w:t>
      </w:r>
      <w:r>
        <w:rPr>
          <w:rFonts w:eastAsia="宋体"/>
          <w:lang w:eastAsia="zh-CN"/>
        </w:rPr>
        <w:t>WF [1], o</w:t>
      </w:r>
      <w:r w:rsidRPr="00986289">
        <w:rPr>
          <w:rFonts w:eastAsia="宋体"/>
          <w:lang w:eastAsia="zh-CN"/>
        </w:rPr>
        <w:t>ption 2: this requirement can be reused for N</w:t>
      </w:r>
      <w:r>
        <w:rPr>
          <w:rFonts w:eastAsia="宋体"/>
          <w:lang w:eastAsia="zh-CN"/>
        </w:rPr>
        <w:t xml:space="preserve">TN UE for QPSK, 16QAM and 64QAM as starting point and </w:t>
      </w:r>
      <w:r w:rsidR="000925D2" w:rsidRPr="000925D2">
        <w:rPr>
          <w:rFonts w:eastAsia="宋体"/>
          <w:lang w:eastAsia="zh-CN"/>
        </w:rPr>
        <w:t>whether UL 64QAM needs to be removed later.</w:t>
      </w:r>
      <w:r w:rsidR="000925D2">
        <w:rPr>
          <w:rFonts w:eastAsia="宋体"/>
          <w:lang w:eastAsia="zh-CN"/>
        </w:rPr>
        <w:t xml:space="preserve"> For 64QAM, it’s widely implemented for IMT UE. From technical perspective, it’s feasible and compatible with current module. UE can also narrow the UL RB allocation to achieve higher UL SINR. From standard perspective, there is no need to remove or restrict UL 64QAM requirement. </w:t>
      </w:r>
      <w:r w:rsidR="00D2087D">
        <w:rPr>
          <w:rFonts w:eastAsia="宋体"/>
          <w:lang w:eastAsia="zh-CN"/>
        </w:rPr>
        <w:t xml:space="preserve">From future-proof perspective, VSAT will be introduced in later release and RAN4 should guarantee VSAT can work with Rel-17 satellite access node well. </w:t>
      </w:r>
      <w:r w:rsidR="000925D2">
        <w:rPr>
          <w:rFonts w:eastAsia="宋体"/>
          <w:lang w:eastAsia="zh-CN"/>
        </w:rPr>
        <w:t>Thus, it’s proposed to include UL 64QAM for NTN UE.</w:t>
      </w:r>
    </w:p>
    <w:p w:rsidR="000925D2" w:rsidRPr="00986289" w:rsidRDefault="000925D2" w:rsidP="00986289">
      <w:pPr>
        <w:rPr>
          <w:rFonts w:eastAsia="宋体"/>
          <w:lang w:eastAsia="zh-CN"/>
        </w:rPr>
      </w:pPr>
      <w:r w:rsidRPr="006D0F23">
        <w:rPr>
          <w:rFonts w:eastAsia="宋体"/>
          <w:b/>
          <w:lang w:eastAsia="zh-CN"/>
        </w:rPr>
        <w:t xml:space="preserve">Proposal </w:t>
      </w:r>
      <w:r>
        <w:rPr>
          <w:rFonts w:eastAsia="宋体"/>
          <w:b/>
          <w:lang w:eastAsia="zh-CN"/>
        </w:rPr>
        <w:t>2</w:t>
      </w:r>
      <w:r w:rsidRPr="006D0F23">
        <w:rPr>
          <w:rFonts w:eastAsia="宋体"/>
          <w:b/>
          <w:lang w:eastAsia="zh-CN"/>
        </w:rPr>
        <w:t xml:space="preserve">: </w:t>
      </w:r>
      <w:r>
        <w:rPr>
          <w:rFonts w:eastAsia="宋体"/>
          <w:b/>
          <w:lang w:eastAsia="zh-CN"/>
        </w:rPr>
        <w:t>T</w:t>
      </w:r>
      <w:r w:rsidRPr="000925D2">
        <w:rPr>
          <w:rFonts w:eastAsia="宋体"/>
          <w:b/>
          <w:lang w:eastAsia="zh-CN"/>
        </w:rPr>
        <w:t>o include UL 64QAM for NTN UE.</w:t>
      </w:r>
    </w:p>
    <w:p w:rsidR="00CA5684" w:rsidRDefault="00CA5684" w:rsidP="00AB7694">
      <w:pPr>
        <w:rPr>
          <w:rFonts w:eastAsia="宋体"/>
          <w:b/>
        </w:rPr>
      </w:pPr>
      <w:r>
        <w:rPr>
          <w:rFonts w:eastAsia="宋体"/>
          <w:b/>
        </w:rPr>
        <w:t>3</w:t>
      </w:r>
      <w:r w:rsidRPr="00CA5684">
        <w:rPr>
          <w:rFonts w:eastAsia="宋体"/>
          <w:b/>
        </w:rPr>
        <w:t>)</w:t>
      </w:r>
      <w:r w:rsidRPr="00CA5684">
        <w:rPr>
          <w:rFonts w:eastAsia="宋体"/>
          <w:b/>
        </w:rPr>
        <w:tab/>
      </w:r>
      <w:r>
        <w:rPr>
          <w:rFonts w:eastAsia="宋体"/>
          <w:b/>
        </w:rPr>
        <w:t>General spurious emission</w:t>
      </w:r>
    </w:p>
    <w:p w:rsidR="00CA5684" w:rsidRDefault="005404FE" w:rsidP="00AB7694">
      <w:pPr>
        <w:rPr>
          <w:rFonts w:eastAsia="宋体"/>
          <w:lang w:eastAsia="zh-CN"/>
        </w:rPr>
      </w:pPr>
      <w:r w:rsidRPr="005404FE">
        <w:rPr>
          <w:rFonts w:eastAsia="宋体" w:hint="eastAsia"/>
          <w:lang w:eastAsia="zh-CN"/>
        </w:rPr>
        <w:t>R</w:t>
      </w:r>
      <w:r w:rsidRPr="005404FE">
        <w:rPr>
          <w:rFonts w:eastAsia="宋体"/>
          <w:lang w:eastAsia="zh-CN"/>
        </w:rPr>
        <w:t>eferring to the SM.329 [</w:t>
      </w:r>
      <w:r>
        <w:rPr>
          <w:rFonts w:eastAsia="宋体"/>
          <w:lang w:eastAsia="zh-CN"/>
        </w:rPr>
        <w:t>3</w:t>
      </w:r>
      <w:r w:rsidRPr="005404FE">
        <w:rPr>
          <w:rFonts w:eastAsia="宋体"/>
          <w:lang w:eastAsia="zh-CN"/>
        </w:rPr>
        <w:t xml:space="preserve">], </w:t>
      </w:r>
      <w:r>
        <w:rPr>
          <w:rFonts w:eastAsia="宋体"/>
          <w:lang w:eastAsia="zh-CN"/>
        </w:rPr>
        <w:t xml:space="preserve">there is a definition for category </w:t>
      </w:r>
      <w:proofErr w:type="gramStart"/>
      <w:r>
        <w:rPr>
          <w:rFonts w:eastAsia="宋体"/>
          <w:lang w:eastAsia="zh-CN"/>
        </w:rPr>
        <w:t>A</w:t>
      </w:r>
      <w:proofErr w:type="gramEnd"/>
      <w:r>
        <w:rPr>
          <w:rFonts w:eastAsia="宋体"/>
          <w:lang w:eastAsia="zh-CN"/>
        </w:rPr>
        <w:t xml:space="preserve"> spurious emission as highlighted below. However, there is no definition of category B limits for mobile satellite service using handheld UE.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4253"/>
        <w:gridCol w:w="5387"/>
      </w:tblGrid>
      <w:tr w:rsidR="005404FE" w:rsidTr="005404FE">
        <w:trPr>
          <w:jc w:val="center"/>
        </w:trPr>
        <w:tc>
          <w:tcPr>
            <w:tcW w:w="4253" w:type="dxa"/>
            <w:tcBorders>
              <w:top w:val="single" w:sz="6" w:space="0" w:color="auto"/>
              <w:left w:val="single" w:sz="6" w:space="0" w:color="auto"/>
              <w:bottom w:val="single" w:sz="6" w:space="0" w:color="auto"/>
              <w:right w:val="single" w:sz="6" w:space="0" w:color="auto"/>
            </w:tcBorders>
            <w:vAlign w:val="center"/>
          </w:tcPr>
          <w:p w:rsidR="005404FE" w:rsidRDefault="005404FE" w:rsidP="005404FE">
            <w:pPr>
              <w:pStyle w:val="Tablehead"/>
              <w:rPr>
                <w:lang w:val="en-US"/>
              </w:rPr>
            </w:pPr>
            <w:r>
              <w:rPr>
                <w:lang w:val="en-US"/>
              </w:rPr>
              <w:t>Service category in accordance</w:t>
            </w:r>
            <w:r>
              <w:rPr>
                <w:lang w:val="en-US"/>
              </w:rPr>
              <w:br/>
              <w:t>with RR Article 1,</w:t>
            </w:r>
            <w:r>
              <w:rPr>
                <w:lang w:val="en-US"/>
              </w:rPr>
              <w:br/>
              <w:t>or equipment type</w:t>
            </w:r>
            <w:r>
              <w:rPr>
                <w:position w:val="6"/>
                <w:sz w:val="18"/>
                <w:lang w:val="en-US"/>
              </w:rPr>
              <w:t>(1), (2)</w:t>
            </w:r>
          </w:p>
        </w:tc>
        <w:tc>
          <w:tcPr>
            <w:tcW w:w="5387" w:type="dxa"/>
            <w:tcBorders>
              <w:top w:val="single" w:sz="6" w:space="0" w:color="auto"/>
              <w:left w:val="single" w:sz="6" w:space="0" w:color="auto"/>
              <w:bottom w:val="single" w:sz="6" w:space="0" w:color="auto"/>
              <w:right w:val="single" w:sz="6" w:space="0" w:color="auto"/>
            </w:tcBorders>
            <w:vAlign w:val="center"/>
          </w:tcPr>
          <w:p w:rsidR="005404FE" w:rsidRDefault="005404FE" w:rsidP="005404FE">
            <w:pPr>
              <w:pStyle w:val="Tablehead"/>
              <w:rPr>
                <w:lang w:val="en-US"/>
              </w:rPr>
            </w:pPr>
            <w:r>
              <w:rPr>
                <w:lang w:val="en-US"/>
              </w:rPr>
              <w:t>Attenuation (dB) below the power (W) supplied</w:t>
            </w:r>
            <w:r>
              <w:rPr>
                <w:lang w:val="en-US"/>
              </w:rPr>
              <w:br/>
              <w:t>to the antenna transmission line</w:t>
            </w:r>
          </w:p>
        </w:tc>
      </w:tr>
      <w:tr w:rsidR="005404FE" w:rsidTr="005404FE">
        <w:trPr>
          <w:jc w:val="center"/>
        </w:trPr>
        <w:tc>
          <w:tcPr>
            <w:tcW w:w="4253" w:type="dxa"/>
            <w:tcBorders>
              <w:top w:val="single" w:sz="6" w:space="0" w:color="auto"/>
              <w:left w:val="single" w:sz="6" w:space="0" w:color="auto"/>
              <w:bottom w:val="single" w:sz="6" w:space="0" w:color="auto"/>
              <w:right w:val="single" w:sz="6" w:space="0" w:color="auto"/>
            </w:tcBorders>
          </w:tcPr>
          <w:p w:rsidR="005404FE" w:rsidRDefault="005404FE" w:rsidP="005404FE">
            <w:pPr>
              <w:pStyle w:val="Tabletext"/>
            </w:pPr>
            <w:r>
              <w:t>All services except those services quoted below</w:t>
            </w:r>
          </w:p>
        </w:tc>
        <w:tc>
          <w:tcPr>
            <w:tcW w:w="5387" w:type="dxa"/>
            <w:tcBorders>
              <w:top w:val="single" w:sz="6" w:space="0" w:color="auto"/>
              <w:left w:val="single" w:sz="6" w:space="0" w:color="auto"/>
              <w:bottom w:val="single" w:sz="6" w:space="0" w:color="auto"/>
              <w:right w:val="single" w:sz="6" w:space="0" w:color="auto"/>
            </w:tcBorders>
          </w:tcPr>
          <w:p w:rsidR="005404FE" w:rsidRDefault="005404FE" w:rsidP="005404FE">
            <w:pPr>
              <w:pStyle w:val="Tabletext"/>
            </w:pPr>
            <w:r>
              <w:t xml:space="preserve">43 + 10 log </w:t>
            </w:r>
            <w:r>
              <w:rPr>
                <w:i/>
              </w:rPr>
              <w:t>P</w:t>
            </w:r>
            <w:r>
              <w:t xml:space="preserve">, or 70 </w:t>
            </w:r>
            <w:proofErr w:type="spellStart"/>
            <w:r>
              <w:t>dBc</w:t>
            </w:r>
            <w:proofErr w:type="spellEnd"/>
            <w:r>
              <w:t>, whichever is less stringent</w:t>
            </w:r>
          </w:p>
        </w:tc>
      </w:tr>
      <w:tr w:rsidR="005404FE" w:rsidTr="005404FE">
        <w:trPr>
          <w:jc w:val="center"/>
        </w:trPr>
        <w:tc>
          <w:tcPr>
            <w:tcW w:w="4253" w:type="dxa"/>
            <w:tcBorders>
              <w:top w:val="single" w:sz="6" w:space="0" w:color="auto"/>
              <w:left w:val="single" w:sz="6" w:space="0" w:color="auto"/>
              <w:bottom w:val="single" w:sz="6" w:space="0" w:color="auto"/>
              <w:right w:val="single" w:sz="6" w:space="0" w:color="auto"/>
            </w:tcBorders>
          </w:tcPr>
          <w:p w:rsidR="005404FE" w:rsidRPr="005404FE" w:rsidRDefault="005404FE" w:rsidP="005404FE">
            <w:pPr>
              <w:pStyle w:val="Tabletext"/>
              <w:rPr>
                <w:highlight w:val="yellow"/>
              </w:rPr>
            </w:pPr>
            <w:r w:rsidRPr="005404FE">
              <w:rPr>
                <w:highlight w:val="yellow"/>
              </w:rPr>
              <w:t>Space services (mobile earth stations)</w:t>
            </w:r>
            <w:r w:rsidRPr="005404FE">
              <w:rPr>
                <w:highlight w:val="yellow"/>
                <w:vertAlign w:val="superscript"/>
              </w:rPr>
              <w:t>(3)</w:t>
            </w:r>
            <w:r w:rsidRPr="005404FE">
              <w:rPr>
                <w:position w:val="6"/>
                <w:sz w:val="18"/>
                <w:highlight w:val="yellow"/>
              </w:rPr>
              <w:t>,</w:t>
            </w:r>
            <w:r w:rsidRPr="005404FE">
              <w:rPr>
                <w:rFonts w:ascii="Tms Rmn" w:hAnsi="Tms Rmn"/>
                <w:position w:val="6"/>
                <w:sz w:val="12"/>
                <w:highlight w:val="yellow"/>
              </w:rPr>
              <w:t> </w:t>
            </w:r>
            <w:r w:rsidRPr="005404FE">
              <w:rPr>
                <w:highlight w:val="yellow"/>
                <w:vertAlign w:val="superscript"/>
              </w:rPr>
              <w:t>(4)</w:t>
            </w:r>
          </w:p>
        </w:tc>
        <w:tc>
          <w:tcPr>
            <w:tcW w:w="5387" w:type="dxa"/>
            <w:tcBorders>
              <w:top w:val="single" w:sz="6" w:space="0" w:color="auto"/>
              <w:left w:val="single" w:sz="6" w:space="0" w:color="auto"/>
              <w:bottom w:val="single" w:sz="6" w:space="0" w:color="auto"/>
              <w:right w:val="single" w:sz="6" w:space="0" w:color="auto"/>
            </w:tcBorders>
          </w:tcPr>
          <w:p w:rsidR="005404FE" w:rsidRPr="005404FE" w:rsidRDefault="005404FE" w:rsidP="005404FE">
            <w:pPr>
              <w:pStyle w:val="Tabletext"/>
              <w:rPr>
                <w:highlight w:val="yellow"/>
              </w:rPr>
            </w:pPr>
            <w:r w:rsidRPr="005404FE">
              <w:rPr>
                <w:highlight w:val="yellow"/>
              </w:rPr>
              <w:t xml:space="preserve">43 + 10 log </w:t>
            </w:r>
            <w:r w:rsidRPr="005404FE">
              <w:rPr>
                <w:i/>
                <w:highlight w:val="yellow"/>
              </w:rPr>
              <w:t>P</w:t>
            </w:r>
            <w:r w:rsidRPr="005404FE">
              <w:rPr>
                <w:highlight w:val="yellow"/>
              </w:rPr>
              <w:t xml:space="preserve">, or 60 </w:t>
            </w:r>
            <w:proofErr w:type="spellStart"/>
            <w:r w:rsidRPr="005404FE">
              <w:rPr>
                <w:highlight w:val="yellow"/>
              </w:rPr>
              <w:t>dBc</w:t>
            </w:r>
            <w:proofErr w:type="spellEnd"/>
            <w:r w:rsidRPr="005404FE">
              <w:rPr>
                <w:highlight w:val="yellow"/>
              </w:rPr>
              <w:t>, whichever is less stringent</w:t>
            </w:r>
          </w:p>
        </w:tc>
      </w:tr>
      <w:tr w:rsidR="005404FE" w:rsidTr="005404FE">
        <w:trPr>
          <w:jc w:val="center"/>
        </w:trPr>
        <w:tc>
          <w:tcPr>
            <w:tcW w:w="4253" w:type="dxa"/>
            <w:tcBorders>
              <w:top w:val="single" w:sz="6" w:space="0" w:color="auto"/>
              <w:left w:val="single" w:sz="6" w:space="0" w:color="auto"/>
              <w:bottom w:val="single" w:sz="6" w:space="0" w:color="auto"/>
              <w:right w:val="single" w:sz="6" w:space="0" w:color="auto"/>
            </w:tcBorders>
          </w:tcPr>
          <w:p w:rsidR="005404FE" w:rsidRDefault="005404FE" w:rsidP="005404FE">
            <w:pPr>
              <w:pStyle w:val="Tabletext"/>
              <w:rPr>
                <w:vertAlign w:val="superscript"/>
                <w:lang w:val="en-US"/>
              </w:rPr>
            </w:pPr>
            <w:r>
              <w:rPr>
                <w:lang w:val="en-US"/>
              </w:rPr>
              <w:t>Space services (fixed earth stations)</w:t>
            </w:r>
            <w:r>
              <w:rPr>
                <w:vertAlign w:val="superscript"/>
              </w:rPr>
              <w:t>(3)</w:t>
            </w:r>
            <w:r>
              <w:rPr>
                <w:position w:val="6"/>
                <w:sz w:val="18"/>
                <w:lang w:val="en-US"/>
              </w:rPr>
              <w:t>,</w:t>
            </w:r>
            <w:r>
              <w:rPr>
                <w:rFonts w:ascii="Tms Rmn" w:hAnsi="Tms Rmn"/>
                <w:position w:val="6"/>
                <w:sz w:val="12"/>
                <w:lang w:val="en-US"/>
              </w:rPr>
              <w:t> </w:t>
            </w:r>
            <w:r>
              <w:rPr>
                <w:vertAlign w:val="superscript"/>
              </w:rPr>
              <w:t>(4)</w:t>
            </w:r>
          </w:p>
        </w:tc>
        <w:tc>
          <w:tcPr>
            <w:tcW w:w="5387" w:type="dxa"/>
            <w:tcBorders>
              <w:top w:val="single" w:sz="6" w:space="0" w:color="auto"/>
              <w:left w:val="single" w:sz="6" w:space="0" w:color="auto"/>
              <w:bottom w:val="single" w:sz="6" w:space="0" w:color="auto"/>
              <w:right w:val="single" w:sz="6" w:space="0" w:color="auto"/>
            </w:tcBorders>
          </w:tcPr>
          <w:p w:rsidR="005404FE" w:rsidRDefault="005404FE" w:rsidP="005404FE">
            <w:pPr>
              <w:pStyle w:val="Tabletext"/>
              <w:rPr>
                <w:lang w:val="en-US"/>
              </w:rPr>
            </w:pPr>
            <w:r>
              <w:rPr>
                <w:lang w:val="en-US"/>
              </w:rPr>
              <w:t xml:space="preserve">43 </w:t>
            </w:r>
            <w:r>
              <w:t>+</w:t>
            </w:r>
            <w:r>
              <w:rPr>
                <w:lang w:val="en-US"/>
              </w:rPr>
              <w:t xml:space="preserve"> 10 log </w:t>
            </w:r>
            <w:r>
              <w:rPr>
                <w:i/>
                <w:lang w:val="en-US"/>
              </w:rPr>
              <w:t>P</w:t>
            </w:r>
            <w:r>
              <w:rPr>
                <w:lang w:val="en-US"/>
              </w:rPr>
              <w:t xml:space="preserve">, or 60 </w:t>
            </w:r>
            <w:proofErr w:type="spellStart"/>
            <w:r>
              <w:rPr>
                <w:lang w:val="en-US"/>
              </w:rPr>
              <w:t>dBc</w:t>
            </w:r>
            <w:proofErr w:type="spellEnd"/>
            <w:r>
              <w:rPr>
                <w:lang w:val="en-US"/>
              </w:rPr>
              <w:t>, whichever is less stringent</w:t>
            </w:r>
          </w:p>
        </w:tc>
      </w:tr>
      <w:tr w:rsidR="005404FE" w:rsidTr="005404FE">
        <w:trPr>
          <w:jc w:val="center"/>
        </w:trPr>
        <w:tc>
          <w:tcPr>
            <w:tcW w:w="4253" w:type="dxa"/>
            <w:tcBorders>
              <w:top w:val="single" w:sz="6" w:space="0" w:color="auto"/>
              <w:left w:val="single" w:sz="6" w:space="0" w:color="auto"/>
              <w:bottom w:val="single" w:sz="6" w:space="0" w:color="auto"/>
              <w:right w:val="single" w:sz="6" w:space="0" w:color="auto"/>
            </w:tcBorders>
          </w:tcPr>
          <w:p w:rsidR="005404FE" w:rsidRDefault="005404FE" w:rsidP="005404FE">
            <w:pPr>
              <w:pStyle w:val="Tabletext"/>
              <w:rPr>
                <w:lang w:val="en-US"/>
              </w:rPr>
            </w:pPr>
            <w:r>
              <w:rPr>
                <w:lang w:val="en-US"/>
              </w:rPr>
              <w:t>Space services (space stations)</w:t>
            </w:r>
            <w:r>
              <w:rPr>
                <w:vertAlign w:val="superscript"/>
              </w:rPr>
              <w:t>(3)</w:t>
            </w:r>
            <w:r>
              <w:rPr>
                <w:position w:val="6"/>
                <w:sz w:val="18"/>
                <w:lang w:val="en-US"/>
              </w:rPr>
              <w:t>,</w:t>
            </w:r>
            <w:r>
              <w:rPr>
                <w:rFonts w:ascii="Tms Rmn" w:hAnsi="Tms Rmn"/>
                <w:position w:val="6"/>
                <w:sz w:val="12"/>
                <w:lang w:val="en-US"/>
              </w:rPr>
              <w:t> </w:t>
            </w:r>
            <w:r>
              <w:rPr>
                <w:vertAlign w:val="superscript"/>
              </w:rPr>
              <w:t>(5)</w:t>
            </w:r>
            <w:r>
              <w:rPr>
                <w:position w:val="6"/>
                <w:sz w:val="18"/>
                <w:lang w:val="en-US"/>
              </w:rPr>
              <w:t>,</w:t>
            </w:r>
            <w:r>
              <w:rPr>
                <w:rFonts w:ascii="Tms Rmn" w:hAnsi="Tms Rmn"/>
                <w:position w:val="6"/>
                <w:sz w:val="12"/>
                <w:lang w:val="en-US"/>
              </w:rPr>
              <w:t> </w:t>
            </w:r>
            <w:r>
              <w:rPr>
                <w:vertAlign w:val="superscript"/>
              </w:rPr>
              <w:t>(6)</w:t>
            </w:r>
          </w:p>
        </w:tc>
        <w:tc>
          <w:tcPr>
            <w:tcW w:w="5387" w:type="dxa"/>
            <w:tcBorders>
              <w:top w:val="single" w:sz="6" w:space="0" w:color="auto"/>
              <w:left w:val="single" w:sz="6" w:space="0" w:color="auto"/>
              <w:bottom w:val="single" w:sz="6" w:space="0" w:color="auto"/>
              <w:right w:val="single" w:sz="6" w:space="0" w:color="auto"/>
            </w:tcBorders>
          </w:tcPr>
          <w:p w:rsidR="005404FE" w:rsidRDefault="005404FE" w:rsidP="005404FE">
            <w:pPr>
              <w:pStyle w:val="Tabletext"/>
              <w:rPr>
                <w:lang w:val="en-US"/>
              </w:rPr>
            </w:pPr>
            <w:r>
              <w:rPr>
                <w:lang w:val="en-US"/>
              </w:rPr>
              <w:t xml:space="preserve">43 </w:t>
            </w:r>
            <w:r>
              <w:t>+</w:t>
            </w:r>
            <w:r>
              <w:rPr>
                <w:lang w:val="en-US"/>
              </w:rPr>
              <w:t xml:space="preserve"> 10 log </w:t>
            </w:r>
            <w:r>
              <w:rPr>
                <w:i/>
                <w:lang w:val="en-US"/>
              </w:rPr>
              <w:t>P</w:t>
            </w:r>
            <w:r>
              <w:rPr>
                <w:lang w:val="en-US"/>
              </w:rPr>
              <w:t xml:space="preserve">, or 60 </w:t>
            </w:r>
            <w:proofErr w:type="spellStart"/>
            <w:r>
              <w:rPr>
                <w:lang w:val="en-US"/>
              </w:rPr>
              <w:t>dBc</w:t>
            </w:r>
            <w:proofErr w:type="spellEnd"/>
            <w:r>
              <w:rPr>
                <w:lang w:val="en-US"/>
              </w:rPr>
              <w:t>, whichever is less stringent</w:t>
            </w:r>
          </w:p>
        </w:tc>
      </w:tr>
    </w:tbl>
    <w:p w:rsidR="005404FE" w:rsidRPr="005404FE" w:rsidRDefault="005404FE" w:rsidP="00AB7694">
      <w:pPr>
        <w:rPr>
          <w:rFonts w:eastAsia="宋体"/>
          <w:lang w:val="en-US" w:eastAsia="zh-CN"/>
        </w:rPr>
      </w:pPr>
    </w:p>
    <w:p w:rsidR="005404FE" w:rsidRDefault="005404FE" w:rsidP="00AB7694">
      <w:pPr>
        <w:rPr>
          <w:rFonts w:eastAsia="宋体"/>
          <w:lang w:eastAsia="zh-CN"/>
        </w:rPr>
      </w:pPr>
      <w:r>
        <w:rPr>
          <w:rFonts w:eastAsia="宋体" w:hint="eastAsia"/>
          <w:lang w:eastAsia="zh-CN"/>
        </w:rPr>
        <w:t>R</w:t>
      </w:r>
      <w:r>
        <w:rPr>
          <w:rFonts w:eastAsia="宋体"/>
          <w:lang w:eastAsia="zh-CN"/>
        </w:rPr>
        <w:t xml:space="preserve">eferring to </w:t>
      </w:r>
      <w:r w:rsidRPr="005404FE">
        <w:rPr>
          <w:rFonts w:eastAsia="宋体"/>
          <w:lang w:eastAsia="zh-CN"/>
        </w:rPr>
        <w:t>ERC Recommendation 74-01</w:t>
      </w:r>
      <w:r>
        <w:rPr>
          <w:rFonts w:eastAsia="宋体"/>
          <w:lang w:eastAsia="zh-CN"/>
        </w:rPr>
        <w:t xml:space="preserve"> [4], </w:t>
      </w:r>
      <w:r w:rsidR="00067AAD">
        <w:rPr>
          <w:rFonts w:eastAsia="宋体"/>
          <w:lang w:eastAsia="zh-CN"/>
        </w:rPr>
        <w:t>general spurious emission requirements were specified in Annex 3 item 3.1.4 for</w:t>
      </w:r>
      <w:r w:rsidR="00067AAD" w:rsidRPr="00067AAD">
        <w:t xml:space="preserve"> </w:t>
      </w:r>
      <w:r w:rsidR="00067AAD" w:rsidRPr="00067AAD">
        <w:rPr>
          <w:rFonts w:eastAsia="宋体"/>
          <w:lang w:eastAsia="zh-CN"/>
        </w:rPr>
        <w:t>Mobile Earth Stations (MES) (see Note 1bis) transmitting in the Mobile Satellite Service between 1 GHz and 3 GHz</w:t>
      </w:r>
      <w:r w:rsidR="00067AAD">
        <w:rPr>
          <w:rFonts w:eastAsia="宋体"/>
          <w:lang w:eastAsia="zh-CN"/>
        </w:rPr>
        <w:t xml:space="preserve"> as below.</w:t>
      </w:r>
    </w:p>
    <w:tbl>
      <w:tblPr>
        <w:tblStyle w:val="ECCTable-redheader"/>
        <w:tblW w:w="9524" w:type="dxa"/>
        <w:tblInd w:w="0" w:type="dxa"/>
        <w:tblLayout w:type="fixed"/>
        <w:tblLook w:val="04A0" w:firstRow="1" w:lastRow="0" w:firstColumn="1" w:lastColumn="0" w:noHBand="0" w:noVBand="1"/>
      </w:tblPr>
      <w:tblGrid>
        <w:gridCol w:w="1219"/>
        <w:gridCol w:w="1985"/>
        <w:gridCol w:w="2551"/>
        <w:gridCol w:w="1843"/>
        <w:gridCol w:w="1903"/>
        <w:gridCol w:w="23"/>
      </w:tblGrid>
      <w:tr w:rsidR="00067AAD" w:rsidRPr="006F4C62" w:rsidTr="006630E5">
        <w:trPr>
          <w:gridAfter w:val="1"/>
          <w:cnfStyle w:val="100000000000" w:firstRow="1" w:lastRow="0" w:firstColumn="0" w:lastColumn="0" w:oddVBand="0" w:evenVBand="0" w:oddHBand="0" w:evenHBand="0" w:firstRowFirstColumn="0" w:firstRowLastColumn="0" w:lastRowFirstColumn="0" w:lastRowLastColumn="0"/>
          <w:wAfter w:w="23" w:type="dxa"/>
          <w:cantSplit/>
          <w:trHeight w:val="20"/>
        </w:trPr>
        <w:tc>
          <w:tcPr>
            <w:tcW w:w="1219" w:type="dxa"/>
          </w:tcPr>
          <w:p w:rsidR="00067AAD" w:rsidRPr="006F4C62" w:rsidRDefault="00067AAD" w:rsidP="006630E5">
            <w:pPr>
              <w:pStyle w:val="ECCParagraph"/>
              <w:jc w:val="center"/>
            </w:pPr>
            <w:r w:rsidRPr="006F4C62">
              <w:t>Reference number</w:t>
            </w:r>
          </w:p>
        </w:tc>
        <w:tc>
          <w:tcPr>
            <w:tcW w:w="1985" w:type="dxa"/>
          </w:tcPr>
          <w:p w:rsidR="00067AAD" w:rsidRPr="006F4C62" w:rsidRDefault="00067AAD" w:rsidP="006630E5">
            <w:pPr>
              <w:pStyle w:val="ECCParagraph"/>
              <w:jc w:val="center"/>
            </w:pPr>
            <w:r w:rsidRPr="006F4C62">
              <w:t>Type of equipment</w:t>
            </w:r>
          </w:p>
        </w:tc>
        <w:tc>
          <w:tcPr>
            <w:tcW w:w="2551" w:type="dxa"/>
          </w:tcPr>
          <w:p w:rsidR="00067AAD" w:rsidRPr="006F4C62" w:rsidRDefault="00067AAD" w:rsidP="006630E5">
            <w:pPr>
              <w:tabs>
                <w:tab w:val="left" w:pos="1843"/>
              </w:tabs>
            </w:pPr>
            <w:r w:rsidRPr="006F4C62">
              <w:t xml:space="preserve">Frequency of the spurious domain emission </w:t>
            </w:r>
            <w:r w:rsidRPr="006F4C62">
              <w:rPr>
                <w:i/>
              </w:rPr>
              <w:t>f</w:t>
            </w:r>
          </w:p>
        </w:tc>
        <w:tc>
          <w:tcPr>
            <w:tcW w:w="1843" w:type="dxa"/>
          </w:tcPr>
          <w:p w:rsidR="00067AAD" w:rsidRPr="006F4C62" w:rsidRDefault="00067AAD" w:rsidP="006630E5">
            <w:pPr>
              <w:tabs>
                <w:tab w:val="left" w:pos="1843"/>
              </w:tabs>
            </w:pPr>
            <w:r w:rsidRPr="006F4C62">
              <w:t>Limits: mean power or, when applicable, average power during burst duration in the reference bandwidth</w:t>
            </w:r>
          </w:p>
        </w:tc>
        <w:tc>
          <w:tcPr>
            <w:tcW w:w="1903" w:type="dxa"/>
          </w:tcPr>
          <w:p w:rsidR="00067AAD" w:rsidRPr="006F4C62" w:rsidRDefault="00067AAD" w:rsidP="006630E5">
            <w:pPr>
              <w:tabs>
                <w:tab w:val="left" w:pos="1843"/>
              </w:tabs>
            </w:pPr>
            <w:r w:rsidRPr="006F4C62">
              <w:t>Notes</w:t>
            </w:r>
          </w:p>
        </w:tc>
      </w:tr>
      <w:tr w:rsidR="00067AAD" w:rsidRPr="006F4C62" w:rsidTr="006630E5">
        <w:trPr>
          <w:cantSplit/>
          <w:trHeight w:val="911"/>
        </w:trPr>
        <w:tc>
          <w:tcPr>
            <w:tcW w:w="1219" w:type="dxa"/>
            <w:vMerge w:val="restart"/>
          </w:tcPr>
          <w:p w:rsidR="00067AAD" w:rsidRPr="006F4C62" w:rsidRDefault="00067AAD" w:rsidP="006630E5">
            <w:pPr>
              <w:pStyle w:val="ECCParagraph"/>
              <w:jc w:val="left"/>
            </w:pPr>
            <w:r w:rsidRPr="006F4C62">
              <w:t>3.1.4</w:t>
            </w:r>
          </w:p>
        </w:tc>
        <w:tc>
          <w:tcPr>
            <w:tcW w:w="1985" w:type="dxa"/>
            <w:vMerge w:val="restart"/>
          </w:tcPr>
          <w:p w:rsidR="00067AAD" w:rsidRPr="006F4C62" w:rsidRDefault="00067AAD" w:rsidP="006630E5">
            <w:pPr>
              <w:pStyle w:val="ECCParagraph"/>
              <w:jc w:val="left"/>
            </w:pPr>
            <w:r w:rsidRPr="006F4C62">
              <w:t>Mobile Earth Stations (MES) (see Note 1bis) transmitting in the Mobile Satellite Service between 1 GHz and 3 GHz</w:t>
            </w:r>
          </w:p>
        </w:tc>
        <w:tc>
          <w:tcPr>
            <w:tcW w:w="2551" w:type="dxa"/>
          </w:tcPr>
          <w:p w:rsidR="00067AAD" w:rsidRPr="006F4C62" w:rsidRDefault="00067AAD" w:rsidP="006630E5">
            <w:pPr>
              <w:jc w:val="left"/>
            </w:pPr>
            <w:r w:rsidRPr="006F4C62">
              <w:t xml:space="preserve">9 kHz </w:t>
            </w:r>
            <w:r w:rsidRPr="006F4C62">
              <w:sym w:font="Symbol" w:char="F0A3"/>
            </w:r>
            <w:r w:rsidRPr="006F4C62">
              <w:t xml:space="preserve"> </w:t>
            </w:r>
            <w:r w:rsidRPr="006F4C62">
              <w:rPr>
                <w:i/>
              </w:rPr>
              <w:t>f</w:t>
            </w:r>
            <w:r w:rsidRPr="006F4C62">
              <w:t xml:space="preserve"> </w:t>
            </w:r>
            <w:r w:rsidRPr="006F4C62">
              <w:sym w:font="Symbol" w:char="F0A3"/>
            </w:r>
            <w:r w:rsidRPr="006F4C62">
              <w:t xml:space="preserve"> 1 GHz</w:t>
            </w:r>
          </w:p>
        </w:tc>
        <w:tc>
          <w:tcPr>
            <w:tcW w:w="1843" w:type="dxa"/>
          </w:tcPr>
          <w:p w:rsidR="00067AAD" w:rsidRPr="006F4C62" w:rsidRDefault="00067AAD" w:rsidP="006630E5">
            <w:pPr>
              <w:jc w:val="left"/>
            </w:pPr>
            <w:r w:rsidRPr="006F4C62">
              <w:t xml:space="preserve">-36 </w:t>
            </w:r>
            <w:proofErr w:type="spellStart"/>
            <w:r w:rsidRPr="006F4C62">
              <w:t>dBm</w:t>
            </w:r>
            <w:proofErr w:type="spellEnd"/>
          </w:p>
        </w:tc>
        <w:tc>
          <w:tcPr>
            <w:tcW w:w="1926" w:type="dxa"/>
            <w:gridSpan w:val="2"/>
            <w:vMerge w:val="restart"/>
          </w:tcPr>
          <w:p w:rsidR="00067AAD" w:rsidRPr="006F4C62" w:rsidRDefault="00067AAD" w:rsidP="006630E5">
            <w:pPr>
              <w:jc w:val="left"/>
            </w:pPr>
          </w:p>
        </w:tc>
      </w:tr>
      <w:tr w:rsidR="00067AAD" w:rsidRPr="006F4C62" w:rsidTr="006630E5">
        <w:trPr>
          <w:cantSplit/>
          <w:trHeight w:val="628"/>
        </w:trPr>
        <w:tc>
          <w:tcPr>
            <w:tcW w:w="1219" w:type="dxa"/>
            <w:vMerge/>
          </w:tcPr>
          <w:p w:rsidR="00067AAD" w:rsidRPr="006F4C62" w:rsidRDefault="00067AAD" w:rsidP="006630E5">
            <w:pPr>
              <w:pStyle w:val="ECCParagraph"/>
              <w:jc w:val="left"/>
            </w:pPr>
          </w:p>
        </w:tc>
        <w:tc>
          <w:tcPr>
            <w:tcW w:w="1985" w:type="dxa"/>
            <w:vMerge/>
          </w:tcPr>
          <w:p w:rsidR="00067AAD" w:rsidRPr="006F4C62" w:rsidRDefault="00067AAD" w:rsidP="006630E5">
            <w:pPr>
              <w:pStyle w:val="ECCParagraph"/>
              <w:jc w:val="left"/>
            </w:pPr>
          </w:p>
        </w:tc>
        <w:tc>
          <w:tcPr>
            <w:tcW w:w="2551" w:type="dxa"/>
          </w:tcPr>
          <w:p w:rsidR="00067AAD" w:rsidRPr="006F4C62" w:rsidRDefault="00067AAD" w:rsidP="006630E5">
            <w:pPr>
              <w:jc w:val="left"/>
            </w:pPr>
            <w:r w:rsidRPr="006F4C62">
              <w:t xml:space="preserve">1 GHz &lt; </w:t>
            </w:r>
            <w:r w:rsidRPr="006F4C62">
              <w:rPr>
                <w:i/>
              </w:rPr>
              <w:t>f</w:t>
            </w:r>
            <w:r w:rsidRPr="006F4C62">
              <w:t xml:space="preserve"> </w:t>
            </w:r>
            <w:r w:rsidRPr="006F4C62">
              <w:sym w:font="Symbol" w:char="F0A3"/>
            </w:r>
            <w:r w:rsidRPr="006F4C62">
              <w:t xml:space="preserve"> F</w:t>
            </w:r>
            <w:r w:rsidRPr="006F4C62">
              <w:rPr>
                <w:caps/>
                <w:vertAlign w:val="subscript"/>
              </w:rPr>
              <w:t>upper</w:t>
            </w:r>
            <w:r w:rsidRPr="006F4C62">
              <w:t xml:space="preserve"> </w:t>
            </w:r>
            <w:r w:rsidRPr="006F4C62">
              <w:br/>
              <w:t xml:space="preserve">(see </w:t>
            </w:r>
            <w:r w:rsidRPr="006F4C62">
              <w:rPr>
                <w:i/>
              </w:rPr>
              <w:t>recommends 3</w:t>
            </w:r>
            <w:r w:rsidRPr="006F4C62">
              <w:t>)</w:t>
            </w:r>
          </w:p>
        </w:tc>
        <w:tc>
          <w:tcPr>
            <w:tcW w:w="1843" w:type="dxa"/>
          </w:tcPr>
          <w:p w:rsidR="00067AAD" w:rsidRPr="006F4C62" w:rsidRDefault="00067AAD" w:rsidP="006630E5">
            <w:pPr>
              <w:jc w:val="left"/>
            </w:pPr>
            <w:r w:rsidRPr="006F4C62">
              <w:t xml:space="preserve">-30 </w:t>
            </w:r>
            <w:proofErr w:type="spellStart"/>
            <w:r w:rsidRPr="006F4C62">
              <w:t>dBm</w:t>
            </w:r>
            <w:proofErr w:type="spellEnd"/>
          </w:p>
        </w:tc>
        <w:tc>
          <w:tcPr>
            <w:tcW w:w="1926" w:type="dxa"/>
            <w:gridSpan w:val="2"/>
            <w:vMerge/>
          </w:tcPr>
          <w:p w:rsidR="00067AAD" w:rsidRPr="006F4C62" w:rsidRDefault="00067AAD" w:rsidP="006630E5">
            <w:pPr>
              <w:jc w:val="left"/>
            </w:pPr>
          </w:p>
        </w:tc>
      </w:tr>
      <w:tr w:rsidR="00067AAD" w:rsidRPr="006F4C62" w:rsidTr="006630E5">
        <w:trPr>
          <w:cantSplit/>
          <w:trHeight w:val="883"/>
        </w:trPr>
        <w:tc>
          <w:tcPr>
            <w:tcW w:w="1219" w:type="dxa"/>
            <w:vMerge w:val="restart"/>
          </w:tcPr>
          <w:p w:rsidR="00067AAD" w:rsidRPr="006F4C62" w:rsidRDefault="00067AAD" w:rsidP="006630E5">
            <w:pPr>
              <w:pStyle w:val="ECCParagraph"/>
              <w:jc w:val="left"/>
            </w:pPr>
            <w:r w:rsidRPr="006F4C62">
              <w:t>3.1.5</w:t>
            </w:r>
          </w:p>
        </w:tc>
        <w:tc>
          <w:tcPr>
            <w:tcW w:w="1985" w:type="dxa"/>
            <w:vMerge w:val="restart"/>
          </w:tcPr>
          <w:p w:rsidR="00067AAD" w:rsidRPr="006F4C62" w:rsidRDefault="00067AAD" w:rsidP="006630E5">
            <w:pPr>
              <w:pStyle w:val="ECCParagraph"/>
              <w:jc w:val="left"/>
            </w:pPr>
            <w:r w:rsidRPr="006F4C62">
              <w:t>Mobile Earth Stations (MES) (see Note 1bis) operating below 3 GHz: receivers, receive only MES and transmitters in the carrier-off state</w:t>
            </w:r>
          </w:p>
        </w:tc>
        <w:tc>
          <w:tcPr>
            <w:tcW w:w="2551" w:type="dxa"/>
          </w:tcPr>
          <w:p w:rsidR="00067AAD" w:rsidRPr="006F4C62" w:rsidRDefault="00067AAD" w:rsidP="006630E5">
            <w:pPr>
              <w:jc w:val="left"/>
            </w:pPr>
            <w:r w:rsidRPr="006F4C62">
              <w:t xml:space="preserve">9 kHz </w:t>
            </w:r>
            <w:r w:rsidRPr="006F4C62">
              <w:sym w:font="Symbol" w:char="F0A3"/>
            </w:r>
            <w:r w:rsidRPr="006F4C62">
              <w:t xml:space="preserve"> </w:t>
            </w:r>
            <w:r w:rsidRPr="006F4C62">
              <w:rPr>
                <w:i/>
              </w:rPr>
              <w:t>f</w:t>
            </w:r>
            <w:r w:rsidRPr="006F4C62">
              <w:t xml:space="preserve"> </w:t>
            </w:r>
            <w:r w:rsidRPr="006F4C62">
              <w:sym w:font="Symbol" w:char="F0A3"/>
            </w:r>
            <w:r w:rsidRPr="006F4C62">
              <w:t xml:space="preserve"> 1 GHz</w:t>
            </w:r>
          </w:p>
        </w:tc>
        <w:tc>
          <w:tcPr>
            <w:tcW w:w="1843" w:type="dxa"/>
          </w:tcPr>
          <w:p w:rsidR="00067AAD" w:rsidRPr="006F4C62" w:rsidRDefault="00067AAD" w:rsidP="006630E5">
            <w:pPr>
              <w:jc w:val="left"/>
            </w:pPr>
            <w:r w:rsidRPr="006F4C62">
              <w:t xml:space="preserve">- 57 </w:t>
            </w:r>
            <w:proofErr w:type="spellStart"/>
            <w:r w:rsidRPr="006F4C62">
              <w:t>dBm</w:t>
            </w:r>
            <w:proofErr w:type="spellEnd"/>
          </w:p>
        </w:tc>
        <w:tc>
          <w:tcPr>
            <w:tcW w:w="1926" w:type="dxa"/>
            <w:gridSpan w:val="2"/>
            <w:vMerge w:val="restart"/>
          </w:tcPr>
          <w:p w:rsidR="00067AAD" w:rsidRPr="006F4C62" w:rsidRDefault="00067AAD" w:rsidP="006630E5">
            <w:pPr>
              <w:jc w:val="left"/>
            </w:pPr>
          </w:p>
        </w:tc>
      </w:tr>
      <w:tr w:rsidR="00067AAD" w:rsidRPr="006F4C62" w:rsidTr="006630E5">
        <w:trPr>
          <w:cantSplit/>
          <w:trHeight w:val="937"/>
        </w:trPr>
        <w:tc>
          <w:tcPr>
            <w:tcW w:w="1219" w:type="dxa"/>
            <w:vMerge/>
          </w:tcPr>
          <w:p w:rsidR="00067AAD" w:rsidRPr="006F4C62" w:rsidRDefault="00067AAD" w:rsidP="006630E5">
            <w:pPr>
              <w:pStyle w:val="ECCParagraph"/>
              <w:jc w:val="left"/>
            </w:pPr>
          </w:p>
        </w:tc>
        <w:tc>
          <w:tcPr>
            <w:tcW w:w="1985" w:type="dxa"/>
            <w:vMerge/>
          </w:tcPr>
          <w:p w:rsidR="00067AAD" w:rsidRPr="006F4C62" w:rsidRDefault="00067AAD" w:rsidP="006630E5">
            <w:pPr>
              <w:pStyle w:val="ECCParagraph"/>
              <w:jc w:val="left"/>
            </w:pPr>
          </w:p>
        </w:tc>
        <w:tc>
          <w:tcPr>
            <w:tcW w:w="2551" w:type="dxa"/>
          </w:tcPr>
          <w:p w:rsidR="00067AAD" w:rsidRPr="006F4C62" w:rsidRDefault="00067AAD" w:rsidP="006630E5">
            <w:pPr>
              <w:jc w:val="left"/>
            </w:pPr>
            <w:r w:rsidRPr="006F4C62">
              <w:t xml:space="preserve">1 GHz &lt; </w:t>
            </w:r>
            <w:r w:rsidRPr="006F4C62">
              <w:rPr>
                <w:i/>
              </w:rPr>
              <w:t>f</w:t>
            </w:r>
            <w:r w:rsidRPr="006F4C62">
              <w:t xml:space="preserve"> </w:t>
            </w:r>
            <w:r w:rsidRPr="006F4C62">
              <w:sym w:font="Symbol" w:char="F0A3"/>
            </w:r>
            <w:r w:rsidRPr="006F4C62">
              <w:t xml:space="preserve"> F</w:t>
            </w:r>
            <w:r w:rsidRPr="006F4C62">
              <w:rPr>
                <w:caps/>
                <w:vertAlign w:val="subscript"/>
              </w:rPr>
              <w:t>upper</w:t>
            </w:r>
            <w:r w:rsidRPr="006F4C62">
              <w:t xml:space="preserve"> </w:t>
            </w:r>
            <w:r w:rsidRPr="006F4C62">
              <w:br/>
              <w:t xml:space="preserve">(see </w:t>
            </w:r>
            <w:r w:rsidRPr="006F4C62">
              <w:rPr>
                <w:i/>
              </w:rPr>
              <w:t>recommends 11</w:t>
            </w:r>
            <w:r w:rsidRPr="006F4C62">
              <w:t>)</w:t>
            </w:r>
          </w:p>
        </w:tc>
        <w:tc>
          <w:tcPr>
            <w:tcW w:w="1843" w:type="dxa"/>
          </w:tcPr>
          <w:p w:rsidR="00067AAD" w:rsidRPr="006F4C62" w:rsidRDefault="00067AAD" w:rsidP="006630E5">
            <w:pPr>
              <w:jc w:val="left"/>
            </w:pPr>
            <w:r w:rsidRPr="006F4C62">
              <w:t xml:space="preserve">- 47 </w:t>
            </w:r>
            <w:proofErr w:type="spellStart"/>
            <w:r w:rsidRPr="006F4C62">
              <w:t>dBm</w:t>
            </w:r>
            <w:proofErr w:type="spellEnd"/>
          </w:p>
        </w:tc>
        <w:tc>
          <w:tcPr>
            <w:tcW w:w="1926" w:type="dxa"/>
            <w:gridSpan w:val="2"/>
            <w:vMerge/>
          </w:tcPr>
          <w:p w:rsidR="00067AAD" w:rsidRPr="006F4C62" w:rsidRDefault="00067AAD" w:rsidP="006630E5">
            <w:pPr>
              <w:jc w:val="left"/>
            </w:pPr>
          </w:p>
        </w:tc>
      </w:tr>
    </w:tbl>
    <w:p w:rsidR="00067AAD" w:rsidRDefault="00067AAD" w:rsidP="00AB7694">
      <w:pPr>
        <w:rPr>
          <w:rFonts w:eastAsia="宋体"/>
          <w:lang w:eastAsia="zh-CN"/>
        </w:rPr>
      </w:pPr>
      <w:r>
        <w:rPr>
          <w:rFonts w:eastAsia="宋体" w:hint="eastAsia"/>
          <w:lang w:eastAsia="zh-CN"/>
        </w:rPr>
        <w:t>A</w:t>
      </w:r>
      <w:r>
        <w:rPr>
          <w:rFonts w:eastAsia="宋体"/>
          <w:lang w:eastAsia="zh-CN"/>
        </w:rPr>
        <w:t>nd the following reference bandwidths should be used:</w:t>
      </w:r>
    </w:p>
    <w:p w:rsidR="00067AAD" w:rsidRPr="00067AAD" w:rsidRDefault="00067AAD" w:rsidP="00067AAD">
      <w:pPr>
        <w:pStyle w:val="afc"/>
        <w:numPr>
          <w:ilvl w:val="0"/>
          <w:numId w:val="15"/>
        </w:numPr>
        <w:tabs>
          <w:tab w:val="left" w:pos="1418"/>
          <w:tab w:val="left" w:pos="1985"/>
        </w:tabs>
        <w:spacing w:after="120"/>
        <w:ind w:firstLineChars="0"/>
        <w:contextualSpacing/>
        <w:jc w:val="both"/>
        <w:rPr>
          <w:rFonts w:ascii="Times New Roman" w:hAnsi="Times New Roman" w:cs="Times New Roman"/>
          <w:sz w:val="20"/>
          <w:szCs w:val="20"/>
        </w:rPr>
      </w:pPr>
      <w:r w:rsidRPr="00067AAD">
        <w:rPr>
          <w:rFonts w:ascii="Times New Roman" w:hAnsi="Times New Roman" w:cs="Times New Roman"/>
          <w:sz w:val="20"/>
          <w:szCs w:val="20"/>
        </w:rPr>
        <w:t xml:space="preserve">1 kHz </w:t>
      </w:r>
      <w:r w:rsidRPr="00067AAD">
        <w:rPr>
          <w:rFonts w:ascii="Times New Roman" w:hAnsi="Times New Roman" w:cs="Times New Roman"/>
          <w:sz w:val="20"/>
          <w:szCs w:val="20"/>
        </w:rPr>
        <w:tab/>
      </w:r>
      <w:r w:rsidRPr="00067AAD">
        <w:rPr>
          <w:rFonts w:ascii="Times New Roman" w:hAnsi="Times New Roman" w:cs="Times New Roman"/>
          <w:sz w:val="20"/>
          <w:szCs w:val="20"/>
        </w:rPr>
        <w:tab/>
        <w:t xml:space="preserve">between </w:t>
      </w:r>
      <w:r w:rsidRPr="00067AAD">
        <w:rPr>
          <w:rFonts w:ascii="Times New Roman" w:hAnsi="Times New Roman" w:cs="Times New Roman"/>
          <w:sz w:val="20"/>
          <w:szCs w:val="20"/>
        </w:rPr>
        <w:tab/>
        <w:t>9 and 150 kHz</w:t>
      </w:r>
    </w:p>
    <w:p w:rsidR="00067AAD" w:rsidRPr="00067AAD" w:rsidRDefault="00067AAD" w:rsidP="00067AAD">
      <w:pPr>
        <w:pStyle w:val="afc"/>
        <w:numPr>
          <w:ilvl w:val="0"/>
          <w:numId w:val="15"/>
        </w:numPr>
        <w:tabs>
          <w:tab w:val="left" w:pos="1418"/>
          <w:tab w:val="left" w:pos="1985"/>
        </w:tabs>
        <w:spacing w:before="68" w:after="120"/>
        <w:ind w:firstLineChars="0"/>
        <w:contextualSpacing/>
        <w:jc w:val="both"/>
        <w:rPr>
          <w:rFonts w:ascii="Times New Roman" w:hAnsi="Times New Roman" w:cs="Times New Roman"/>
          <w:sz w:val="20"/>
          <w:szCs w:val="20"/>
        </w:rPr>
      </w:pPr>
      <w:r w:rsidRPr="00067AAD">
        <w:rPr>
          <w:rFonts w:ascii="Times New Roman" w:hAnsi="Times New Roman" w:cs="Times New Roman"/>
          <w:sz w:val="20"/>
          <w:szCs w:val="20"/>
        </w:rPr>
        <w:t xml:space="preserve">10 kHz </w:t>
      </w:r>
      <w:r w:rsidRPr="00067AAD">
        <w:rPr>
          <w:rFonts w:ascii="Times New Roman" w:hAnsi="Times New Roman" w:cs="Times New Roman"/>
          <w:sz w:val="20"/>
          <w:szCs w:val="20"/>
        </w:rPr>
        <w:tab/>
      </w:r>
      <w:r w:rsidRPr="00067AAD">
        <w:rPr>
          <w:rFonts w:ascii="Times New Roman" w:hAnsi="Times New Roman" w:cs="Times New Roman"/>
          <w:sz w:val="20"/>
          <w:szCs w:val="20"/>
        </w:rPr>
        <w:tab/>
        <w:t xml:space="preserve">between </w:t>
      </w:r>
      <w:r w:rsidRPr="00067AAD">
        <w:rPr>
          <w:rFonts w:ascii="Times New Roman" w:hAnsi="Times New Roman" w:cs="Times New Roman"/>
          <w:sz w:val="20"/>
          <w:szCs w:val="20"/>
        </w:rPr>
        <w:tab/>
        <w:t>150 kHz and 30 MHz</w:t>
      </w:r>
    </w:p>
    <w:p w:rsidR="00067AAD" w:rsidRPr="00067AAD" w:rsidRDefault="00067AAD" w:rsidP="00067AAD">
      <w:pPr>
        <w:pStyle w:val="afc"/>
        <w:numPr>
          <w:ilvl w:val="0"/>
          <w:numId w:val="15"/>
        </w:numPr>
        <w:tabs>
          <w:tab w:val="left" w:pos="1418"/>
          <w:tab w:val="left" w:pos="1985"/>
        </w:tabs>
        <w:spacing w:before="68" w:after="120"/>
        <w:ind w:firstLineChars="0"/>
        <w:contextualSpacing/>
        <w:jc w:val="both"/>
        <w:rPr>
          <w:rFonts w:ascii="Times New Roman" w:hAnsi="Times New Roman" w:cs="Times New Roman"/>
          <w:sz w:val="20"/>
          <w:szCs w:val="20"/>
        </w:rPr>
      </w:pPr>
      <w:r w:rsidRPr="00067AAD">
        <w:rPr>
          <w:rFonts w:ascii="Times New Roman" w:hAnsi="Times New Roman" w:cs="Times New Roman"/>
          <w:sz w:val="20"/>
          <w:szCs w:val="20"/>
        </w:rPr>
        <w:t xml:space="preserve">100 kHz </w:t>
      </w:r>
      <w:r>
        <w:rPr>
          <w:rFonts w:ascii="Times New Roman" w:hAnsi="Times New Roman" w:cs="Times New Roman"/>
          <w:sz w:val="20"/>
          <w:szCs w:val="20"/>
        </w:rPr>
        <w:t xml:space="preserve"> </w:t>
      </w:r>
      <w:r w:rsidRPr="00067AAD">
        <w:rPr>
          <w:rFonts w:ascii="Times New Roman" w:hAnsi="Times New Roman" w:cs="Times New Roman"/>
          <w:sz w:val="20"/>
          <w:szCs w:val="20"/>
        </w:rPr>
        <w:t xml:space="preserve">between </w:t>
      </w:r>
      <w:r w:rsidRPr="00067AAD">
        <w:rPr>
          <w:rFonts w:ascii="Times New Roman" w:hAnsi="Times New Roman" w:cs="Times New Roman"/>
          <w:sz w:val="20"/>
          <w:szCs w:val="20"/>
        </w:rPr>
        <w:tab/>
        <w:t>30 MHz and 1 GHz</w:t>
      </w:r>
    </w:p>
    <w:p w:rsidR="00067AAD" w:rsidRPr="00067AAD" w:rsidRDefault="00067AAD" w:rsidP="00067AAD">
      <w:pPr>
        <w:pStyle w:val="afc"/>
        <w:numPr>
          <w:ilvl w:val="0"/>
          <w:numId w:val="15"/>
        </w:numPr>
        <w:tabs>
          <w:tab w:val="left" w:pos="1418"/>
          <w:tab w:val="left" w:pos="1985"/>
        </w:tabs>
        <w:spacing w:before="68"/>
        <w:ind w:firstLineChars="0"/>
        <w:contextualSpacing/>
        <w:jc w:val="both"/>
        <w:rPr>
          <w:rFonts w:ascii="Times New Roman" w:hAnsi="Times New Roman" w:cs="Times New Roman"/>
          <w:sz w:val="20"/>
          <w:szCs w:val="20"/>
          <w:u w:val="single"/>
        </w:rPr>
      </w:pPr>
      <w:r w:rsidRPr="00067AAD">
        <w:rPr>
          <w:rFonts w:ascii="Times New Roman" w:hAnsi="Times New Roman" w:cs="Times New Roman"/>
          <w:sz w:val="20"/>
          <w:szCs w:val="20"/>
        </w:rPr>
        <w:t>1 MHz</w:t>
      </w:r>
      <w:r w:rsidRPr="00067AAD">
        <w:rPr>
          <w:rFonts w:ascii="Times New Roman" w:hAnsi="Times New Roman" w:cs="Times New Roman"/>
          <w:sz w:val="20"/>
          <w:szCs w:val="20"/>
        </w:rPr>
        <w:tab/>
      </w:r>
      <w:r w:rsidRPr="00067AAD">
        <w:rPr>
          <w:rFonts w:ascii="Times New Roman" w:hAnsi="Times New Roman" w:cs="Times New Roman"/>
          <w:sz w:val="20"/>
          <w:szCs w:val="20"/>
        </w:rPr>
        <w:tab/>
        <w:t xml:space="preserve">above </w:t>
      </w:r>
      <w:r w:rsidRPr="00067AAD">
        <w:rPr>
          <w:rFonts w:ascii="Times New Roman" w:hAnsi="Times New Roman" w:cs="Times New Roman"/>
          <w:sz w:val="20"/>
          <w:szCs w:val="20"/>
        </w:rPr>
        <w:tab/>
      </w:r>
      <w:r w:rsidRPr="00067AAD">
        <w:rPr>
          <w:rFonts w:ascii="Times New Roman" w:hAnsi="Times New Roman" w:cs="Times New Roman"/>
          <w:sz w:val="20"/>
          <w:szCs w:val="20"/>
        </w:rPr>
        <w:tab/>
        <w:t>1 GHz</w:t>
      </w:r>
    </w:p>
    <w:p w:rsidR="00067AAD" w:rsidRPr="00753B92" w:rsidRDefault="00067AAD" w:rsidP="00AB7694">
      <w:pPr>
        <w:rPr>
          <w:rFonts w:eastAsia="宋体"/>
          <w:lang w:eastAsia="zh-CN"/>
        </w:rPr>
      </w:pPr>
      <w:r>
        <w:rPr>
          <w:rFonts w:eastAsia="宋体" w:hint="eastAsia"/>
          <w:lang w:eastAsia="zh-CN"/>
        </w:rPr>
        <w:t>I</w:t>
      </w:r>
      <w:r>
        <w:rPr>
          <w:rFonts w:eastAsia="宋体"/>
          <w:lang w:eastAsia="zh-CN"/>
        </w:rPr>
        <w:t xml:space="preserve">t’s similar with current general spurious emission requirements for IMT UE. But, </w:t>
      </w:r>
      <w:r w:rsidR="00753B92">
        <w:rPr>
          <w:rFonts w:eastAsia="宋体"/>
          <w:lang w:eastAsia="zh-CN"/>
        </w:rPr>
        <w:t xml:space="preserve">the lower frequency edge and </w:t>
      </w:r>
      <w:proofErr w:type="spellStart"/>
      <w:r w:rsidR="00753B92">
        <w:rPr>
          <w:rFonts w:eastAsia="宋体"/>
          <w:lang w:eastAsia="zh-CN"/>
        </w:rPr>
        <w:t>F</w:t>
      </w:r>
      <w:r w:rsidR="00753B92" w:rsidRPr="00753B92">
        <w:rPr>
          <w:rFonts w:eastAsia="宋体"/>
          <w:vertAlign w:val="subscript"/>
          <w:lang w:eastAsia="zh-CN"/>
        </w:rPr>
        <w:t>upper</w:t>
      </w:r>
      <w:proofErr w:type="spellEnd"/>
      <w:r w:rsidR="00753B92">
        <w:rPr>
          <w:rFonts w:eastAsia="宋体"/>
          <w:vertAlign w:val="subscript"/>
          <w:lang w:eastAsia="zh-CN"/>
        </w:rPr>
        <w:t xml:space="preserve"> </w:t>
      </w:r>
      <w:r w:rsidR="00753B92">
        <w:rPr>
          <w:rFonts w:eastAsia="宋体"/>
          <w:lang w:eastAsia="zh-CN"/>
        </w:rPr>
        <w:t>can be further discussed.</w:t>
      </w:r>
    </w:p>
    <w:p w:rsidR="00067AAD" w:rsidRPr="00DA7EFA" w:rsidRDefault="00753B92" w:rsidP="00AB7694">
      <w:pPr>
        <w:rPr>
          <w:rFonts w:eastAsia="宋体"/>
          <w:b/>
          <w:lang w:eastAsia="zh-CN"/>
        </w:rPr>
      </w:pPr>
      <w:r w:rsidRPr="00DA7EFA">
        <w:rPr>
          <w:rFonts w:eastAsia="宋体"/>
          <w:b/>
          <w:lang w:eastAsia="zh-CN"/>
        </w:rPr>
        <w:t xml:space="preserve">Observation 1: </w:t>
      </w:r>
      <w:r w:rsidR="00DA7EFA" w:rsidRPr="00DA7EFA">
        <w:rPr>
          <w:rFonts w:eastAsia="宋体"/>
          <w:b/>
          <w:lang w:eastAsia="zh-CN"/>
        </w:rPr>
        <w:t>the general spurious emission requirements specified in ERC Recommendation 74-01 for mobile earth station are similar with general spurious emission requirements specified in TS 38.101-1 for IMT UE.</w:t>
      </w:r>
    </w:p>
    <w:p w:rsidR="00CA5684" w:rsidRDefault="00EB4467" w:rsidP="00AB7694">
      <w:pPr>
        <w:rPr>
          <w:rFonts w:eastAsia="宋体"/>
          <w:b/>
        </w:rPr>
      </w:pPr>
      <w:r>
        <w:rPr>
          <w:rFonts w:eastAsia="宋体"/>
          <w:b/>
        </w:rPr>
        <w:t>4</w:t>
      </w:r>
      <w:r w:rsidR="00CA5684">
        <w:rPr>
          <w:rFonts w:eastAsia="宋体"/>
          <w:b/>
        </w:rPr>
        <w:t xml:space="preserve">) </w:t>
      </w:r>
      <w:r w:rsidR="00CA5684" w:rsidRPr="00CA5684">
        <w:rPr>
          <w:rFonts w:eastAsia="宋体"/>
          <w:b/>
        </w:rPr>
        <w:t>The requirements for Minimum output power</w:t>
      </w:r>
    </w:p>
    <w:p w:rsidR="00CA5684" w:rsidRPr="00DA7EFA" w:rsidRDefault="00DA7EFA" w:rsidP="00AB7694">
      <w:pPr>
        <w:rPr>
          <w:rFonts w:eastAsia="宋体"/>
          <w:lang w:eastAsia="zh-CN"/>
        </w:rPr>
      </w:pPr>
      <w:r w:rsidRPr="00DA7EFA">
        <w:rPr>
          <w:rFonts w:eastAsia="宋体" w:hint="eastAsia"/>
          <w:lang w:eastAsia="zh-CN"/>
        </w:rPr>
        <w:t>B</w:t>
      </w:r>
      <w:r w:rsidRPr="00DA7EFA">
        <w:rPr>
          <w:rFonts w:eastAsia="宋体"/>
          <w:lang w:eastAsia="zh-CN"/>
        </w:rPr>
        <w:t xml:space="preserve">ased on the simulation results, all the NTN UE transmit the Maximum output power due to the </w:t>
      </w:r>
      <w:r>
        <w:rPr>
          <w:rFonts w:eastAsia="宋体"/>
          <w:lang w:eastAsia="zh-CN"/>
        </w:rPr>
        <w:t xml:space="preserve">large path loss. Thus, working group can consider to remove the requirement for </w:t>
      </w:r>
      <w:r w:rsidRPr="00DA7EFA">
        <w:rPr>
          <w:rFonts w:eastAsia="宋体"/>
          <w:lang w:eastAsia="zh-CN"/>
        </w:rPr>
        <w:t>Minimum output power</w:t>
      </w:r>
      <w:r>
        <w:rPr>
          <w:rFonts w:eastAsia="宋体"/>
          <w:lang w:eastAsia="zh-CN"/>
        </w:rPr>
        <w:t>.</w:t>
      </w:r>
    </w:p>
    <w:p w:rsidR="00B9503B" w:rsidRDefault="00B9503B" w:rsidP="00AB7694">
      <w:pPr>
        <w:rPr>
          <w:rFonts w:eastAsia="宋体"/>
          <w:b/>
          <w:lang w:eastAsia="zh-CN"/>
        </w:rPr>
      </w:pPr>
      <w:r>
        <w:rPr>
          <w:rFonts w:eastAsia="宋体"/>
          <w:b/>
          <w:lang w:eastAsia="zh-CN"/>
        </w:rPr>
        <w:t>Proposal</w:t>
      </w:r>
      <w:r>
        <w:rPr>
          <w:rFonts w:eastAsia="宋体" w:hint="eastAsia"/>
          <w:b/>
          <w:lang w:eastAsia="zh-CN"/>
        </w:rPr>
        <w:t xml:space="preserve"> </w:t>
      </w:r>
      <w:r w:rsidR="00DA7EFA">
        <w:rPr>
          <w:rFonts w:eastAsia="宋体"/>
          <w:b/>
          <w:lang w:eastAsia="zh-CN"/>
        </w:rPr>
        <w:t>3</w:t>
      </w:r>
      <w:r>
        <w:rPr>
          <w:rFonts w:eastAsia="宋体"/>
          <w:b/>
          <w:lang w:eastAsia="zh-CN"/>
        </w:rPr>
        <w:t>:</w:t>
      </w:r>
      <w:r w:rsidRPr="00EF48CA">
        <w:t xml:space="preserve"> </w:t>
      </w:r>
      <w:r>
        <w:rPr>
          <w:rFonts w:eastAsia="宋体"/>
          <w:b/>
          <w:lang w:eastAsia="zh-CN"/>
        </w:rPr>
        <w:t xml:space="preserve">It’s </w:t>
      </w:r>
      <w:r w:rsidR="00DA7EFA">
        <w:rPr>
          <w:rFonts w:eastAsia="宋体"/>
          <w:b/>
          <w:lang w:eastAsia="zh-CN"/>
        </w:rPr>
        <w:t>recommend</w:t>
      </w:r>
      <w:r>
        <w:rPr>
          <w:rFonts w:eastAsia="宋体"/>
          <w:b/>
          <w:lang w:eastAsia="zh-CN"/>
        </w:rPr>
        <w:t xml:space="preserve">ed </w:t>
      </w:r>
      <w:r w:rsidR="00DA7EFA">
        <w:rPr>
          <w:rFonts w:eastAsia="宋体"/>
          <w:b/>
          <w:lang w:eastAsia="zh-CN"/>
        </w:rPr>
        <w:t xml:space="preserve">not </w:t>
      </w:r>
      <w:r>
        <w:rPr>
          <w:rFonts w:eastAsia="宋体"/>
          <w:b/>
          <w:lang w:eastAsia="zh-CN"/>
        </w:rPr>
        <w:t xml:space="preserve">to </w:t>
      </w:r>
      <w:r w:rsidR="00DA7EFA">
        <w:rPr>
          <w:rFonts w:eastAsia="宋体"/>
          <w:b/>
          <w:lang w:eastAsia="zh-CN"/>
        </w:rPr>
        <w:t xml:space="preserve">specify the </w:t>
      </w:r>
      <w:r w:rsidR="00DA7EFA" w:rsidRPr="00DA7EFA">
        <w:rPr>
          <w:rFonts w:eastAsia="宋体"/>
          <w:b/>
          <w:lang w:eastAsia="zh-CN"/>
        </w:rPr>
        <w:t>Minimum output power</w:t>
      </w:r>
      <w:r w:rsidR="00DA7EFA">
        <w:rPr>
          <w:rFonts w:eastAsia="宋体"/>
          <w:b/>
          <w:lang w:eastAsia="zh-CN"/>
        </w:rPr>
        <w:t xml:space="preserve"> requirements for NTN UE</w:t>
      </w:r>
      <w:r>
        <w:rPr>
          <w:rFonts w:eastAsia="宋体"/>
          <w:b/>
          <w:lang w:eastAsia="zh-CN"/>
        </w:rPr>
        <w:t>.</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631263" w:rsidRDefault="00631263" w:rsidP="00631263">
      <w:pPr>
        <w:rPr>
          <w:rFonts w:eastAsia="宋体"/>
          <w:b/>
          <w:lang w:eastAsia="zh-CN"/>
        </w:rPr>
      </w:pPr>
      <w:r w:rsidRPr="006D0F23">
        <w:rPr>
          <w:rFonts w:eastAsia="宋体"/>
          <w:b/>
          <w:lang w:eastAsia="zh-CN"/>
        </w:rPr>
        <w:t xml:space="preserve">Proposal </w:t>
      </w:r>
      <w:r>
        <w:rPr>
          <w:rFonts w:eastAsia="宋体"/>
          <w:b/>
          <w:lang w:eastAsia="zh-CN"/>
        </w:rPr>
        <w:t>1</w:t>
      </w:r>
      <w:r w:rsidRPr="006D0F23">
        <w:rPr>
          <w:rFonts w:eastAsia="宋体"/>
          <w:b/>
          <w:lang w:eastAsia="zh-CN"/>
        </w:rPr>
        <w:t xml:space="preserve">: </w:t>
      </w:r>
      <w:r>
        <w:rPr>
          <w:rFonts w:eastAsia="宋体"/>
          <w:b/>
          <w:lang w:eastAsia="zh-CN"/>
        </w:rPr>
        <w:t xml:space="preserve">If </w:t>
      </w:r>
      <w:r w:rsidRPr="00274815">
        <w:rPr>
          <w:rFonts w:eastAsia="宋体"/>
          <w:b/>
          <w:lang w:eastAsia="zh-CN"/>
        </w:rPr>
        <w:t xml:space="preserve">co-existence study </w:t>
      </w:r>
      <w:r>
        <w:rPr>
          <w:rFonts w:eastAsia="宋体"/>
          <w:b/>
          <w:lang w:eastAsia="zh-CN"/>
        </w:rPr>
        <w:t xml:space="preserve">shows that </w:t>
      </w:r>
      <w:r w:rsidRPr="00274815">
        <w:rPr>
          <w:rFonts w:eastAsia="宋体"/>
          <w:b/>
          <w:lang w:eastAsia="zh-CN"/>
        </w:rPr>
        <w:t>ACLR results for NTN UE are less than 30dB</w:t>
      </w:r>
      <w:r>
        <w:rPr>
          <w:rFonts w:eastAsia="宋体"/>
          <w:b/>
          <w:lang w:eastAsia="zh-CN"/>
        </w:rPr>
        <w:t>, it’s recommended for working group to trade off option 1 and option 2.</w:t>
      </w:r>
    </w:p>
    <w:p w:rsidR="00631263" w:rsidRPr="00986289" w:rsidRDefault="00631263" w:rsidP="00631263">
      <w:pPr>
        <w:rPr>
          <w:rFonts w:eastAsia="宋体"/>
          <w:lang w:eastAsia="zh-CN"/>
        </w:rPr>
      </w:pPr>
      <w:r w:rsidRPr="006D0F23">
        <w:rPr>
          <w:rFonts w:eastAsia="宋体"/>
          <w:b/>
          <w:lang w:eastAsia="zh-CN"/>
        </w:rPr>
        <w:t xml:space="preserve">Proposal </w:t>
      </w:r>
      <w:r>
        <w:rPr>
          <w:rFonts w:eastAsia="宋体"/>
          <w:b/>
          <w:lang w:eastAsia="zh-CN"/>
        </w:rPr>
        <w:t>2</w:t>
      </w:r>
      <w:r w:rsidRPr="006D0F23">
        <w:rPr>
          <w:rFonts w:eastAsia="宋体"/>
          <w:b/>
          <w:lang w:eastAsia="zh-CN"/>
        </w:rPr>
        <w:t xml:space="preserve">: </w:t>
      </w:r>
      <w:r>
        <w:rPr>
          <w:rFonts w:eastAsia="宋体"/>
          <w:b/>
          <w:lang w:eastAsia="zh-CN"/>
        </w:rPr>
        <w:t>T</w:t>
      </w:r>
      <w:r w:rsidRPr="000925D2">
        <w:rPr>
          <w:rFonts w:eastAsia="宋体"/>
          <w:b/>
          <w:lang w:eastAsia="zh-CN"/>
        </w:rPr>
        <w:t>o include UL 64QAM for NTN UE.</w:t>
      </w:r>
    </w:p>
    <w:p w:rsidR="00A16513" w:rsidRDefault="00631263" w:rsidP="00B23B33">
      <w:pPr>
        <w:rPr>
          <w:rFonts w:eastAsia="宋体"/>
          <w:b/>
          <w:lang w:eastAsia="zh-CN"/>
        </w:rPr>
      </w:pPr>
      <w:r w:rsidRPr="00DA7EFA">
        <w:rPr>
          <w:rFonts w:eastAsia="宋体"/>
          <w:b/>
          <w:lang w:eastAsia="zh-CN"/>
        </w:rPr>
        <w:lastRenderedPageBreak/>
        <w:t>Observation 1: the general spurious emission requirements specified in ERC Recommendation 74-01 for mobile earth station are similar with general spurious emission requirements specified in TS 38.101-1 for IMT UE.</w:t>
      </w:r>
    </w:p>
    <w:p w:rsidR="00631263" w:rsidRPr="00631263" w:rsidRDefault="00631263" w:rsidP="00B23B33">
      <w:r>
        <w:rPr>
          <w:rFonts w:eastAsia="宋体"/>
          <w:b/>
          <w:lang w:eastAsia="zh-CN"/>
        </w:rPr>
        <w:t>Proposal</w:t>
      </w:r>
      <w:r>
        <w:rPr>
          <w:rFonts w:eastAsia="宋体" w:hint="eastAsia"/>
          <w:b/>
          <w:lang w:eastAsia="zh-CN"/>
        </w:rPr>
        <w:t xml:space="preserve"> </w:t>
      </w:r>
      <w:r>
        <w:rPr>
          <w:rFonts w:eastAsia="宋体"/>
          <w:b/>
          <w:lang w:eastAsia="zh-CN"/>
        </w:rPr>
        <w:t>3:</w:t>
      </w:r>
      <w:r w:rsidRPr="00EF48CA">
        <w:t xml:space="preserve"> </w:t>
      </w:r>
      <w:r>
        <w:rPr>
          <w:rFonts w:eastAsia="宋体"/>
          <w:b/>
          <w:lang w:eastAsia="zh-CN"/>
        </w:rPr>
        <w:t xml:space="preserve">It’s recommended not to specify the </w:t>
      </w:r>
      <w:r w:rsidRPr="00DA7EFA">
        <w:rPr>
          <w:rFonts w:eastAsia="宋体"/>
          <w:b/>
          <w:lang w:eastAsia="zh-CN"/>
        </w:rPr>
        <w:t>Minimum output power</w:t>
      </w:r>
      <w:r>
        <w:rPr>
          <w:rFonts w:eastAsia="宋体"/>
          <w:b/>
          <w:lang w:eastAsia="zh-CN"/>
        </w:rPr>
        <w:t xml:space="preserve"> requirements for NTN UE.</w:t>
      </w:r>
    </w:p>
    <w:p w:rsidR="00B02AE0" w:rsidRPr="00A81A25" w:rsidRDefault="00B02AE0" w:rsidP="00572A4C">
      <w:pPr>
        <w:pStyle w:val="1"/>
        <w:numPr>
          <w:ilvl w:val="0"/>
          <w:numId w:val="0"/>
        </w:numPr>
      </w:pPr>
      <w:r>
        <w:t>References</w:t>
      </w:r>
    </w:p>
    <w:p w:rsidR="00CA5684" w:rsidRDefault="00CA5684" w:rsidP="00B35FFE">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5" w:name="OLE_LINK51"/>
      <w:bookmarkStart w:id="6" w:name="OLE_LINK52"/>
      <w:r w:rsidRPr="00CA5684">
        <w:rPr>
          <w:rFonts w:eastAsia="宋体"/>
          <w:lang w:eastAsia="zh-CN"/>
        </w:rPr>
        <w:t>R4-2120676</w:t>
      </w:r>
      <w:r w:rsidRPr="00CA5684">
        <w:rPr>
          <w:rFonts w:eastAsia="宋体"/>
          <w:lang w:eastAsia="zh-CN"/>
        </w:rPr>
        <w:tab/>
        <w:t>WF on NTN UE RF requirements</w:t>
      </w:r>
      <w:r w:rsidR="0061799E" w:rsidRPr="00CA5684">
        <w:rPr>
          <w:rFonts w:eastAsia="宋体"/>
          <w:lang w:eastAsia="zh-CN"/>
        </w:rPr>
        <w:t xml:space="preserve">, </w:t>
      </w:r>
      <w:r w:rsidR="00202159" w:rsidRPr="00CA5684">
        <w:rPr>
          <w:rFonts w:eastAsia="宋体"/>
          <w:lang w:eastAsia="zh-CN"/>
        </w:rPr>
        <w:t>Huawei, HiSilicon</w:t>
      </w:r>
      <w:bookmarkEnd w:id="5"/>
      <w:bookmarkEnd w:id="6"/>
    </w:p>
    <w:p w:rsidR="00B35FFE" w:rsidRDefault="00B35FFE" w:rsidP="00B35FFE">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B35FFE">
        <w:rPr>
          <w:rFonts w:eastAsia="宋体"/>
          <w:lang w:eastAsia="zh-CN"/>
        </w:rPr>
        <w:t>R4-2120740</w:t>
      </w:r>
      <w:r w:rsidRPr="00B35FFE">
        <w:rPr>
          <w:rFonts w:eastAsia="宋体"/>
          <w:lang w:eastAsia="zh-CN"/>
        </w:rPr>
        <w:tab/>
        <w:t>Email discussion summary for [101-e][309] NTN_Solutions_Part1</w:t>
      </w:r>
      <w:r>
        <w:rPr>
          <w:rFonts w:eastAsia="宋体"/>
          <w:lang w:eastAsia="zh-CN"/>
        </w:rPr>
        <w:t xml:space="preserve">, </w:t>
      </w:r>
      <w:r w:rsidRPr="00B35FFE">
        <w:rPr>
          <w:rFonts w:eastAsia="宋体"/>
          <w:lang w:eastAsia="zh-CN"/>
        </w:rPr>
        <w:t>Moderator (Thales)</w:t>
      </w:r>
    </w:p>
    <w:p w:rsidR="005404FE" w:rsidRDefault="005404FE" w:rsidP="005404FE">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5404FE">
        <w:rPr>
          <w:rFonts w:eastAsia="宋体"/>
          <w:lang w:eastAsia="zh-CN"/>
        </w:rPr>
        <w:t>Recommendation  ITU-R  SM.329-12</w:t>
      </w:r>
      <w:r>
        <w:rPr>
          <w:rFonts w:eastAsia="宋体"/>
          <w:lang w:eastAsia="zh-CN"/>
        </w:rPr>
        <w:t xml:space="preserve"> </w:t>
      </w:r>
      <w:r w:rsidRPr="005404FE">
        <w:rPr>
          <w:rFonts w:eastAsia="宋体"/>
          <w:lang w:eastAsia="zh-CN"/>
        </w:rPr>
        <w:t>Unwanted emissions in the spurious domain</w:t>
      </w:r>
    </w:p>
    <w:p w:rsidR="00067AAD" w:rsidRPr="00CA5684" w:rsidRDefault="00067AAD" w:rsidP="00067AAD">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067AAD">
        <w:rPr>
          <w:rFonts w:eastAsia="宋体"/>
          <w:lang w:eastAsia="zh-CN"/>
        </w:rPr>
        <w:t>ERC Recommendation 74-01</w:t>
      </w:r>
      <w:r>
        <w:rPr>
          <w:rFonts w:eastAsia="宋体"/>
          <w:lang w:eastAsia="zh-CN"/>
        </w:rPr>
        <w:t xml:space="preserve"> </w:t>
      </w:r>
      <w:r w:rsidRPr="00067AAD">
        <w:rPr>
          <w:rFonts w:eastAsia="宋体"/>
          <w:lang w:eastAsia="zh-CN"/>
        </w:rPr>
        <w:t>Unwanted emissions in the spurious domain</w:t>
      </w:r>
    </w:p>
    <w:sectPr w:rsidR="00067AAD" w:rsidRPr="00CA5684"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CFB" w:rsidRDefault="00677CFB">
      <w:r>
        <w:separator/>
      </w:r>
    </w:p>
  </w:endnote>
  <w:endnote w:type="continuationSeparator" w:id="0">
    <w:p w:rsidR="00677CFB" w:rsidRDefault="00677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4FE" w:rsidRDefault="005404F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CFB" w:rsidRDefault="00677CFB">
      <w:r>
        <w:separator/>
      </w:r>
    </w:p>
  </w:footnote>
  <w:footnote w:type="continuationSeparator" w:id="0">
    <w:p w:rsidR="00677CFB" w:rsidRDefault="00677C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4"/>
  </w:num>
  <w:num w:numId="3">
    <w:abstractNumId w:val="7"/>
  </w:num>
  <w:num w:numId="4">
    <w:abstractNumId w:val="9"/>
  </w:num>
  <w:num w:numId="5">
    <w:abstractNumId w:val="1"/>
  </w:num>
  <w:num w:numId="6">
    <w:abstractNumId w:val="2"/>
  </w:num>
  <w:num w:numId="7">
    <w:abstractNumId w:val="4"/>
  </w:num>
  <w:num w:numId="8">
    <w:abstractNumId w:val="4"/>
  </w:num>
  <w:num w:numId="9">
    <w:abstractNumId w:val="8"/>
  </w:num>
  <w:num w:numId="10">
    <w:abstractNumId w:val="1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
  </w:num>
  <w:num w:numId="14">
    <w:abstractNumId w:val="10"/>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2925"/>
    <w:rsid w:val="000042FB"/>
    <w:rsid w:val="000046FC"/>
    <w:rsid w:val="000052A1"/>
    <w:rsid w:val="0000533B"/>
    <w:rsid w:val="000059BB"/>
    <w:rsid w:val="000059D0"/>
    <w:rsid w:val="000063C5"/>
    <w:rsid w:val="00006F04"/>
    <w:rsid w:val="000116BD"/>
    <w:rsid w:val="00012217"/>
    <w:rsid w:val="000122DC"/>
    <w:rsid w:val="00013C47"/>
    <w:rsid w:val="00014451"/>
    <w:rsid w:val="00014963"/>
    <w:rsid w:val="00014C47"/>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A52"/>
    <w:rsid w:val="0005366B"/>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25D2"/>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B7DE9"/>
    <w:rsid w:val="000C00A2"/>
    <w:rsid w:val="000C0293"/>
    <w:rsid w:val="000C0A0E"/>
    <w:rsid w:val="000C28E8"/>
    <w:rsid w:val="000C2CEB"/>
    <w:rsid w:val="000C2EF7"/>
    <w:rsid w:val="000C31BE"/>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3C4E"/>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20A"/>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22C"/>
    <w:rsid w:val="001A070B"/>
    <w:rsid w:val="001A08FF"/>
    <w:rsid w:val="001A094C"/>
    <w:rsid w:val="001A0D57"/>
    <w:rsid w:val="001A183C"/>
    <w:rsid w:val="001A2071"/>
    <w:rsid w:val="001A2D2D"/>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32FB"/>
    <w:rsid w:val="001B3BC3"/>
    <w:rsid w:val="001B4001"/>
    <w:rsid w:val="001B4350"/>
    <w:rsid w:val="001B4F8C"/>
    <w:rsid w:val="001B659B"/>
    <w:rsid w:val="001B65AE"/>
    <w:rsid w:val="001B7033"/>
    <w:rsid w:val="001B708E"/>
    <w:rsid w:val="001B72DC"/>
    <w:rsid w:val="001C0E2A"/>
    <w:rsid w:val="001C1BB3"/>
    <w:rsid w:val="001C1FC0"/>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456C"/>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AEF"/>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276"/>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4CBF"/>
    <w:rsid w:val="003850DB"/>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FD4"/>
    <w:rsid w:val="003B477E"/>
    <w:rsid w:val="003B5182"/>
    <w:rsid w:val="003B5239"/>
    <w:rsid w:val="003B52F7"/>
    <w:rsid w:val="003B5923"/>
    <w:rsid w:val="003B5F06"/>
    <w:rsid w:val="003B6A7F"/>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6F42"/>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2A80"/>
    <w:rsid w:val="00412C67"/>
    <w:rsid w:val="004138D2"/>
    <w:rsid w:val="00413CB5"/>
    <w:rsid w:val="00414B81"/>
    <w:rsid w:val="00414DE3"/>
    <w:rsid w:val="00415298"/>
    <w:rsid w:val="00415D8B"/>
    <w:rsid w:val="004163E0"/>
    <w:rsid w:val="00416942"/>
    <w:rsid w:val="00416BAE"/>
    <w:rsid w:val="00417836"/>
    <w:rsid w:val="004201F9"/>
    <w:rsid w:val="00421C41"/>
    <w:rsid w:val="00421EB0"/>
    <w:rsid w:val="0042274B"/>
    <w:rsid w:val="00422956"/>
    <w:rsid w:val="00422B31"/>
    <w:rsid w:val="00423618"/>
    <w:rsid w:val="004239DF"/>
    <w:rsid w:val="00423BC9"/>
    <w:rsid w:val="004246C0"/>
    <w:rsid w:val="00424AC8"/>
    <w:rsid w:val="004251D0"/>
    <w:rsid w:val="0042714D"/>
    <w:rsid w:val="004272E5"/>
    <w:rsid w:val="00430324"/>
    <w:rsid w:val="0043156E"/>
    <w:rsid w:val="004318B2"/>
    <w:rsid w:val="00431BEF"/>
    <w:rsid w:val="0043208C"/>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07BD9"/>
    <w:rsid w:val="00510144"/>
    <w:rsid w:val="0051016B"/>
    <w:rsid w:val="00510B56"/>
    <w:rsid w:val="00511CD1"/>
    <w:rsid w:val="00512424"/>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671"/>
    <w:rsid w:val="00530791"/>
    <w:rsid w:val="00531682"/>
    <w:rsid w:val="005332D7"/>
    <w:rsid w:val="005334D5"/>
    <w:rsid w:val="0053388B"/>
    <w:rsid w:val="005346E8"/>
    <w:rsid w:val="0053569A"/>
    <w:rsid w:val="00536850"/>
    <w:rsid w:val="00537288"/>
    <w:rsid w:val="00537430"/>
    <w:rsid w:val="005374E4"/>
    <w:rsid w:val="005404FE"/>
    <w:rsid w:val="00541579"/>
    <w:rsid w:val="005429F6"/>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B20"/>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0EE0"/>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5A5"/>
    <w:rsid w:val="005C319B"/>
    <w:rsid w:val="005C414B"/>
    <w:rsid w:val="005C4B21"/>
    <w:rsid w:val="005C5167"/>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300"/>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9C"/>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77CFB"/>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B07"/>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0F23"/>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0FAD"/>
    <w:rsid w:val="00711131"/>
    <w:rsid w:val="00711B33"/>
    <w:rsid w:val="00712196"/>
    <w:rsid w:val="0071257F"/>
    <w:rsid w:val="00713785"/>
    <w:rsid w:val="00713CF8"/>
    <w:rsid w:val="00713DBF"/>
    <w:rsid w:val="00713F0D"/>
    <w:rsid w:val="00715F29"/>
    <w:rsid w:val="00716909"/>
    <w:rsid w:val="00716A22"/>
    <w:rsid w:val="00720C3D"/>
    <w:rsid w:val="00721110"/>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9AD"/>
    <w:rsid w:val="00761F36"/>
    <w:rsid w:val="00764665"/>
    <w:rsid w:val="00764778"/>
    <w:rsid w:val="00765421"/>
    <w:rsid w:val="0076546D"/>
    <w:rsid w:val="007654EE"/>
    <w:rsid w:val="00766237"/>
    <w:rsid w:val="00766479"/>
    <w:rsid w:val="00766A2B"/>
    <w:rsid w:val="007670F0"/>
    <w:rsid w:val="00770C60"/>
    <w:rsid w:val="00771D69"/>
    <w:rsid w:val="007725E4"/>
    <w:rsid w:val="007726A7"/>
    <w:rsid w:val="007726F1"/>
    <w:rsid w:val="0077302C"/>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36A1"/>
    <w:rsid w:val="008B4333"/>
    <w:rsid w:val="008B529D"/>
    <w:rsid w:val="008B6034"/>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FDA"/>
    <w:rsid w:val="008D5109"/>
    <w:rsid w:val="008D5E6E"/>
    <w:rsid w:val="008D6B5B"/>
    <w:rsid w:val="008D6BE5"/>
    <w:rsid w:val="008D7410"/>
    <w:rsid w:val="008E01A1"/>
    <w:rsid w:val="008E01E5"/>
    <w:rsid w:val="008E07B3"/>
    <w:rsid w:val="008E2662"/>
    <w:rsid w:val="008E27E5"/>
    <w:rsid w:val="008E32C7"/>
    <w:rsid w:val="008E353A"/>
    <w:rsid w:val="008E3B36"/>
    <w:rsid w:val="008E3BCB"/>
    <w:rsid w:val="008E40CC"/>
    <w:rsid w:val="008E562F"/>
    <w:rsid w:val="008E56E6"/>
    <w:rsid w:val="008E5A0F"/>
    <w:rsid w:val="008E5D59"/>
    <w:rsid w:val="008E6D6C"/>
    <w:rsid w:val="008E6EF3"/>
    <w:rsid w:val="008F00AF"/>
    <w:rsid w:val="008F035D"/>
    <w:rsid w:val="008F118B"/>
    <w:rsid w:val="008F21B4"/>
    <w:rsid w:val="008F2F6B"/>
    <w:rsid w:val="008F2F81"/>
    <w:rsid w:val="008F34E2"/>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2EF"/>
    <w:rsid w:val="0093343B"/>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F29"/>
    <w:rsid w:val="009435E6"/>
    <w:rsid w:val="00944791"/>
    <w:rsid w:val="00950D30"/>
    <w:rsid w:val="0095234C"/>
    <w:rsid w:val="00953878"/>
    <w:rsid w:val="00953A7B"/>
    <w:rsid w:val="00956143"/>
    <w:rsid w:val="00956922"/>
    <w:rsid w:val="00956ED3"/>
    <w:rsid w:val="009572C4"/>
    <w:rsid w:val="009600E0"/>
    <w:rsid w:val="00960510"/>
    <w:rsid w:val="00960ADF"/>
    <w:rsid w:val="0096101D"/>
    <w:rsid w:val="009621D7"/>
    <w:rsid w:val="0096284C"/>
    <w:rsid w:val="00963662"/>
    <w:rsid w:val="00963A4D"/>
    <w:rsid w:val="00963F3B"/>
    <w:rsid w:val="00964502"/>
    <w:rsid w:val="00964817"/>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C52"/>
    <w:rsid w:val="00987DF6"/>
    <w:rsid w:val="0099056B"/>
    <w:rsid w:val="00991450"/>
    <w:rsid w:val="00992728"/>
    <w:rsid w:val="009928DF"/>
    <w:rsid w:val="00993D71"/>
    <w:rsid w:val="00994B39"/>
    <w:rsid w:val="0099606A"/>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760"/>
    <w:rsid w:val="00A215E8"/>
    <w:rsid w:val="00A217FC"/>
    <w:rsid w:val="00A22A97"/>
    <w:rsid w:val="00A235F9"/>
    <w:rsid w:val="00A24669"/>
    <w:rsid w:val="00A2482D"/>
    <w:rsid w:val="00A24C79"/>
    <w:rsid w:val="00A24F4F"/>
    <w:rsid w:val="00A25823"/>
    <w:rsid w:val="00A2588A"/>
    <w:rsid w:val="00A25B41"/>
    <w:rsid w:val="00A26164"/>
    <w:rsid w:val="00A2629A"/>
    <w:rsid w:val="00A2647A"/>
    <w:rsid w:val="00A26541"/>
    <w:rsid w:val="00A314C4"/>
    <w:rsid w:val="00A31D94"/>
    <w:rsid w:val="00A32DA0"/>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085E"/>
    <w:rsid w:val="00A717CE"/>
    <w:rsid w:val="00A7213C"/>
    <w:rsid w:val="00A724D4"/>
    <w:rsid w:val="00A72736"/>
    <w:rsid w:val="00A729EE"/>
    <w:rsid w:val="00A72D75"/>
    <w:rsid w:val="00A747D9"/>
    <w:rsid w:val="00A75AF6"/>
    <w:rsid w:val="00A76EE2"/>
    <w:rsid w:val="00A77593"/>
    <w:rsid w:val="00A77C0A"/>
    <w:rsid w:val="00A80CEE"/>
    <w:rsid w:val="00A8150E"/>
    <w:rsid w:val="00A81A25"/>
    <w:rsid w:val="00A81AAF"/>
    <w:rsid w:val="00A81E22"/>
    <w:rsid w:val="00A81F40"/>
    <w:rsid w:val="00A8280A"/>
    <w:rsid w:val="00A8282A"/>
    <w:rsid w:val="00A829FA"/>
    <w:rsid w:val="00A83359"/>
    <w:rsid w:val="00A8586E"/>
    <w:rsid w:val="00A85AD9"/>
    <w:rsid w:val="00A85D91"/>
    <w:rsid w:val="00A860B5"/>
    <w:rsid w:val="00A86C4D"/>
    <w:rsid w:val="00A86DB7"/>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6C08"/>
    <w:rsid w:val="00AB6EC1"/>
    <w:rsid w:val="00AB7694"/>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005"/>
    <w:rsid w:val="00B061BA"/>
    <w:rsid w:val="00B063D8"/>
    <w:rsid w:val="00B0658C"/>
    <w:rsid w:val="00B07493"/>
    <w:rsid w:val="00B07565"/>
    <w:rsid w:val="00B100C4"/>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D7B"/>
    <w:rsid w:val="00B33DBE"/>
    <w:rsid w:val="00B34711"/>
    <w:rsid w:val="00B34E24"/>
    <w:rsid w:val="00B351BF"/>
    <w:rsid w:val="00B35FFE"/>
    <w:rsid w:val="00B3683C"/>
    <w:rsid w:val="00B36ABA"/>
    <w:rsid w:val="00B37330"/>
    <w:rsid w:val="00B37649"/>
    <w:rsid w:val="00B37662"/>
    <w:rsid w:val="00B377DD"/>
    <w:rsid w:val="00B37F54"/>
    <w:rsid w:val="00B4094F"/>
    <w:rsid w:val="00B41B72"/>
    <w:rsid w:val="00B4257B"/>
    <w:rsid w:val="00B4280C"/>
    <w:rsid w:val="00B43516"/>
    <w:rsid w:val="00B43EC2"/>
    <w:rsid w:val="00B444DF"/>
    <w:rsid w:val="00B45794"/>
    <w:rsid w:val="00B458DE"/>
    <w:rsid w:val="00B46D69"/>
    <w:rsid w:val="00B470EF"/>
    <w:rsid w:val="00B47509"/>
    <w:rsid w:val="00B50A30"/>
    <w:rsid w:val="00B52FE7"/>
    <w:rsid w:val="00B52FFE"/>
    <w:rsid w:val="00B53D1D"/>
    <w:rsid w:val="00B54242"/>
    <w:rsid w:val="00B55195"/>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4081"/>
    <w:rsid w:val="00BA4225"/>
    <w:rsid w:val="00BA559B"/>
    <w:rsid w:val="00BA55DD"/>
    <w:rsid w:val="00BA79DE"/>
    <w:rsid w:val="00BA7DCA"/>
    <w:rsid w:val="00BB0802"/>
    <w:rsid w:val="00BB08CD"/>
    <w:rsid w:val="00BB0A30"/>
    <w:rsid w:val="00BB1157"/>
    <w:rsid w:val="00BB2161"/>
    <w:rsid w:val="00BB2554"/>
    <w:rsid w:val="00BB2557"/>
    <w:rsid w:val="00BB36C3"/>
    <w:rsid w:val="00BB3B49"/>
    <w:rsid w:val="00BB442E"/>
    <w:rsid w:val="00BB50F1"/>
    <w:rsid w:val="00BB545F"/>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5C77"/>
    <w:rsid w:val="00BF6B8A"/>
    <w:rsid w:val="00BF7F4B"/>
    <w:rsid w:val="00C0008A"/>
    <w:rsid w:val="00C00352"/>
    <w:rsid w:val="00C02611"/>
    <w:rsid w:val="00C02D64"/>
    <w:rsid w:val="00C03D11"/>
    <w:rsid w:val="00C0443F"/>
    <w:rsid w:val="00C04B37"/>
    <w:rsid w:val="00C05247"/>
    <w:rsid w:val="00C058F0"/>
    <w:rsid w:val="00C059A8"/>
    <w:rsid w:val="00C05B24"/>
    <w:rsid w:val="00C06DF4"/>
    <w:rsid w:val="00C07A1B"/>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4C9"/>
    <w:rsid w:val="00C9779D"/>
    <w:rsid w:val="00CA016D"/>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27"/>
    <w:rsid w:val="00CA7A66"/>
    <w:rsid w:val="00CA7B37"/>
    <w:rsid w:val="00CB0608"/>
    <w:rsid w:val="00CB0A38"/>
    <w:rsid w:val="00CB0E08"/>
    <w:rsid w:val="00CB1359"/>
    <w:rsid w:val="00CB146D"/>
    <w:rsid w:val="00CB2685"/>
    <w:rsid w:val="00CB311F"/>
    <w:rsid w:val="00CB342F"/>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3FBF"/>
    <w:rsid w:val="00CE5F3A"/>
    <w:rsid w:val="00CE66ED"/>
    <w:rsid w:val="00CE6C39"/>
    <w:rsid w:val="00CE72B9"/>
    <w:rsid w:val="00CE752E"/>
    <w:rsid w:val="00CF0CC0"/>
    <w:rsid w:val="00CF1715"/>
    <w:rsid w:val="00CF2558"/>
    <w:rsid w:val="00CF28A3"/>
    <w:rsid w:val="00CF2DA8"/>
    <w:rsid w:val="00CF4BD6"/>
    <w:rsid w:val="00CF4CB5"/>
    <w:rsid w:val="00CF681C"/>
    <w:rsid w:val="00CF692C"/>
    <w:rsid w:val="00CF7DD7"/>
    <w:rsid w:val="00D0141B"/>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053"/>
    <w:rsid w:val="00D072DA"/>
    <w:rsid w:val="00D07736"/>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8A0"/>
    <w:rsid w:val="00D63556"/>
    <w:rsid w:val="00D63FD8"/>
    <w:rsid w:val="00D6487E"/>
    <w:rsid w:val="00D651E9"/>
    <w:rsid w:val="00D6539B"/>
    <w:rsid w:val="00D65443"/>
    <w:rsid w:val="00D660DF"/>
    <w:rsid w:val="00D665E5"/>
    <w:rsid w:val="00D666A6"/>
    <w:rsid w:val="00D6782A"/>
    <w:rsid w:val="00D67A6B"/>
    <w:rsid w:val="00D70917"/>
    <w:rsid w:val="00D713FF"/>
    <w:rsid w:val="00D71DDC"/>
    <w:rsid w:val="00D7245A"/>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3A8"/>
    <w:rsid w:val="00D83D14"/>
    <w:rsid w:val="00D84F5D"/>
    <w:rsid w:val="00D85402"/>
    <w:rsid w:val="00D86AEC"/>
    <w:rsid w:val="00D87756"/>
    <w:rsid w:val="00D929C2"/>
    <w:rsid w:val="00D9370A"/>
    <w:rsid w:val="00D9496A"/>
    <w:rsid w:val="00D9497C"/>
    <w:rsid w:val="00D94BAE"/>
    <w:rsid w:val="00D95A78"/>
    <w:rsid w:val="00D96638"/>
    <w:rsid w:val="00D968F2"/>
    <w:rsid w:val="00DA1AAE"/>
    <w:rsid w:val="00DA1C91"/>
    <w:rsid w:val="00DA29C8"/>
    <w:rsid w:val="00DA2ACA"/>
    <w:rsid w:val="00DA3646"/>
    <w:rsid w:val="00DA42A6"/>
    <w:rsid w:val="00DA42F2"/>
    <w:rsid w:val="00DA42F4"/>
    <w:rsid w:val="00DA44D3"/>
    <w:rsid w:val="00DA4DDA"/>
    <w:rsid w:val="00DA4FD3"/>
    <w:rsid w:val="00DA5A6D"/>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77D"/>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C20"/>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7EC1"/>
    <w:rsid w:val="00ED1544"/>
    <w:rsid w:val="00ED2D48"/>
    <w:rsid w:val="00ED2E0E"/>
    <w:rsid w:val="00ED3063"/>
    <w:rsid w:val="00ED34A4"/>
    <w:rsid w:val="00ED3534"/>
    <w:rsid w:val="00ED3776"/>
    <w:rsid w:val="00ED3AA5"/>
    <w:rsid w:val="00ED3CA3"/>
    <w:rsid w:val="00ED3F2B"/>
    <w:rsid w:val="00ED5CC0"/>
    <w:rsid w:val="00ED6F0A"/>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7F"/>
    <w:rsid w:val="00F14203"/>
    <w:rsid w:val="00F1464F"/>
    <w:rsid w:val="00F15916"/>
    <w:rsid w:val="00F15ED9"/>
    <w:rsid w:val="00F16309"/>
    <w:rsid w:val="00F164C9"/>
    <w:rsid w:val="00F17A4D"/>
    <w:rsid w:val="00F205AB"/>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10A"/>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23A"/>
    <w:rsid w:val="00FA47C8"/>
    <w:rsid w:val="00FA537E"/>
    <w:rsid w:val="00FA5653"/>
    <w:rsid w:val="00FA588B"/>
    <w:rsid w:val="00FA632A"/>
    <w:rsid w:val="00FA6BBE"/>
    <w:rsid w:val="00FA7E4E"/>
    <w:rsid w:val="00FB05A4"/>
    <w:rsid w:val="00FB066E"/>
    <w:rsid w:val="00FB0E0B"/>
    <w:rsid w:val="00FB1E83"/>
    <w:rsid w:val="00FB2358"/>
    <w:rsid w:val="00FB24FA"/>
    <w:rsid w:val="00FB3A2B"/>
    <w:rsid w:val="00FB3D86"/>
    <w:rsid w:val="00FB3DA2"/>
    <w:rsid w:val="00FB3F04"/>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2727"/>
    <w:rsid w:val="00FD32F8"/>
    <w:rsid w:val="00FD418C"/>
    <w:rsid w:val="00FD5731"/>
    <w:rsid w:val="00FD63F9"/>
    <w:rsid w:val="00FD65C6"/>
    <w:rsid w:val="00FD69E7"/>
    <w:rsid w:val="00FD760B"/>
    <w:rsid w:val="00FE02E7"/>
    <w:rsid w:val="00FE163B"/>
    <w:rsid w:val="00FE22EE"/>
    <w:rsid w:val="00FE25A2"/>
    <w:rsid w:val="00FE3F17"/>
    <w:rsid w:val="00FE4A80"/>
    <w:rsid w:val="00FE6498"/>
    <w:rsid w:val="00FE6C70"/>
    <w:rsid w:val="00FE6F47"/>
    <w:rsid w:val="00FE72B2"/>
    <w:rsid w:val="00FE7BA4"/>
    <w:rsid w:val="00FF057F"/>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9ACC7-93EA-4E3D-93FC-2E8DEBE31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1798</TotalTime>
  <Pages>4</Pages>
  <Words>1259</Words>
  <Characters>7178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73</cp:revision>
  <cp:lastPrinted>2010-01-07T02:23:00Z</cp:lastPrinted>
  <dcterms:created xsi:type="dcterms:W3CDTF">2021-02-10T02:54:00Z</dcterms:created>
  <dcterms:modified xsi:type="dcterms:W3CDTF">2022-01-10T12:29:00Z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(3)BoBru/o5E6E+6fjG2CEM0VyE2cH/6hDrJC67sIZOkoDPwzFEgORjaj3PazAmpOgdcGCfJLLE
nsi7tR9Y5H29r2hBGrTVaYFzwpClPz4ZoJBV6UVhQ5mvmdTNYIg0DPmI7Sz87htWxdrBJkft
ZXdxUe2cVmibZC5ANW15aVwD8BQ7LXUPQQX5LknEQpzMOEQzB1VMlXh6jrMGZvWJefV+MkRl
AEQ5nVxo5nMhFLoWC4</vt:lpwstr>
  </property>
  <property fmtid="{D5CDD505-2E9C-101B-9397-08002B2CF9AE}" pid="3" name="_2015_ms_pID_725343_00">
    <vt:lpwstr>_2015_ms_pID_725343</vt:lpwstr>
  </property>
  <property fmtid="{D5CDD505-2E9C-101B-9397-08002B2CF9AE}" pid="4" name="_2015_ms_pID_7253431">
    <vt:lpwstr>acSNMhZkxRMmXcDBMiFQvfQvdW6LlsvSe3btDWVdWg/R5F5mHcgfkw
yYQt9+aiWvGyiKajQ2oxxZxR5T03sbANxFTyksct61XWEm+WAr7FQWAA7tgSaHkancNDeR/G
JfYUXYidkWFuBg+ssE/YmT5Qdey0tvrJ7/1VzLupQo0a4MP2OECrYRtNcooHHCuynqWl6v59
udMCjTHNtSbTzmL8QCwbu0wmht3wJLuTfpCK</vt:lpwstr>
  </property>
  <property fmtid="{D5CDD505-2E9C-101B-9397-08002B2CF9AE}" pid="5" name="_2015_ms_pID_7253431_00">
    <vt:lpwstr>_2015_ms_pID_7253431</vt:lpwstr>
  </property>
  <property fmtid="{D5CDD505-2E9C-101B-9397-08002B2CF9AE}" pid="6" name="_2015_ms_pID_7253432">
    <vt:lpwstr>l3va2wEpMrJwbGmY9UcD5YW4nhmru/cWQom5
IhfzgxZqOCok3acBPprABtpD2fiPqmKzDkqxyoOAt5lS+gi/fc0=</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