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441" w:rsidRPr="00244441" w:rsidRDefault="00244441" w:rsidP="00244441">
      <w:pPr>
        <w:pStyle w:val="Header"/>
        <w:rPr>
          <w:rFonts w:cs="Arial"/>
          <w:sz w:val="24"/>
          <w:szCs w:val="24"/>
        </w:rPr>
      </w:pPr>
      <w:r w:rsidRPr="00244441">
        <w:rPr>
          <w:rFonts w:cs="Arial"/>
          <w:sz w:val="24"/>
          <w:szCs w:val="24"/>
        </w:rPr>
        <w:t>3GPP TSG-RAN WG4 Meeting # 101-bis-e</w:t>
      </w:r>
      <w:r w:rsidRPr="00244441">
        <w:rPr>
          <w:rFonts w:cs="Arial"/>
          <w:sz w:val="24"/>
          <w:szCs w:val="24"/>
        </w:rPr>
        <w:tab/>
      </w:r>
      <w:r w:rsidRPr="00244441">
        <w:rPr>
          <w:rFonts w:cs="Arial"/>
          <w:sz w:val="24"/>
          <w:szCs w:val="24"/>
        </w:rPr>
        <w:tab/>
      </w:r>
      <w:r w:rsidRPr="00244441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20360F" w:rsidRPr="0020360F">
        <w:rPr>
          <w:rFonts w:cs="Arial"/>
          <w:sz w:val="24"/>
          <w:szCs w:val="24"/>
        </w:rPr>
        <w:t>R4-2201206</w:t>
      </w:r>
      <w:bookmarkStart w:id="0" w:name="_GoBack"/>
      <w:bookmarkEnd w:id="0"/>
    </w:p>
    <w:p w:rsidR="00DF0231" w:rsidRPr="002D2977" w:rsidRDefault="00244441" w:rsidP="00244441">
      <w:pPr>
        <w:pStyle w:val="Header"/>
        <w:rPr>
          <w:noProof w:val="0"/>
        </w:rPr>
      </w:pPr>
      <w:r w:rsidRPr="00244441">
        <w:rPr>
          <w:rFonts w:cs="Arial"/>
          <w:sz w:val="24"/>
          <w:szCs w:val="24"/>
        </w:rPr>
        <w:t>Electronic Meeting, January 17-25, 2022</w:t>
      </w:r>
    </w:p>
    <w:p w:rsidR="00DF0231" w:rsidRPr="002D2977" w:rsidRDefault="00DF0231" w:rsidP="00DF0231">
      <w:pPr>
        <w:pStyle w:val="Footer"/>
        <w:rPr>
          <w:noProof w:val="0"/>
        </w:rPr>
      </w:pP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8317D1">
        <w:rPr>
          <w:rFonts w:ascii="Arial" w:hAnsi="Arial"/>
          <w:sz w:val="24"/>
          <w:lang w:val="en-US"/>
        </w:rPr>
        <w:t>6.</w:t>
      </w:r>
      <w:r w:rsidR="00AC1505">
        <w:rPr>
          <w:rFonts w:ascii="Arial" w:hAnsi="Arial"/>
          <w:sz w:val="24"/>
          <w:lang w:val="en-US"/>
        </w:rPr>
        <w:t>17</w:t>
      </w:r>
      <w:r w:rsidR="008317D1">
        <w:rPr>
          <w:rFonts w:ascii="Arial" w:hAnsi="Arial"/>
          <w:sz w:val="24"/>
          <w:lang w:val="en-US"/>
        </w:rPr>
        <w:t>.</w:t>
      </w:r>
      <w:r w:rsidR="00AC1505">
        <w:rPr>
          <w:rFonts w:ascii="Arial" w:hAnsi="Arial"/>
          <w:sz w:val="24"/>
          <w:lang w:val="en-US"/>
        </w:rPr>
        <w:t>3</w:t>
      </w: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 xml:space="preserve">Huawei, </w:t>
      </w:r>
      <w:proofErr w:type="spellStart"/>
      <w:r w:rsidRPr="00FA7F1A">
        <w:rPr>
          <w:rFonts w:ascii="Arial" w:hAnsi="Arial"/>
          <w:sz w:val="24"/>
          <w:lang w:val="en-US"/>
        </w:rPr>
        <w:t>HiSilicon</w:t>
      </w:r>
      <w:proofErr w:type="spellEnd"/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8317D1" w:rsidRPr="008317D1">
        <w:rPr>
          <w:rFonts w:ascii="Arial" w:hAnsi="Arial"/>
          <w:sz w:val="24"/>
          <w:lang w:val="en-US"/>
        </w:rPr>
        <w:t xml:space="preserve">Discussion on RRM requirements for </w:t>
      </w:r>
      <w:proofErr w:type="spellStart"/>
      <w:r w:rsidR="00AC1505">
        <w:rPr>
          <w:rFonts w:ascii="Arial" w:hAnsi="Arial"/>
          <w:sz w:val="24"/>
          <w:lang w:val="en-US"/>
        </w:rPr>
        <w:t>eIAB</w:t>
      </w:r>
      <w:proofErr w:type="spellEnd"/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:rsidR="00DF0231" w:rsidRPr="002D2977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:rsidR="00AC1505" w:rsidRPr="00CF5E9E" w:rsidRDefault="00814B83" w:rsidP="00DF023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requirements of</w:t>
      </w:r>
      <w:r w:rsidR="00CF5E9E">
        <w:rPr>
          <w:rFonts w:eastAsiaTheme="minorEastAsia"/>
          <w:lang w:val="en-US" w:eastAsia="zh-CN"/>
        </w:rPr>
        <w:t xml:space="preserve"> </w:t>
      </w:r>
      <w:r w:rsidR="00AC1505">
        <w:rPr>
          <w:rFonts w:eastAsiaTheme="minorEastAsia"/>
          <w:lang w:val="en-US" w:eastAsia="zh-CN"/>
        </w:rPr>
        <w:t xml:space="preserve">Rel-17 </w:t>
      </w:r>
      <w:proofErr w:type="spellStart"/>
      <w:r w:rsidR="00AC1505">
        <w:rPr>
          <w:rFonts w:eastAsiaTheme="minorEastAsia"/>
          <w:lang w:val="en-US" w:eastAsia="zh-CN"/>
        </w:rPr>
        <w:t>eIAB</w:t>
      </w:r>
      <w:proofErr w:type="spellEnd"/>
      <w:r w:rsidR="00CF5E9E">
        <w:rPr>
          <w:rFonts w:eastAsiaTheme="minorEastAsia"/>
          <w:lang w:val="en-US" w:eastAsia="zh-CN"/>
        </w:rPr>
        <w:t xml:space="preserve"> was discussed</w:t>
      </w:r>
      <w:r>
        <w:rPr>
          <w:rFonts w:eastAsiaTheme="minorEastAsia"/>
          <w:lang w:val="en-US" w:eastAsia="zh-CN"/>
        </w:rPr>
        <w:t xml:space="preserve"> in last RAN4 meeting, and the agreements and open issues are captured in the WF [1]. In this paper, we further provide</w:t>
      </w:r>
      <w:r w:rsidR="00AC1505">
        <w:rPr>
          <w:rFonts w:eastAsiaTheme="minorEastAsia"/>
          <w:lang w:val="en-US" w:eastAsia="zh-CN"/>
        </w:rPr>
        <w:t xml:space="preserve"> our views on the left issues in terms of CLI and case#6 timing.</w:t>
      </w:r>
    </w:p>
    <w:p w:rsidR="00DF0231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:rsidR="00DF6E96" w:rsidRPr="00AC1505" w:rsidRDefault="00AC1505" w:rsidP="004F344B">
      <w:pPr>
        <w:rPr>
          <w:rFonts w:eastAsiaTheme="minorEastAsia"/>
          <w:lang w:val="en-US" w:eastAsia="zh-CN"/>
        </w:rPr>
      </w:pPr>
      <w:r w:rsidRPr="00AC1505">
        <w:rPr>
          <w:rFonts w:eastAsiaTheme="minorEastAsia" w:hint="eastAsia"/>
          <w:lang w:val="en-US" w:eastAsia="zh-CN"/>
        </w:rPr>
        <w:t>T</w:t>
      </w:r>
      <w:r w:rsidRPr="00AC1505">
        <w:rPr>
          <w:rFonts w:eastAsiaTheme="minorEastAsia"/>
          <w:lang w:val="en-US" w:eastAsia="zh-CN"/>
        </w:rPr>
        <w:t xml:space="preserve">he remaining issues on RRM impacts of Rel-17 </w:t>
      </w:r>
      <w:proofErr w:type="spellStart"/>
      <w:r w:rsidRPr="00AC1505">
        <w:rPr>
          <w:rFonts w:eastAsiaTheme="minorEastAsia"/>
          <w:lang w:val="en-US" w:eastAsia="zh-CN"/>
        </w:rPr>
        <w:t>eIAB</w:t>
      </w:r>
      <w:proofErr w:type="spellEnd"/>
      <w:r w:rsidRPr="00AC1505">
        <w:rPr>
          <w:rFonts w:eastAsiaTheme="minorEastAsia"/>
          <w:lang w:val="en-US" w:eastAsia="zh-CN"/>
        </w:rPr>
        <w:t xml:space="preserve"> are shown as follows</w:t>
      </w:r>
      <w:r>
        <w:rPr>
          <w:rFonts w:eastAsiaTheme="minorEastAsia"/>
          <w:lang w:val="en-US" w:eastAsia="zh-CN"/>
        </w:rPr>
        <w:t xml:space="preserve">. The only two pending issues is the RRM impact of Rel-17 </w:t>
      </w:r>
      <w:proofErr w:type="spellStart"/>
      <w:r>
        <w:rPr>
          <w:rFonts w:eastAsiaTheme="minorEastAsia"/>
          <w:lang w:val="en-US" w:eastAsia="zh-CN"/>
        </w:rPr>
        <w:t>eIAB</w:t>
      </w:r>
      <w:proofErr w:type="spellEnd"/>
      <w:r>
        <w:rPr>
          <w:rFonts w:eastAsiaTheme="minorEastAsia"/>
          <w:lang w:val="en-US" w:eastAsia="zh-CN"/>
        </w:rPr>
        <w:t xml:space="preserve"> is about case#6 timing, and whether to have CLI measurement requirements. We provided our views in the following paper with latest RAN1/RF conclusion.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AC1505" w:rsidTr="00AC1505">
        <w:tc>
          <w:tcPr>
            <w:tcW w:w="9562" w:type="dxa"/>
          </w:tcPr>
          <w:p w:rsidR="00AC1505" w:rsidRDefault="00AC1505" w:rsidP="004F344B">
            <w:r w:rsidRPr="009E45B0">
              <w:t>R4-2120319</w:t>
            </w:r>
          </w:p>
          <w:p w:rsidR="00AC1505" w:rsidRDefault="00AC1505" w:rsidP="00AC1505">
            <w:pPr>
              <w:rPr>
                <w:rFonts w:eastAsiaTheme="minorHAnsi"/>
                <w:bCs/>
                <w:sz w:val="22"/>
                <w:lang w:val="en-US" w:eastAsia="zh-CN"/>
              </w:rPr>
            </w:pPr>
            <w:r>
              <w:rPr>
                <w:b/>
                <w:sz w:val="22"/>
                <w:u w:val="single"/>
                <w:lang w:eastAsia="zh-CN"/>
              </w:rPr>
              <w:t>On Case 6 Timing</w:t>
            </w:r>
          </w:p>
          <w:p w:rsidR="00AC1505" w:rsidRDefault="00AC1505" w:rsidP="00AC1505">
            <w:pPr>
              <w:pStyle w:val="ListParagraph"/>
              <w:spacing w:after="120"/>
              <w:ind w:firstLine="44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Option 1: Wait for further RAN1 agreements related to OTA timing synchronization mechanism for Case # 6 timing before drawing final conclusions on the RRM impact.</w:t>
            </w:r>
          </w:p>
          <w:p w:rsidR="00AC1505" w:rsidRDefault="00AC1505" w:rsidP="00AC1505">
            <w:pPr>
              <w:rPr>
                <w:rFonts w:eastAsia="Yu Mincho"/>
                <w:sz w:val="22"/>
                <w:lang w:eastAsia="zh-CN"/>
              </w:rPr>
            </w:pPr>
            <w:r>
              <w:rPr>
                <w:rFonts w:eastAsia="Yu Mincho"/>
                <w:sz w:val="22"/>
                <w:lang w:eastAsia="zh-CN"/>
              </w:rPr>
              <w:t xml:space="preserve">Option 2: </w:t>
            </w:r>
            <w:r>
              <w:rPr>
                <w:rFonts w:eastAsia="Yu Mincho"/>
                <w:bCs/>
                <w:sz w:val="22"/>
                <w:lang w:eastAsia="zh-CN"/>
              </w:rPr>
              <w:t>Reflect the difference between Case#1 and Case#6 timing in TS 38.174.</w:t>
            </w:r>
          </w:p>
          <w:p w:rsidR="00AC1505" w:rsidRDefault="00AC1505" w:rsidP="00AC1505">
            <w:pPr>
              <w:rPr>
                <w:rFonts w:eastAsia="Yu Mincho"/>
                <w:color w:val="0070C0"/>
                <w:szCs w:val="24"/>
                <w:lang w:eastAsia="zh-CN"/>
              </w:rPr>
            </w:pPr>
          </w:p>
          <w:p w:rsidR="00AC1505" w:rsidRDefault="00AC1505" w:rsidP="00AC1505">
            <w:pPr>
              <w:rPr>
                <w:rFonts w:eastAsiaTheme="minorHAnsi"/>
                <w:szCs w:val="22"/>
                <w:lang w:eastAsia="zh-CN"/>
              </w:rPr>
            </w:pPr>
            <w:r>
              <w:rPr>
                <w:b/>
                <w:sz w:val="22"/>
                <w:u w:val="single"/>
                <w:lang w:eastAsia="zh-CN"/>
              </w:rPr>
              <w:t>CLI</w:t>
            </w:r>
          </w:p>
          <w:p w:rsidR="00AC1505" w:rsidRDefault="00AC1505" w:rsidP="00AC1505">
            <w:pPr>
              <w:rPr>
                <w:sz w:val="22"/>
                <w:lang w:eastAsia="zh-CN"/>
              </w:rPr>
            </w:pPr>
            <w:r>
              <w:rPr>
                <w:sz w:val="22"/>
                <w:lang w:eastAsia="zh-CN"/>
              </w:rPr>
              <w:t>Option 1:  RAN4 needs to define CLI measurement requirements subjecting to RAN1/2 design on mechanisms for assisting simultaneous operations.</w:t>
            </w:r>
          </w:p>
          <w:p w:rsidR="00AC1505" w:rsidRDefault="00AC1505" w:rsidP="00AC1505">
            <w:pPr>
              <w:rPr>
                <w:sz w:val="22"/>
                <w:lang w:eastAsia="zh-CN"/>
              </w:rPr>
            </w:pPr>
            <w:r>
              <w:rPr>
                <w:sz w:val="22"/>
                <w:lang w:eastAsia="zh-CN"/>
              </w:rPr>
              <w:t>Option 2: For CLI measurements by IAB-MT, no RRM requirements need to be specified.</w:t>
            </w:r>
          </w:p>
          <w:p w:rsidR="00AC1505" w:rsidRDefault="00AC1505" w:rsidP="00AC1505">
            <w:pPr>
              <w:rPr>
                <w:b/>
                <w:sz w:val="22"/>
                <w:u w:val="single"/>
                <w:lang w:eastAsia="zh-CN"/>
              </w:rPr>
            </w:pPr>
          </w:p>
          <w:p w:rsidR="00AC1505" w:rsidRDefault="00AC1505" w:rsidP="00AC1505">
            <w:pPr>
              <w:rPr>
                <w:rFonts w:eastAsia="Yu Mincho"/>
              </w:rPr>
            </w:pPr>
            <w:r>
              <w:rPr>
                <w:b/>
                <w:sz w:val="22"/>
                <w:u w:val="single"/>
                <w:lang w:eastAsia="zh-CN"/>
              </w:rPr>
              <w:t>Simultaneous operation</w:t>
            </w:r>
          </w:p>
          <w:p w:rsidR="00AC1505" w:rsidRDefault="00AC1505" w:rsidP="00AC1505">
            <w:pPr>
              <w:rPr>
                <w:rFonts w:eastAsiaTheme="minorHAnsi"/>
                <w:bCs/>
                <w:sz w:val="22"/>
                <w:lang w:eastAsia="zh-CN"/>
              </w:rPr>
            </w:pPr>
            <w:r>
              <w:rPr>
                <w:bCs/>
                <w:sz w:val="22"/>
                <w:lang w:eastAsia="zh-CN"/>
              </w:rPr>
              <w:t xml:space="preserve">No further RRM impact for IAB-MT or DU due to simultaneous operation between IAB-MT TX and DU RX or between IAB-MT RX and DU TX is identified.  </w:t>
            </w:r>
          </w:p>
          <w:p w:rsidR="00AC1505" w:rsidRPr="00AC1505" w:rsidRDefault="00AC1505" w:rsidP="004F344B">
            <w:pPr>
              <w:rPr>
                <w:rFonts w:eastAsiaTheme="minorEastAsia"/>
                <w:b/>
                <w:lang w:eastAsia="zh-CN"/>
              </w:rPr>
            </w:pPr>
          </w:p>
        </w:tc>
      </w:tr>
    </w:tbl>
    <w:p w:rsidR="00AC1505" w:rsidRDefault="00AC1505" w:rsidP="004F344B">
      <w:pPr>
        <w:rPr>
          <w:rFonts w:eastAsiaTheme="minorEastAsia"/>
          <w:b/>
          <w:lang w:val="en-US" w:eastAsia="zh-CN"/>
        </w:rPr>
      </w:pPr>
    </w:p>
    <w:p w:rsidR="00AC1505" w:rsidRDefault="00AC1505" w:rsidP="004F344B">
      <w:pPr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For case#6 timing,</w:t>
      </w:r>
    </w:p>
    <w:p w:rsidR="00AC1505" w:rsidRDefault="00AC1505" w:rsidP="004F344B">
      <w:pPr>
        <w:rPr>
          <w:rFonts w:eastAsiaTheme="minorEastAsia"/>
          <w:b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7A0B4E" w:rsidTr="007A0B4E">
        <w:tc>
          <w:tcPr>
            <w:tcW w:w="9562" w:type="dxa"/>
          </w:tcPr>
          <w:p w:rsidR="007A0B4E" w:rsidRPr="001007B4" w:rsidRDefault="001007B4" w:rsidP="007A0B4E">
            <w:pPr>
              <w:spacing w:after="0"/>
              <w:rPr>
                <w:rFonts w:eastAsia="Batang"/>
              </w:rPr>
            </w:pPr>
            <w:r w:rsidRPr="001007B4">
              <w:rPr>
                <w:rFonts w:eastAsia="Batang" w:hint="eastAsia"/>
              </w:rPr>
              <w:t>R</w:t>
            </w:r>
            <w:r w:rsidRPr="001007B4">
              <w:rPr>
                <w:rFonts w:eastAsia="Batang"/>
              </w:rPr>
              <w:t>AN1#106b</w:t>
            </w:r>
          </w:p>
          <w:p w:rsidR="001007B4" w:rsidRDefault="001007B4" w:rsidP="007A0B4E">
            <w:pPr>
              <w:spacing w:after="0"/>
              <w:rPr>
                <w:rFonts w:eastAsia="Batang"/>
                <w:highlight w:val="green"/>
              </w:rPr>
            </w:pPr>
          </w:p>
          <w:p w:rsidR="007A0B4E" w:rsidRPr="00F0271D" w:rsidRDefault="007A0B4E" w:rsidP="007A0B4E">
            <w:pPr>
              <w:spacing w:after="0"/>
              <w:rPr>
                <w:rFonts w:eastAsia="Batang"/>
                <w:highlight w:val="green"/>
              </w:rPr>
            </w:pPr>
            <w:r w:rsidRPr="00F0271D">
              <w:rPr>
                <w:rFonts w:eastAsia="Batang"/>
                <w:highlight w:val="green"/>
              </w:rPr>
              <w:t>Agreement</w:t>
            </w:r>
          </w:p>
          <w:p w:rsidR="007A0B4E" w:rsidRPr="007D7C90" w:rsidRDefault="007A0B4E" w:rsidP="007A0B4E">
            <w:pPr>
              <w:spacing w:after="0"/>
              <w:rPr>
                <w:rFonts w:eastAsia="Batang"/>
              </w:rPr>
            </w:pPr>
            <w:r w:rsidRPr="007D7C90">
              <w:rPr>
                <w:rFonts w:eastAsia="Batang"/>
              </w:rPr>
              <w:t xml:space="preserve">For Case 6 timing at a given IAB-node, the IAB-MT </w:t>
            </w:r>
            <w:proofErr w:type="spellStart"/>
            <w:r w:rsidRPr="007D7C90">
              <w:rPr>
                <w:rFonts w:eastAsia="Batang"/>
              </w:rPr>
              <w:t>Tx</w:t>
            </w:r>
            <w:proofErr w:type="spellEnd"/>
            <w:r w:rsidRPr="007D7C90">
              <w:rPr>
                <w:rFonts w:eastAsia="Batang"/>
              </w:rPr>
              <w:t xml:space="preserve"> timing is set by the node to the timing obtained for the node’s DL </w:t>
            </w:r>
            <w:proofErr w:type="spellStart"/>
            <w:r w:rsidRPr="007D7C90">
              <w:rPr>
                <w:rFonts w:eastAsia="Batang"/>
              </w:rPr>
              <w:t>Tx</w:t>
            </w:r>
            <w:proofErr w:type="spellEnd"/>
            <w:r w:rsidRPr="007D7C90">
              <w:rPr>
                <w:rFonts w:eastAsia="Batang"/>
              </w:rPr>
              <w:t>.</w:t>
            </w:r>
          </w:p>
          <w:p w:rsidR="007A0B4E" w:rsidRPr="007D7C90" w:rsidRDefault="007A0B4E" w:rsidP="007A0B4E">
            <w:pPr>
              <w:numPr>
                <w:ilvl w:val="0"/>
                <w:numId w:val="33"/>
              </w:numPr>
              <w:spacing w:after="0"/>
              <w:contextualSpacing/>
              <w:textAlignment w:val="baseline"/>
              <w:rPr>
                <w:rFonts w:eastAsia="宋体"/>
                <w:lang w:eastAsia="ja-JP"/>
              </w:rPr>
            </w:pPr>
            <w:r w:rsidRPr="007D7C90">
              <w:rPr>
                <w:rFonts w:eastAsia="宋体"/>
                <w:lang w:eastAsia="ja-JP"/>
              </w:rPr>
              <w:lastRenderedPageBreak/>
              <w:t xml:space="preserve">FFS: Need for additional details with reference to support of OTA synchronization (e.g. </w:t>
            </w:r>
            <w:proofErr w:type="spellStart"/>
            <w:r w:rsidRPr="007D7C90">
              <w:rPr>
                <w:rFonts w:eastAsia="宋体"/>
                <w:lang w:eastAsia="ja-JP"/>
              </w:rPr>
              <w:t>T_delta</w:t>
            </w:r>
            <w:proofErr w:type="spellEnd"/>
            <w:r w:rsidRPr="007D7C90">
              <w:rPr>
                <w:rFonts w:eastAsia="宋体"/>
                <w:lang w:eastAsia="ja-JP"/>
              </w:rPr>
              <w:t>)</w:t>
            </w:r>
          </w:p>
          <w:p w:rsidR="007A0B4E" w:rsidRDefault="007A0B4E" w:rsidP="004F344B">
            <w:pPr>
              <w:rPr>
                <w:rFonts w:eastAsiaTheme="minorEastAsia"/>
                <w:b/>
                <w:lang w:eastAsia="zh-CN"/>
              </w:rPr>
            </w:pPr>
          </w:p>
          <w:p w:rsidR="001007B4" w:rsidRPr="001007B4" w:rsidRDefault="001007B4" w:rsidP="001007B4">
            <w:pPr>
              <w:spacing w:after="0"/>
              <w:rPr>
                <w:rFonts w:eastAsia="Batang"/>
              </w:rPr>
            </w:pPr>
            <w:r w:rsidRPr="001007B4">
              <w:rPr>
                <w:rFonts w:eastAsia="Batang" w:hint="eastAsia"/>
              </w:rPr>
              <w:t>R</w:t>
            </w:r>
            <w:r w:rsidRPr="001007B4">
              <w:rPr>
                <w:rFonts w:eastAsia="Batang"/>
              </w:rPr>
              <w:t>AN1#10</w:t>
            </w:r>
            <w:r>
              <w:rPr>
                <w:rFonts w:eastAsia="Batang"/>
              </w:rPr>
              <w:t>7</w:t>
            </w:r>
          </w:p>
          <w:p w:rsidR="007A0B4E" w:rsidRPr="00CA60F8" w:rsidRDefault="007A0B4E" w:rsidP="007A0B4E">
            <w:pPr>
              <w:rPr>
                <w:rFonts w:ascii="Times" w:eastAsia="Malgun Gothic" w:hAnsi="Times" w:cs="Times"/>
                <w:lang w:eastAsia="ko-KR"/>
              </w:rPr>
            </w:pPr>
            <w:r w:rsidRPr="00CA60F8">
              <w:rPr>
                <w:rFonts w:ascii="Times" w:eastAsia="Calibri" w:hAnsi="Times" w:cs="Times"/>
                <w:b/>
                <w:bCs/>
                <w:color w:val="000000"/>
                <w:highlight w:val="green"/>
              </w:rPr>
              <w:t>Agreement</w:t>
            </w:r>
          </w:p>
          <w:p w:rsidR="007A0B4E" w:rsidRPr="00CA60F8" w:rsidRDefault="007A0B4E" w:rsidP="007A0B4E">
            <w:pPr>
              <w:rPr>
                <w:rFonts w:ascii="Times" w:eastAsia="Calibri" w:hAnsi="Times"/>
                <w:bCs/>
              </w:rPr>
            </w:pPr>
            <w:r w:rsidRPr="00CA60F8">
              <w:rPr>
                <w:rFonts w:ascii="Times" w:eastAsia="Calibri" w:hAnsi="Times"/>
                <w:bCs/>
              </w:rPr>
              <w:t>Select Alt 2 from the aforementioned RAN1#106b-e agreement without specification impact other than the following:</w:t>
            </w:r>
          </w:p>
          <w:p w:rsidR="007A0B4E" w:rsidRPr="00CA60F8" w:rsidRDefault="007A0B4E" w:rsidP="007A0B4E">
            <w:pPr>
              <w:numPr>
                <w:ilvl w:val="0"/>
                <w:numId w:val="34"/>
              </w:numPr>
              <w:spacing w:after="160" w:line="259" w:lineRule="auto"/>
              <w:rPr>
                <w:rFonts w:ascii="Times" w:eastAsia="Calibri" w:hAnsi="Times"/>
                <w:bCs/>
              </w:rPr>
            </w:pPr>
            <w:r w:rsidRPr="00CA60F8">
              <w:rPr>
                <w:rFonts w:ascii="Times" w:eastAsia="Calibri" w:hAnsi="Times"/>
                <w:bCs/>
              </w:rPr>
              <w:t xml:space="preserve">Alt A: the </w:t>
            </w:r>
            <w:proofErr w:type="spellStart"/>
            <w:r w:rsidRPr="00CA60F8">
              <w:rPr>
                <w:rFonts w:ascii="Times" w:eastAsia="Calibri" w:hAnsi="Times"/>
                <w:bCs/>
              </w:rPr>
              <w:t>T_delta</w:t>
            </w:r>
            <w:proofErr w:type="spellEnd"/>
            <w:r w:rsidRPr="00CA60F8">
              <w:rPr>
                <w:rFonts w:ascii="Times" w:eastAsia="Calibri" w:hAnsi="Times"/>
                <w:bCs/>
              </w:rPr>
              <w:t xml:space="preserve"> range is updated to support Case 6 timing.</w:t>
            </w:r>
          </w:p>
          <w:p w:rsidR="007A0B4E" w:rsidRPr="00CA60F8" w:rsidRDefault="007A0B4E" w:rsidP="007A0B4E">
            <w:pPr>
              <w:rPr>
                <w:rFonts w:ascii="Times" w:eastAsia="Calibri" w:hAnsi="Times"/>
                <w:bCs/>
              </w:rPr>
            </w:pPr>
            <w:r w:rsidRPr="00CA60F8">
              <w:rPr>
                <w:rFonts w:ascii="Times" w:eastAsia="Calibri" w:hAnsi="Times"/>
                <w:bCs/>
              </w:rPr>
              <w:t xml:space="preserve">FFS: Update of one way delay estimation equation in TS38.213 </w:t>
            </w:r>
            <w:proofErr w:type="spellStart"/>
            <w:r w:rsidRPr="00CA60F8">
              <w:rPr>
                <w:rFonts w:ascii="Times" w:eastAsia="Calibri" w:hAnsi="Times"/>
                <w:bCs/>
              </w:rPr>
              <w:t>subclause</w:t>
            </w:r>
            <w:proofErr w:type="spellEnd"/>
            <w:r w:rsidRPr="00CA60F8">
              <w:rPr>
                <w:rFonts w:ascii="Times" w:eastAsia="Calibri" w:hAnsi="Times"/>
                <w:bCs/>
              </w:rPr>
              <w:t xml:space="preserve"> 14</w:t>
            </w:r>
          </w:p>
          <w:p w:rsidR="007A0B4E" w:rsidRDefault="0077202B" w:rsidP="004F344B">
            <w:pPr>
              <w:rPr>
                <w:sz w:val="16"/>
                <w:szCs w:val="16"/>
              </w:rPr>
            </w:pPr>
            <w:r>
              <w:rPr>
                <w:rFonts w:eastAsiaTheme="minorEastAsia"/>
                <w:b/>
                <w:lang w:eastAsia="zh-CN"/>
              </w:rPr>
              <w:t xml:space="preserve">Agreed CR </w:t>
            </w:r>
            <w:r w:rsidRPr="0077202B">
              <w:rPr>
                <w:rFonts w:eastAsiaTheme="minorEastAsia"/>
                <w:b/>
                <w:lang w:eastAsia="zh-CN"/>
              </w:rPr>
              <w:t>R1-2112930</w:t>
            </w:r>
          </w:p>
          <w:p w:rsidR="001007B4" w:rsidRPr="007A0B4E" w:rsidRDefault="0077202B" w:rsidP="004F344B">
            <w:pPr>
              <w:rPr>
                <w:rFonts w:eastAsiaTheme="minorEastAsia"/>
                <w:b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0368905" wp14:editId="1CF6338A">
                  <wp:extent cx="6078220" cy="1557655"/>
                  <wp:effectExtent l="0" t="0" r="0" b="444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78220" cy="1557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A0B4E" w:rsidRDefault="007A0B4E" w:rsidP="004F344B">
      <w:pPr>
        <w:rPr>
          <w:rFonts w:eastAsiaTheme="minorEastAsia"/>
          <w:b/>
          <w:lang w:val="en-US" w:eastAsia="zh-CN"/>
        </w:rPr>
      </w:pPr>
    </w:p>
    <w:p w:rsidR="007A0B4E" w:rsidRDefault="0077202B" w:rsidP="003A0A6B">
      <w:pPr>
        <w:jc w:val="both"/>
        <w:rPr>
          <w:rFonts w:ascii="Times" w:eastAsia="Calibri" w:hAnsi="Times"/>
          <w:bCs/>
        </w:rPr>
      </w:pPr>
      <w:r w:rsidRPr="0077202B">
        <w:rPr>
          <w:rFonts w:ascii="Times" w:eastAsia="Calibri" w:hAnsi="Times" w:hint="eastAsia"/>
          <w:bCs/>
        </w:rPr>
        <w:t>I</w:t>
      </w:r>
      <w:r w:rsidRPr="0077202B">
        <w:rPr>
          <w:rFonts w:ascii="Times" w:eastAsia="Calibri" w:hAnsi="Times"/>
          <w:bCs/>
        </w:rPr>
        <w:t>t could be observed from RAN1’s agreements and agreed CR that in Case#6 timing,</w:t>
      </w:r>
      <w:r w:rsidR="00CA093B">
        <w:rPr>
          <w:rFonts w:ascii="Times" w:eastAsia="Calibri" w:hAnsi="Times"/>
          <w:bCs/>
        </w:rPr>
        <w:t xml:space="preserve"> IAB MT transmission time is </w:t>
      </w:r>
      <w:r w:rsidR="00533DC5">
        <w:rPr>
          <w:rFonts w:ascii="Times" w:eastAsia="Calibri" w:hAnsi="Times"/>
          <w:bCs/>
        </w:rPr>
        <w:t>set</w:t>
      </w:r>
      <w:r w:rsidR="00CA093B">
        <w:rPr>
          <w:rFonts w:ascii="Times" w:eastAsia="Calibri" w:hAnsi="Times"/>
          <w:bCs/>
        </w:rPr>
        <w:t xml:space="preserve"> to the transmission time of IAB-DU. </w:t>
      </w:r>
      <w:r w:rsidR="00533DC5">
        <w:rPr>
          <w:rFonts w:ascii="Times" w:eastAsia="Calibri" w:hAnsi="Times"/>
          <w:bCs/>
        </w:rPr>
        <w:t xml:space="preserve">It is different from Case#1 timing when the IAM-MT </w:t>
      </w:r>
      <w:proofErr w:type="spellStart"/>
      <w:r w:rsidR="00533DC5">
        <w:rPr>
          <w:rFonts w:ascii="Times" w:eastAsia="Calibri" w:hAnsi="Times"/>
          <w:bCs/>
        </w:rPr>
        <w:t>Tx</w:t>
      </w:r>
      <w:proofErr w:type="spellEnd"/>
      <w:r w:rsidR="00533DC5">
        <w:rPr>
          <w:rFonts w:ascii="Times" w:eastAsia="Calibri" w:hAnsi="Times"/>
          <w:bCs/>
        </w:rPr>
        <w:t xml:space="preserve"> timing is determined by </w:t>
      </w:r>
      <w:proofErr w:type="spellStart"/>
      <w:r w:rsidR="00533DC5">
        <w:rPr>
          <w:rFonts w:ascii="Times" w:eastAsia="Calibri" w:hAnsi="Times"/>
          <w:bCs/>
        </w:rPr>
        <w:t>N</w:t>
      </w:r>
      <w:r w:rsidR="00533DC5" w:rsidRPr="00533DC5">
        <w:rPr>
          <w:rFonts w:ascii="Times" w:eastAsia="Calibri" w:hAnsi="Times"/>
          <w:bCs/>
          <w:vertAlign w:val="subscript"/>
        </w:rPr>
        <w:t>TA</w:t>
      </w:r>
      <w:r w:rsidR="00533DC5">
        <w:rPr>
          <w:rFonts w:ascii="Times" w:eastAsia="Calibri" w:hAnsi="Times"/>
          <w:bCs/>
        </w:rPr>
        <w:t>+N</w:t>
      </w:r>
      <w:r w:rsidR="00533DC5" w:rsidRPr="00533DC5">
        <w:rPr>
          <w:rFonts w:ascii="Times" w:eastAsia="Calibri" w:hAnsi="Times"/>
          <w:bCs/>
          <w:vertAlign w:val="subscript"/>
        </w:rPr>
        <w:t>TA_offset</w:t>
      </w:r>
      <w:proofErr w:type="spellEnd"/>
      <w:r w:rsidR="00533DC5" w:rsidRPr="00533DC5">
        <w:rPr>
          <w:rFonts w:ascii="Times" w:eastAsia="Calibri" w:hAnsi="Times"/>
          <w:bCs/>
          <w:vertAlign w:val="subscript"/>
        </w:rPr>
        <w:t xml:space="preserve"> </w:t>
      </w:r>
      <w:r w:rsidR="00533DC5">
        <w:rPr>
          <w:rFonts w:ascii="Times" w:eastAsia="Calibri" w:hAnsi="Times"/>
          <w:bCs/>
        </w:rPr>
        <w:t xml:space="preserve">as defined in TS 38.213. For case#6 timing, it does not further distinguish whether it is OTA synchronization of GNSS-based synchronization and the MT </w:t>
      </w:r>
      <w:proofErr w:type="spellStart"/>
      <w:r w:rsidR="00533DC5">
        <w:rPr>
          <w:rFonts w:ascii="Times" w:eastAsia="Calibri" w:hAnsi="Times"/>
          <w:bCs/>
        </w:rPr>
        <w:t>Tx</w:t>
      </w:r>
      <w:proofErr w:type="spellEnd"/>
      <w:r w:rsidR="00533DC5">
        <w:rPr>
          <w:rFonts w:ascii="Times" w:eastAsia="Calibri" w:hAnsi="Times"/>
          <w:bCs/>
        </w:rPr>
        <w:t xml:space="preserve"> timing are all decided by DU regardless of which type of implementation. </w:t>
      </w:r>
    </w:p>
    <w:p w:rsidR="00533DC5" w:rsidRPr="00533DC5" w:rsidRDefault="00533DC5" w:rsidP="003A0A6B">
      <w:pPr>
        <w:jc w:val="both"/>
        <w:rPr>
          <w:rFonts w:ascii="Times" w:eastAsia="Calibri" w:hAnsi="Times"/>
          <w:b/>
          <w:bCs/>
        </w:rPr>
      </w:pPr>
      <w:r w:rsidRPr="00533DC5">
        <w:rPr>
          <w:rFonts w:ascii="Times" w:eastAsia="Calibri" w:hAnsi="Times"/>
          <w:b/>
          <w:bCs/>
        </w:rPr>
        <w:t xml:space="preserve">Observation 1: According to RAN1’s spec, MT </w:t>
      </w:r>
      <w:proofErr w:type="spellStart"/>
      <w:r w:rsidRPr="00533DC5">
        <w:rPr>
          <w:rFonts w:ascii="Times" w:eastAsia="Calibri" w:hAnsi="Times"/>
          <w:b/>
          <w:bCs/>
        </w:rPr>
        <w:t>Tx</w:t>
      </w:r>
      <w:proofErr w:type="spellEnd"/>
      <w:r w:rsidRPr="00533DC5">
        <w:rPr>
          <w:rFonts w:ascii="Times" w:eastAsia="Calibri" w:hAnsi="Times"/>
          <w:b/>
          <w:bCs/>
        </w:rPr>
        <w:t xml:space="preserve"> timing in Case#6 is determined by its DU </w:t>
      </w:r>
      <w:proofErr w:type="spellStart"/>
      <w:r w:rsidRPr="00533DC5">
        <w:rPr>
          <w:rFonts w:ascii="Times" w:eastAsia="Calibri" w:hAnsi="Times"/>
          <w:b/>
          <w:bCs/>
        </w:rPr>
        <w:t>Tx</w:t>
      </w:r>
      <w:proofErr w:type="spellEnd"/>
      <w:r w:rsidRPr="00533DC5">
        <w:rPr>
          <w:rFonts w:ascii="Times" w:eastAsia="Calibri" w:hAnsi="Times"/>
          <w:b/>
          <w:bCs/>
        </w:rPr>
        <w:t xml:space="preserve"> timing regardless of which type of implementations.</w:t>
      </w:r>
    </w:p>
    <w:p w:rsidR="00533DC5" w:rsidRPr="00533DC5" w:rsidRDefault="00533DC5" w:rsidP="003A0A6B">
      <w:pPr>
        <w:jc w:val="both"/>
        <w:rPr>
          <w:rFonts w:ascii="Times" w:eastAsia="Calibri" w:hAnsi="Times"/>
          <w:bCs/>
          <w:lang w:val="en-US"/>
        </w:rPr>
      </w:pPr>
      <w:r>
        <w:rPr>
          <w:rFonts w:ascii="Times" w:eastAsia="Calibri" w:hAnsi="Times" w:hint="eastAsia"/>
          <w:bCs/>
          <w:lang w:val="en-US"/>
        </w:rPr>
        <w:t xml:space="preserve">For OTA synchronization, </w:t>
      </w:r>
      <w:r>
        <w:rPr>
          <w:rFonts w:ascii="Times" w:eastAsia="Calibri" w:hAnsi="Times"/>
          <w:bCs/>
          <w:lang w:val="en-US"/>
        </w:rPr>
        <w:t xml:space="preserve">one kind of implementation is to set MT </w:t>
      </w:r>
      <w:proofErr w:type="spellStart"/>
      <w:r>
        <w:rPr>
          <w:rFonts w:ascii="Times" w:eastAsia="Calibri" w:hAnsi="Times"/>
          <w:bCs/>
          <w:lang w:val="en-US"/>
        </w:rPr>
        <w:t>Tx</w:t>
      </w:r>
      <w:proofErr w:type="spellEnd"/>
      <w:r>
        <w:rPr>
          <w:rFonts w:ascii="Times" w:eastAsia="Calibri" w:hAnsi="Times"/>
          <w:bCs/>
          <w:lang w:val="en-US"/>
        </w:rPr>
        <w:t xml:space="preserve"> timing </w:t>
      </w:r>
      <w:proofErr w:type="spellStart"/>
      <w:r>
        <w:rPr>
          <w:rFonts w:ascii="Times" w:eastAsia="Calibri" w:hAnsi="Times"/>
          <w:bCs/>
          <w:lang w:val="en-US"/>
        </w:rPr>
        <w:t>T</w:t>
      </w:r>
      <w:r w:rsidRPr="00533DC5">
        <w:rPr>
          <w:rFonts w:ascii="Times" w:eastAsia="Calibri" w:hAnsi="Times"/>
          <w:bCs/>
          <w:vertAlign w:val="subscript"/>
          <w:lang w:val="en-US"/>
        </w:rPr>
        <w:t>prog</w:t>
      </w:r>
      <w:proofErr w:type="spellEnd"/>
      <w:r>
        <w:rPr>
          <w:rFonts w:ascii="Times" w:eastAsia="Calibri" w:hAnsi="Times"/>
          <w:bCs/>
          <w:lang w:val="en-US"/>
        </w:rPr>
        <w:t xml:space="preserve"> before DL reception, where </w:t>
      </w:r>
      <w:proofErr w:type="spellStart"/>
      <w:r>
        <w:rPr>
          <w:rFonts w:ascii="Times" w:eastAsia="Calibri" w:hAnsi="Times"/>
          <w:bCs/>
          <w:lang w:val="en-US"/>
        </w:rPr>
        <w:t>T</w:t>
      </w:r>
      <w:r w:rsidRPr="00533DC5">
        <w:rPr>
          <w:rFonts w:ascii="Times" w:eastAsia="Calibri" w:hAnsi="Times"/>
          <w:bCs/>
          <w:vertAlign w:val="subscript"/>
          <w:lang w:val="en-US"/>
        </w:rPr>
        <w:t>prog</w:t>
      </w:r>
      <w:proofErr w:type="spellEnd"/>
      <w:r>
        <w:rPr>
          <w:rFonts w:ascii="Times" w:eastAsia="Calibri" w:hAnsi="Times"/>
          <w:bCs/>
          <w:vertAlign w:val="subscript"/>
          <w:lang w:val="en-US"/>
        </w:rPr>
        <w:t xml:space="preserve"> </w:t>
      </w:r>
      <w:r>
        <w:rPr>
          <w:rFonts w:ascii="Times" w:eastAsia="Calibri" w:hAnsi="Times"/>
          <w:bCs/>
          <w:vertAlign w:val="subscript"/>
          <w:lang w:val="en-US"/>
        </w:rPr>
        <w:softHyphen/>
      </w:r>
      <w:r>
        <w:rPr>
          <w:rFonts w:ascii="Times" w:eastAsia="Calibri" w:hAnsi="Times"/>
          <w:bCs/>
          <w:lang w:val="en-US"/>
        </w:rPr>
        <w:t xml:space="preserve">can be calculated according to TS 38.213. However, it is not specified as case#1 that IAB-MT </w:t>
      </w:r>
      <w:proofErr w:type="spellStart"/>
      <w:r>
        <w:rPr>
          <w:rFonts w:ascii="Times" w:eastAsia="Calibri" w:hAnsi="Times"/>
          <w:bCs/>
          <w:lang w:val="en-US"/>
        </w:rPr>
        <w:t>Tx</w:t>
      </w:r>
      <w:proofErr w:type="spellEnd"/>
      <w:r>
        <w:rPr>
          <w:rFonts w:ascii="Times" w:eastAsia="Calibri" w:hAnsi="Times"/>
          <w:bCs/>
          <w:lang w:val="en-US"/>
        </w:rPr>
        <w:t xml:space="preserve"> timing is determined as a “UE” in clause 4.2, and it is purely implementation specific. For legacy transmit timing requirements for IAB which is for case#</w:t>
      </w:r>
      <w:r w:rsidR="003A0A6B">
        <w:rPr>
          <w:rFonts w:ascii="Times" w:eastAsia="Calibri" w:hAnsi="Times"/>
          <w:bCs/>
          <w:lang w:val="en-US"/>
        </w:rPr>
        <w:t>1</w:t>
      </w:r>
      <w:r>
        <w:rPr>
          <w:rFonts w:ascii="Times" w:eastAsia="Calibri" w:hAnsi="Times"/>
          <w:bCs/>
          <w:lang w:val="en-US"/>
        </w:rPr>
        <w:t xml:space="preserve">, the purpose </w:t>
      </w:r>
      <w:r w:rsidR="00B61237">
        <w:rPr>
          <w:rFonts w:ascii="Times" w:eastAsia="Calibri" w:hAnsi="Times"/>
          <w:bCs/>
          <w:lang w:val="en-US"/>
        </w:rPr>
        <w:t>is</w:t>
      </w:r>
      <w:r>
        <w:rPr>
          <w:rFonts w:ascii="Times" w:eastAsia="Calibri" w:hAnsi="Times"/>
          <w:bCs/>
          <w:lang w:val="en-US"/>
        </w:rPr>
        <w:t xml:space="preserve"> to </w:t>
      </w:r>
      <w:r w:rsidR="00B61237">
        <w:rPr>
          <w:rFonts w:ascii="Times" w:eastAsia="Calibri" w:hAnsi="Times"/>
          <w:bCs/>
          <w:lang w:val="en-US"/>
        </w:rPr>
        <w:t xml:space="preserve">guarantee the performance of DL timing estimation accuracy based on SSB. </w:t>
      </w:r>
    </w:p>
    <w:p w:rsidR="007A0B4E" w:rsidRDefault="00B61237" w:rsidP="004F344B">
      <w:pPr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Observation 2: The legacy transmit timing requirement is to guarantee the performance of DL timing estimation accuracy.</w:t>
      </w:r>
    </w:p>
    <w:p w:rsidR="00B61237" w:rsidRDefault="00B61237" w:rsidP="004F344B">
      <w:pPr>
        <w:rPr>
          <w:rFonts w:ascii="Times" w:eastAsia="Calibri" w:hAnsi="Times"/>
          <w:bCs/>
          <w:lang w:val="en-US"/>
        </w:rPr>
      </w:pPr>
      <w:r>
        <w:rPr>
          <w:rFonts w:ascii="Times" w:eastAsia="Calibri" w:hAnsi="Times"/>
          <w:bCs/>
          <w:lang w:val="en-US"/>
        </w:rPr>
        <w:t xml:space="preserve">But for case#6 timing, it is an intra-node TAE issue as discussed in RF session which is shown as follow. Thus, there is not RRM impact of case#6 timing. As commented by companies, current transmit timing requirements may need to be revised as it is for case#1 timing. </w:t>
      </w:r>
      <w:r w:rsidR="00AB59D7">
        <w:rPr>
          <w:rFonts w:ascii="Times" w:eastAsia="Calibri" w:hAnsi="Times"/>
          <w:bCs/>
          <w:lang w:val="en-US"/>
        </w:rPr>
        <w:t>Thus, it is proposed to clarify that current transmit timing requirements apply to case#1 timing mode, and no other RRM impact of case#6 timing.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B61237" w:rsidTr="00B61237">
        <w:tc>
          <w:tcPr>
            <w:tcW w:w="9562" w:type="dxa"/>
          </w:tcPr>
          <w:p w:rsidR="00B61237" w:rsidRDefault="00B61237" w:rsidP="004F344B">
            <w:pPr>
              <w:rPr>
                <w:rFonts w:eastAsiaTheme="minorEastAsia"/>
                <w:b/>
                <w:lang w:val="en-US" w:eastAsia="zh-CN"/>
              </w:rPr>
            </w:pPr>
            <w:r w:rsidRPr="009E45B0">
              <w:t>R4-2120679</w:t>
            </w:r>
          </w:p>
          <w:p w:rsidR="00B61237" w:rsidRDefault="00B61237" w:rsidP="00B61237">
            <w:pPr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Case#6 timing: Timing error between own MT TX and DU TX</w:t>
            </w:r>
          </w:p>
          <w:p w:rsidR="00B61237" w:rsidRDefault="00B61237" w:rsidP="00B61237">
            <w:r>
              <w:rPr>
                <w:highlight w:val="green"/>
              </w:rPr>
              <w:t>Agreement:</w:t>
            </w:r>
          </w:p>
          <w:p w:rsidR="00B61237" w:rsidRDefault="00B61237" w:rsidP="00B61237">
            <w:pPr>
              <w:rPr>
                <w:highlight w:val="green"/>
              </w:rPr>
            </w:pPr>
            <w:r>
              <w:rPr>
                <w:highlight w:val="green"/>
              </w:rPr>
              <w:t>Baseline assumption: Introducing RF requirements for Timing error between own MT TX and DU TX should be defined for case#6 timing</w:t>
            </w:r>
          </w:p>
          <w:p w:rsidR="00B61237" w:rsidRDefault="00B61237" w:rsidP="00B61237">
            <w:pPr>
              <w:pStyle w:val="ListParagraph"/>
              <w:numPr>
                <w:ilvl w:val="0"/>
                <w:numId w:val="35"/>
              </w:numPr>
              <w:ind w:firstLineChars="0"/>
              <w:contextualSpacing/>
              <w:rPr>
                <w:rFonts w:asciiTheme="minorHAnsi" w:eastAsiaTheme="minorEastAsia" w:hAnsiTheme="minorHAnsi" w:cstheme="minorBidi"/>
                <w:highlight w:val="green"/>
                <w:lang w:eastAsia="zh-CN"/>
              </w:rPr>
            </w:pPr>
            <w:r>
              <w:rPr>
                <w:rFonts w:asciiTheme="minorHAnsi" w:eastAsiaTheme="minorEastAsia" w:hAnsiTheme="minorHAnsi" w:cstheme="minorBidi"/>
                <w:highlight w:val="green"/>
                <w:lang w:eastAsia="zh-CN"/>
              </w:rPr>
              <w:t>Pending on further checking whether existing cell phase sync requirements already cover above timing error</w:t>
            </w:r>
          </w:p>
          <w:p w:rsidR="00B61237" w:rsidRDefault="00B61237" w:rsidP="00B61237">
            <w:pPr>
              <w:pStyle w:val="ListParagraph"/>
              <w:numPr>
                <w:ilvl w:val="0"/>
                <w:numId w:val="35"/>
              </w:numPr>
              <w:ind w:firstLineChars="0"/>
              <w:contextualSpacing/>
              <w:rPr>
                <w:highlight w:val="green"/>
              </w:rPr>
            </w:pPr>
            <w:r>
              <w:rPr>
                <w:rFonts w:asciiTheme="minorHAnsi" w:eastAsiaTheme="minorEastAsia" w:hAnsiTheme="minorHAnsi" w:cstheme="minorBidi"/>
                <w:highlight w:val="green"/>
                <w:lang w:eastAsia="zh-CN"/>
              </w:rPr>
              <w:t>Further check the timing error tolerance between the parent IAB-DU node and child IAB-M</w:t>
            </w:r>
            <w:r>
              <w:rPr>
                <w:rFonts w:ascii="Arial" w:hAnsi="Arial" w:cs="Arial"/>
                <w:highlight w:val="green"/>
              </w:rPr>
              <w:t>T</w:t>
            </w:r>
          </w:p>
          <w:p w:rsidR="00B61237" w:rsidRDefault="00B61237" w:rsidP="00B61237">
            <w:r>
              <w:rPr>
                <w:highlight w:val="yellow"/>
              </w:rPr>
              <w:t>With above baseline assumption confirmed FFS on</w:t>
            </w:r>
            <w:r>
              <w:t xml:space="preserve">: </w:t>
            </w:r>
          </w:p>
          <w:p w:rsidR="00B61237" w:rsidRDefault="00B61237" w:rsidP="00B61237">
            <w:pPr>
              <w:ind w:firstLineChars="200" w:firstLine="400"/>
            </w:pPr>
            <w:r>
              <w:lastRenderedPageBreak/>
              <w:t xml:space="preserve">-reference condition for this requirement </w:t>
            </w:r>
          </w:p>
          <w:p w:rsidR="00B61237" w:rsidRDefault="00B61237" w:rsidP="00B61237">
            <w:pPr>
              <w:ind w:firstLineChars="200" w:firstLine="400"/>
            </w:pPr>
            <w:r>
              <w:t xml:space="preserve">-error requirement with below Alts </w:t>
            </w:r>
          </w:p>
          <w:p w:rsidR="00B61237" w:rsidRDefault="00B61237" w:rsidP="00B61237">
            <w:pPr>
              <w:pStyle w:val="ListParagraph"/>
              <w:numPr>
                <w:ilvl w:val="0"/>
                <w:numId w:val="23"/>
              </w:numPr>
              <w:spacing w:after="120"/>
              <w:ind w:firstLineChars="0"/>
              <w:contextualSpacing/>
              <w:rPr>
                <w:rFonts w:asciiTheme="minorHAnsi" w:eastAsiaTheme="minorEastAsia" w:hAnsiTheme="minorHAnsi" w:cstheme="minorBidi"/>
                <w:lang w:val="en-US" w:eastAsia="zh-CN"/>
              </w:rPr>
            </w:pPr>
            <w:r>
              <w:rPr>
                <w:rFonts w:asciiTheme="minorHAnsi" w:eastAsiaTheme="minorEastAsia" w:hAnsiTheme="minorHAnsi" w:cstheme="minorBidi"/>
                <w:lang w:val="en-US" w:eastAsia="zh-CN"/>
              </w:rPr>
              <w:t>Alt1: 3us</w:t>
            </w:r>
          </w:p>
          <w:p w:rsidR="00B61237" w:rsidRDefault="00B61237" w:rsidP="00B61237">
            <w:pPr>
              <w:pStyle w:val="ListParagraph"/>
              <w:numPr>
                <w:ilvl w:val="0"/>
                <w:numId w:val="23"/>
              </w:numPr>
              <w:spacing w:after="120"/>
              <w:ind w:firstLineChars="0"/>
              <w:contextualSpacing/>
              <w:rPr>
                <w:rFonts w:asciiTheme="minorHAnsi" w:eastAsiaTheme="minorEastAsia" w:hAnsiTheme="minorHAnsi" w:cstheme="minorBidi"/>
                <w:lang w:val="en-US" w:eastAsia="zh-CN"/>
              </w:rPr>
            </w:pPr>
            <w:r>
              <w:rPr>
                <w:rFonts w:asciiTheme="minorHAnsi" w:eastAsiaTheme="minorEastAsia" w:hAnsiTheme="minorHAnsi" w:cstheme="minorBidi"/>
                <w:lang w:val="en-US" w:eastAsia="zh-CN"/>
              </w:rPr>
              <w:t>Alt2: cyclic prefix length of largest supported SCS</w:t>
            </w:r>
          </w:p>
          <w:p w:rsidR="00B61237" w:rsidRDefault="00B61237" w:rsidP="00B61237">
            <w:pPr>
              <w:pStyle w:val="ListParagraph"/>
              <w:numPr>
                <w:ilvl w:val="0"/>
                <w:numId w:val="23"/>
              </w:numPr>
              <w:spacing w:after="120"/>
              <w:ind w:firstLineChars="0"/>
              <w:contextualSpacing/>
              <w:rPr>
                <w:rFonts w:asciiTheme="minorHAnsi" w:eastAsiaTheme="minorEastAsia" w:hAnsiTheme="minorHAnsi" w:cstheme="minorBidi"/>
                <w:lang w:val="en-US" w:eastAsia="zh-CN"/>
              </w:rPr>
            </w:pPr>
            <w:r>
              <w:rPr>
                <w:rFonts w:asciiTheme="minorHAnsi" w:eastAsiaTheme="minorEastAsia" w:hAnsiTheme="minorHAnsi" w:cstheme="minorBidi"/>
                <w:lang w:val="en-US" w:eastAsia="zh-CN"/>
              </w:rPr>
              <w:t>Alt3: value as SCS dependent</w:t>
            </w:r>
          </w:p>
          <w:p w:rsidR="00B61237" w:rsidRDefault="00B61237" w:rsidP="004F344B">
            <w:pPr>
              <w:rPr>
                <w:rFonts w:eastAsiaTheme="minorEastAsia"/>
                <w:b/>
                <w:lang w:val="en-US" w:eastAsia="zh-CN"/>
              </w:rPr>
            </w:pPr>
          </w:p>
        </w:tc>
      </w:tr>
    </w:tbl>
    <w:p w:rsidR="00B61237" w:rsidRPr="00B61237" w:rsidRDefault="00B61237" w:rsidP="004F344B">
      <w:pPr>
        <w:rPr>
          <w:rFonts w:eastAsiaTheme="minorEastAsia"/>
          <w:b/>
          <w:lang w:val="en-US" w:eastAsia="zh-CN"/>
        </w:rPr>
      </w:pPr>
    </w:p>
    <w:p w:rsidR="00B61237" w:rsidRPr="00AB59D7" w:rsidRDefault="00AB59D7" w:rsidP="004F344B">
      <w:pPr>
        <w:rPr>
          <w:rFonts w:eastAsiaTheme="minorEastAsia"/>
          <w:b/>
          <w:lang w:val="en-US" w:eastAsia="zh-CN"/>
        </w:rPr>
      </w:pPr>
      <w:r w:rsidRPr="00AB59D7">
        <w:rPr>
          <w:rFonts w:eastAsiaTheme="minorEastAsia" w:hint="eastAsia"/>
          <w:b/>
          <w:lang w:val="en-US" w:eastAsia="zh-CN"/>
        </w:rPr>
        <w:t>Proposal 1:</w:t>
      </w:r>
      <w:r w:rsidRPr="00AB59D7">
        <w:rPr>
          <w:rFonts w:ascii="Times" w:eastAsia="Calibri" w:hAnsi="Times"/>
          <w:b/>
          <w:bCs/>
          <w:lang w:val="en-US"/>
        </w:rPr>
        <w:t xml:space="preserve"> Clarify that current transmit timing requirements apply to case#1 timing mode, and no other RRM impact of case#6 timing.</w:t>
      </w:r>
    </w:p>
    <w:p w:rsidR="00AB59D7" w:rsidRDefault="00AB59D7" w:rsidP="003A0A6B">
      <w:pPr>
        <w:jc w:val="both"/>
      </w:pPr>
      <w:r w:rsidRPr="00AB59D7">
        <w:rPr>
          <w:rFonts w:hint="eastAsia"/>
        </w:rPr>
        <w:t xml:space="preserve">Another issue is whether to define CLI measurement </w:t>
      </w:r>
      <w:r w:rsidRPr="00AB59D7">
        <w:t>requirement</w:t>
      </w:r>
      <w:r w:rsidRPr="00AB59D7">
        <w:rPr>
          <w:rFonts w:hint="eastAsia"/>
        </w:rPr>
        <w:t xml:space="preserve"> </w:t>
      </w:r>
      <w:r w:rsidRPr="00AB59D7">
        <w:t xml:space="preserve">for Rel-17 </w:t>
      </w:r>
      <w:proofErr w:type="spellStart"/>
      <w:r w:rsidRPr="00AB59D7">
        <w:t>eIAB</w:t>
      </w:r>
      <w:proofErr w:type="spellEnd"/>
      <w:r w:rsidRPr="00AB59D7">
        <w:t>.</w:t>
      </w:r>
      <w:r>
        <w:t xml:space="preserve"> </w:t>
      </w:r>
      <w:r w:rsidR="00CA3A62">
        <w:t>Companies supporting defin</w:t>
      </w:r>
      <w:r w:rsidR="003A0A6B">
        <w:t>ing</w:t>
      </w:r>
      <w:r w:rsidR="00CA3A62">
        <w:t xml:space="preserve"> CLI measurement requirements for Rel-17 </w:t>
      </w:r>
      <w:proofErr w:type="spellStart"/>
      <w:r w:rsidR="00CA3A62">
        <w:t>eIAB</w:t>
      </w:r>
      <w:proofErr w:type="spellEnd"/>
      <w:r w:rsidR="00CA3A62">
        <w:t xml:space="preserve"> argued that RAN1 has discussed whether to enhance Rel-16 CLI measurement and reporting for CLI management. However, according to RAN1 conclusion and status, there is no any enhancement on CLI measurement and reporting compared with Rel-16. The enhancement is about coordination signalling, e.g. resource configurations.</w:t>
      </w:r>
    </w:p>
    <w:p w:rsidR="00CA3A62" w:rsidRPr="00CA3A62" w:rsidRDefault="00CA3A62" w:rsidP="003A0A6B">
      <w:pPr>
        <w:jc w:val="both"/>
        <w:rPr>
          <w:b/>
        </w:rPr>
      </w:pPr>
      <w:r w:rsidRPr="00CA3A62">
        <w:rPr>
          <w:b/>
        </w:rPr>
        <w:t xml:space="preserve">Observation 3: There is no enhancement on CLI measurement and reporting for Rel-17 </w:t>
      </w:r>
      <w:proofErr w:type="spellStart"/>
      <w:r w:rsidRPr="00CA3A62">
        <w:rPr>
          <w:b/>
        </w:rPr>
        <w:t>eIAB</w:t>
      </w:r>
      <w:proofErr w:type="spellEnd"/>
      <w:r w:rsidRPr="00CA3A62">
        <w:rPr>
          <w:b/>
        </w:rPr>
        <w:t xml:space="preserve"> compared with Rel-16 IAB based on RAN1/2 agreements.</w:t>
      </w:r>
    </w:p>
    <w:p w:rsidR="00CA3A62" w:rsidRDefault="00CA3A62" w:rsidP="003A0A6B">
      <w:pPr>
        <w:jc w:val="both"/>
      </w:pPr>
      <w:r>
        <w:rPr>
          <w:rFonts w:hint="eastAsia"/>
        </w:rPr>
        <w:t>T</w:t>
      </w:r>
      <w:r>
        <w:t>h</w:t>
      </w:r>
      <w:r>
        <w:rPr>
          <w:rFonts w:hint="eastAsia"/>
        </w:rPr>
        <w:t xml:space="preserve">us, it is straightforward that there is no RRM impact </w:t>
      </w:r>
      <w:r>
        <w:t xml:space="preserve">(defining CLI measurement requirements) for Rel-17 </w:t>
      </w:r>
      <w:proofErr w:type="spellStart"/>
      <w:r>
        <w:t>eIAB</w:t>
      </w:r>
      <w:proofErr w:type="spellEnd"/>
      <w:r>
        <w:t>.</w:t>
      </w:r>
    </w:p>
    <w:p w:rsidR="00270432" w:rsidRPr="00270432" w:rsidRDefault="00270432" w:rsidP="003A0A6B">
      <w:pPr>
        <w:jc w:val="both"/>
        <w:rPr>
          <w:b/>
        </w:rPr>
      </w:pPr>
      <w:r w:rsidRPr="00270432">
        <w:rPr>
          <w:b/>
        </w:rPr>
        <w:t xml:space="preserve">Proposal 2: For CLI measurements by IAB-MT, no RRM requirements need to be specified as there is no enhancement on CLI measurement for Rel-17 </w:t>
      </w:r>
      <w:proofErr w:type="spellStart"/>
      <w:r w:rsidRPr="00270432">
        <w:rPr>
          <w:b/>
        </w:rPr>
        <w:t>eIAB</w:t>
      </w:r>
      <w:proofErr w:type="spellEnd"/>
      <w:r w:rsidRPr="00270432">
        <w:rPr>
          <w:b/>
        </w:rPr>
        <w:t xml:space="preserve"> compared with Rel-16.</w:t>
      </w:r>
    </w:p>
    <w:p w:rsidR="00DF0231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Conclusions</w:t>
      </w:r>
    </w:p>
    <w:p w:rsidR="00270432" w:rsidRPr="00533DC5" w:rsidRDefault="00270432" w:rsidP="00270432">
      <w:pPr>
        <w:rPr>
          <w:rFonts w:ascii="Times" w:eastAsia="Calibri" w:hAnsi="Times"/>
          <w:b/>
          <w:bCs/>
        </w:rPr>
      </w:pPr>
      <w:r w:rsidRPr="00533DC5">
        <w:rPr>
          <w:rFonts w:ascii="Times" w:eastAsia="Calibri" w:hAnsi="Times"/>
          <w:b/>
          <w:bCs/>
        </w:rPr>
        <w:t xml:space="preserve">Observation 1: According to RAN1’s spec, MT </w:t>
      </w:r>
      <w:proofErr w:type="spellStart"/>
      <w:r w:rsidRPr="00533DC5">
        <w:rPr>
          <w:rFonts w:ascii="Times" w:eastAsia="Calibri" w:hAnsi="Times"/>
          <w:b/>
          <w:bCs/>
        </w:rPr>
        <w:t>Tx</w:t>
      </w:r>
      <w:proofErr w:type="spellEnd"/>
      <w:r w:rsidRPr="00533DC5">
        <w:rPr>
          <w:rFonts w:ascii="Times" w:eastAsia="Calibri" w:hAnsi="Times"/>
          <w:b/>
          <w:bCs/>
        </w:rPr>
        <w:t xml:space="preserve"> timing in Case#6 is determined by its DU </w:t>
      </w:r>
      <w:proofErr w:type="spellStart"/>
      <w:r w:rsidRPr="00533DC5">
        <w:rPr>
          <w:rFonts w:ascii="Times" w:eastAsia="Calibri" w:hAnsi="Times"/>
          <w:b/>
          <w:bCs/>
        </w:rPr>
        <w:t>Tx</w:t>
      </w:r>
      <w:proofErr w:type="spellEnd"/>
      <w:r w:rsidRPr="00533DC5">
        <w:rPr>
          <w:rFonts w:ascii="Times" w:eastAsia="Calibri" w:hAnsi="Times"/>
          <w:b/>
          <w:bCs/>
        </w:rPr>
        <w:t xml:space="preserve"> timing regardless of which type of implementations.</w:t>
      </w:r>
    </w:p>
    <w:p w:rsidR="00270432" w:rsidRDefault="00270432" w:rsidP="00270432">
      <w:pPr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Observation 2: The legacy transmit timing requirement is to guarantee the performance of DL timing estimation accuracy.</w:t>
      </w:r>
    </w:p>
    <w:p w:rsidR="00270432" w:rsidRPr="00AB59D7" w:rsidRDefault="00270432" w:rsidP="00270432">
      <w:pPr>
        <w:rPr>
          <w:rFonts w:eastAsiaTheme="minorEastAsia"/>
          <w:b/>
          <w:lang w:val="en-US" w:eastAsia="zh-CN"/>
        </w:rPr>
      </w:pPr>
      <w:r w:rsidRPr="00AB59D7">
        <w:rPr>
          <w:rFonts w:eastAsiaTheme="minorEastAsia" w:hint="eastAsia"/>
          <w:b/>
          <w:lang w:val="en-US" w:eastAsia="zh-CN"/>
        </w:rPr>
        <w:t>Proposal 1:</w:t>
      </w:r>
      <w:r w:rsidRPr="00AB59D7">
        <w:rPr>
          <w:rFonts w:ascii="Times" w:eastAsia="Calibri" w:hAnsi="Times"/>
          <w:b/>
          <w:bCs/>
          <w:lang w:val="en-US"/>
        </w:rPr>
        <w:t xml:space="preserve"> Clarify that current transmit timing requirements apply to case#1 timing mode, and no other RRM impact of case#6 timing.</w:t>
      </w:r>
    </w:p>
    <w:p w:rsidR="00270432" w:rsidRPr="00CA3A62" w:rsidRDefault="00270432" w:rsidP="00270432">
      <w:pPr>
        <w:rPr>
          <w:b/>
        </w:rPr>
      </w:pPr>
      <w:r w:rsidRPr="00CA3A62">
        <w:rPr>
          <w:b/>
        </w:rPr>
        <w:t xml:space="preserve">Observation 3: There is no enhancement on CLI measurement and reporting for Rel-17 </w:t>
      </w:r>
      <w:proofErr w:type="spellStart"/>
      <w:r w:rsidRPr="00CA3A62">
        <w:rPr>
          <w:b/>
        </w:rPr>
        <w:t>eIAB</w:t>
      </w:r>
      <w:proofErr w:type="spellEnd"/>
      <w:r w:rsidRPr="00CA3A62">
        <w:rPr>
          <w:b/>
        </w:rPr>
        <w:t xml:space="preserve"> compared with Rel-16 IAB based on RAN1/2 agreements.</w:t>
      </w:r>
    </w:p>
    <w:p w:rsidR="00270432" w:rsidRPr="00270432" w:rsidRDefault="00270432" w:rsidP="00270432">
      <w:pPr>
        <w:rPr>
          <w:b/>
        </w:rPr>
      </w:pPr>
      <w:r w:rsidRPr="00270432">
        <w:rPr>
          <w:b/>
        </w:rPr>
        <w:t xml:space="preserve">Proposal 2: For CLI measurements by IAB-MT, no RRM requirements need to be specified as there is no enhancement on CLI measurement for Rel-17 </w:t>
      </w:r>
      <w:proofErr w:type="spellStart"/>
      <w:r w:rsidRPr="00270432">
        <w:rPr>
          <w:b/>
        </w:rPr>
        <w:t>eIAB</w:t>
      </w:r>
      <w:proofErr w:type="spellEnd"/>
      <w:r w:rsidRPr="00270432">
        <w:rPr>
          <w:b/>
        </w:rPr>
        <w:t xml:space="preserve"> compared with Rel-16.</w:t>
      </w:r>
    </w:p>
    <w:p w:rsidR="00AC1505" w:rsidRPr="00270432" w:rsidRDefault="00AC1505" w:rsidP="00BE194F">
      <w:pPr>
        <w:rPr>
          <w:rFonts w:eastAsiaTheme="minorEastAsia"/>
          <w:b/>
          <w:lang w:eastAsia="zh-CN"/>
        </w:rPr>
      </w:pPr>
    </w:p>
    <w:p w:rsidR="00DF0231" w:rsidRPr="002D2977" w:rsidRDefault="00DF0231" w:rsidP="00DF0231">
      <w:pPr>
        <w:pStyle w:val="Heading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:rsidR="00637A49" w:rsidRDefault="00637A49" w:rsidP="00637A49">
      <w:r>
        <w:rPr>
          <w:lang w:val="en-US"/>
        </w:rPr>
        <w:t xml:space="preserve">[1] </w:t>
      </w:r>
      <w:r w:rsidR="00AC1505" w:rsidRPr="009E45B0">
        <w:t>R4-2120319</w:t>
      </w:r>
      <w:r>
        <w:rPr>
          <w:lang w:val="en-US"/>
        </w:rPr>
        <w:t xml:space="preserve"> </w:t>
      </w:r>
      <w:r w:rsidR="00AC1505" w:rsidRPr="009E45B0">
        <w:t>WF on RRM aspects of IAB enhancement</w:t>
      </w:r>
      <w:r>
        <w:rPr>
          <w:lang w:val="en-US"/>
        </w:rPr>
        <w:t xml:space="preserve">, </w:t>
      </w:r>
      <w:r w:rsidR="00AC1505">
        <w:t>ZTE</w:t>
      </w:r>
    </w:p>
    <w:p w:rsidR="00071B96" w:rsidRPr="00AC1505" w:rsidRDefault="00071B96" w:rsidP="00637A49">
      <w:pPr>
        <w:rPr>
          <w:rFonts w:eastAsiaTheme="minorEastAsia"/>
          <w:lang w:eastAsia="zh-CN"/>
        </w:rPr>
      </w:pPr>
    </w:p>
    <w:p w:rsidR="00BA4C0A" w:rsidRPr="00637A49" w:rsidRDefault="00BA4C0A">
      <w:pPr>
        <w:rPr>
          <w:rFonts w:eastAsiaTheme="minorEastAsia"/>
          <w:lang w:val="en-US" w:eastAsia="zh-CN"/>
        </w:rPr>
      </w:pPr>
    </w:p>
    <w:sectPr w:rsidR="00BA4C0A" w:rsidRPr="00637A49" w:rsidSect="00701598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3CC0" w:rsidRDefault="00A03CC0">
      <w:pPr>
        <w:spacing w:after="0"/>
      </w:pPr>
      <w:r>
        <w:separator/>
      </w:r>
    </w:p>
  </w:endnote>
  <w:endnote w:type="continuationSeparator" w:id="0">
    <w:p w:rsidR="00A03CC0" w:rsidRDefault="00A03C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73D" w:rsidRDefault="0068073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:rsidR="0068073D" w:rsidRDefault="0068073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73D" w:rsidRDefault="0068073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0360F">
      <w:rPr>
        <w:rStyle w:val="PageNumber"/>
      </w:rPr>
      <w:t>3</w:t>
    </w:r>
    <w:r>
      <w:rPr>
        <w:rStyle w:val="PageNumber"/>
      </w:rPr>
      <w:fldChar w:fldCharType="end"/>
    </w:r>
  </w:p>
  <w:p w:rsidR="0068073D" w:rsidRDefault="0068073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3CC0" w:rsidRDefault="00A03CC0">
      <w:pPr>
        <w:spacing w:after="0"/>
      </w:pPr>
      <w:r>
        <w:separator/>
      </w:r>
    </w:p>
  </w:footnote>
  <w:footnote w:type="continuationSeparator" w:id="0">
    <w:p w:rsidR="00A03CC0" w:rsidRDefault="00A03C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C47B9"/>
    <w:multiLevelType w:val="hybridMultilevel"/>
    <w:tmpl w:val="92FE8F28"/>
    <w:lvl w:ilvl="0" w:tplc="0409000F">
      <w:start w:val="1"/>
      <w:numFmt w:val="decimal"/>
      <w:lvlText w:val="%1."/>
      <w:lvlJc w:val="left"/>
      <w:pPr>
        <w:ind w:left="1005" w:hanging="360"/>
      </w:p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" w15:restartNumberingAfterBreak="0">
    <w:nsid w:val="1030310F"/>
    <w:multiLevelType w:val="hybridMultilevel"/>
    <w:tmpl w:val="A61CF48E"/>
    <w:lvl w:ilvl="0" w:tplc="5AAC12E2">
      <w:start w:val="302"/>
      <w:numFmt w:val="bullet"/>
      <w:lvlText w:val="-"/>
      <w:lvlJc w:val="left"/>
      <w:pPr>
        <w:ind w:left="16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18F4033"/>
    <w:multiLevelType w:val="hybridMultilevel"/>
    <w:tmpl w:val="6B9843DC"/>
    <w:lvl w:ilvl="0" w:tplc="C5BE8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A16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32FB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C2A54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38121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243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2DF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D014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48B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FB753C"/>
    <w:multiLevelType w:val="hybridMultilevel"/>
    <w:tmpl w:val="AD065420"/>
    <w:lvl w:ilvl="0" w:tplc="BC2EBD2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F02430"/>
    <w:multiLevelType w:val="hybridMultilevel"/>
    <w:tmpl w:val="E8883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4C35E5"/>
    <w:multiLevelType w:val="hybridMultilevel"/>
    <w:tmpl w:val="8DF0DCDE"/>
    <w:lvl w:ilvl="0" w:tplc="DCE606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4A466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582D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AFE4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40D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1E2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E84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E24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C2CE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3BE0681"/>
    <w:multiLevelType w:val="hybridMultilevel"/>
    <w:tmpl w:val="61DED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9DB2324"/>
    <w:multiLevelType w:val="hybridMultilevel"/>
    <w:tmpl w:val="B658C6DA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C108DE"/>
    <w:multiLevelType w:val="hybridMultilevel"/>
    <w:tmpl w:val="9ACC1408"/>
    <w:lvl w:ilvl="0" w:tplc="BF6C3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8A94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7C4D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2A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72CE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A8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2ED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0C16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6F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27C1D84"/>
    <w:multiLevelType w:val="hybridMultilevel"/>
    <w:tmpl w:val="FB2C6470"/>
    <w:lvl w:ilvl="0" w:tplc="92B0E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7CA3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6D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0A8B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A2D1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42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66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7CE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483C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8951E84"/>
    <w:multiLevelType w:val="multilevel"/>
    <w:tmpl w:val="58951E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8F20F35"/>
    <w:multiLevelType w:val="hybridMultilevel"/>
    <w:tmpl w:val="364C52E8"/>
    <w:lvl w:ilvl="0" w:tplc="19448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A8306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127A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CC8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C4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CE5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707B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B6D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12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9822754"/>
    <w:multiLevelType w:val="hybridMultilevel"/>
    <w:tmpl w:val="F87C5348"/>
    <w:lvl w:ilvl="0" w:tplc="DBEEE72E">
      <w:start w:val="8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5EA767D1"/>
    <w:multiLevelType w:val="hybridMultilevel"/>
    <w:tmpl w:val="FDE83834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67C66"/>
    <w:multiLevelType w:val="hybridMultilevel"/>
    <w:tmpl w:val="773CB4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918078F"/>
    <w:multiLevelType w:val="hybridMultilevel"/>
    <w:tmpl w:val="697E8CDC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62291B"/>
    <w:multiLevelType w:val="hybridMultilevel"/>
    <w:tmpl w:val="59B6F2E8"/>
    <w:lvl w:ilvl="0" w:tplc="44168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D6EA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568F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DEC67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4B7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0CC2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F862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6E1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9AF9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7" w15:restartNumberingAfterBreak="0">
    <w:nsid w:val="71F10088"/>
    <w:multiLevelType w:val="hybridMultilevel"/>
    <w:tmpl w:val="4B36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757A2F"/>
    <w:multiLevelType w:val="hybridMultilevel"/>
    <w:tmpl w:val="5C967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C3584A"/>
    <w:multiLevelType w:val="hybridMultilevel"/>
    <w:tmpl w:val="81AC4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923BAC"/>
    <w:multiLevelType w:val="hybridMultilevel"/>
    <w:tmpl w:val="E90AC938"/>
    <w:lvl w:ilvl="0" w:tplc="E4A2B46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4171E7"/>
    <w:multiLevelType w:val="hybridMultilevel"/>
    <w:tmpl w:val="1502642C"/>
    <w:lvl w:ilvl="0" w:tplc="80AE2B12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151990"/>
    <w:multiLevelType w:val="hybridMultilevel"/>
    <w:tmpl w:val="C1F20F9A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31"/>
  </w:num>
  <w:num w:numId="5">
    <w:abstractNumId w:val="1"/>
  </w:num>
  <w:num w:numId="6">
    <w:abstractNumId w:val="14"/>
  </w:num>
  <w:num w:numId="7">
    <w:abstractNumId w:val="6"/>
  </w:num>
  <w:num w:numId="8">
    <w:abstractNumId w:val="21"/>
  </w:num>
  <w:num w:numId="9">
    <w:abstractNumId w:val="24"/>
  </w:num>
  <w:num w:numId="10">
    <w:abstractNumId w:val="15"/>
  </w:num>
  <w:num w:numId="11">
    <w:abstractNumId w:val="16"/>
  </w:num>
  <w:num w:numId="12">
    <w:abstractNumId w:val="5"/>
  </w:num>
  <w:num w:numId="13">
    <w:abstractNumId w:val="9"/>
  </w:num>
  <w:num w:numId="14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</w:num>
  <w:num w:numId="16">
    <w:abstractNumId w:val="29"/>
  </w:num>
  <w:num w:numId="17">
    <w:abstractNumId w:val="28"/>
  </w:num>
  <w:num w:numId="18">
    <w:abstractNumId w:val="11"/>
  </w:num>
  <w:num w:numId="19">
    <w:abstractNumId w:val="2"/>
  </w:num>
  <w:num w:numId="20">
    <w:abstractNumId w:val="10"/>
  </w:num>
  <w:num w:numId="21">
    <w:abstractNumId w:val="25"/>
  </w:num>
  <w:num w:numId="22">
    <w:abstractNumId w:val="19"/>
  </w:num>
  <w:num w:numId="23">
    <w:abstractNumId w:val="18"/>
  </w:num>
  <w:num w:numId="24">
    <w:abstractNumId w:val="18"/>
  </w:num>
  <w:num w:numId="25">
    <w:abstractNumId w:val="23"/>
  </w:num>
  <w:num w:numId="26">
    <w:abstractNumId w:val="4"/>
  </w:num>
  <w:num w:numId="27">
    <w:abstractNumId w:val="22"/>
  </w:num>
  <w:num w:numId="2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33"/>
  </w:num>
  <w:num w:numId="30">
    <w:abstractNumId w:val="8"/>
  </w:num>
  <w:num w:numId="31">
    <w:abstractNumId w:val="3"/>
  </w:num>
  <w:num w:numId="32">
    <w:abstractNumId w:val="27"/>
  </w:num>
  <w:num w:numId="33">
    <w:abstractNumId w:val="17"/>
  </w:num>
  <w:num w:numId="34">
    <w:abstractNumId w:val="13"/>
  </w:num>
  <w:num w:numId="35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131D4"/>
    <w:rsid w:val="000138CA"/>
    <w:rsid w:val="00025036"/>
    <w:rsid w:val="00040779"/>
    <w:rsid w:val="0004356B"/>
    <w:rsid w:val="0004558E"/>
    <w:rsid w:val="00045D5D"/>
    <w:rsid w:val="00045F3B"/>
    <w:rsid w:val="00053F7C"/>
    <w:rsid w:val="00055B5D"/>
    <w:rsid w:val="00063E08"/>
    <w:rsid w:val="00066D4C"/>
    <w:rsid w:val="000676A1"/>
    <w:rsid w:val="00067A48"/>
    <w:rsid w:val="00067B89"/>
    <w:rsid w:val="00071B96"/>
    <w:rsid w:val="00076C0A"/>
    <w:rsid w:val="00081D1B"/>
    <w:rsid w:val="00087858"/>
    <w:rsid w:val="000903D2"/>
    <w:rsid w:val="00096503"/>
    <w:rsid w:val="00097E39"/>
    <w:rsid w:val="000A1878"/>
    <w:rsid w:val="000A2ED7"/>
    <w:rsid w:val="000A3820"/>
    <w:rsid w:val="000A4BCB"/>
    <w:rsid w:val="000A5097"/>
    <w:rsid w:val="000A6949"/>
    <w:rsid w:val="000A7A19"/>
    <w:rsid w:val="000B15EC"/>
    <w:rsid w:val="000C2147"/>
    <w:rsid w:val="000D2930"/>
    <w:rsid w:val="000D59F6"/>
    <w:rsid w:val="000D6B9B"/>
    <w:rsid w:val="000E0A8A"/>
    <w:rsid w:val="000E2C03"/>
    <w:rsid w:val="000F04C6"/>
    <w:rsid w:val="000F1E93"/>
    <w:rsid w:val="000F7DE7"/>
    <w:rsid w:val="0010016B"/>
    <w:rsid w:val="00100360"/>
    <w:rsid w:val="001007B4"/>
    <w:rsid w:val="00110BAD"/>
    <w:rsid w:val="0011207E"/>
    <w:rsid w:val="00122847"/>
    <w:rsid w:val="001230FF"/>
    <w:rsid w:val="001241FC"/>
    <w:rsid w:val="00124231"/>
    <w:rsid w:val="00132B63"/>
    <w:rsid w:val="001365E9"/>
    <w:rsid w:val="001406A8"/>
    <w:rsid w:val="0014128A"/>
    <w:rsid w:val="00141870"/>
    <w:rsid w:val="001435CB"/>
    <w:rsid w:val="00151949"/>
    <w:rsid w:val="001531EC"/>
    <w:rsid w:val="00161981"/>
    <w:rsid w:val="00165CAB"/>
    <w:rsid w:val="00175B04"/>
    <w:rsid w:val="0017747E"/>
    <w:rsid w:val="0018314E"/>
    <w:rsid w:val="001832CC"/>
    <w:rsid w:val="00184719"/>
    <w:rsid w:val="00197964"/>
    <w:rsid w:val="001A0A8D"/>
    <w:rsid w:val="001A1E7C"/>
    <w:rsid w:val="001C4240"/>
    <w:rsid w:val="001C5D98"/>
    <w:rsid w:val="001D3006"/>
    <w:rsid w:val="001E7174"/>
    <w:rsid w:val="001F4908"/>
    <w:rsid w:val="001F60C4"/>
    <w:rsid w:val="0020033A"/>
    <w:rsid w:val="0020360F"/>
    <w:rsid w:val="00215F30"/>
    <w:rsid w:val="00216AAB"/>
    <w:rsid w:val="00217770"/>
    <w:rsid w:val="002204E2"/>
    <w:rsid w:val="002221AC"/>
    <w:rsid w:val="00222A85"/>
    <w:rsid w:val="00222AF7"/>
    <w:rsid w:val="00232120"/>
    <w:rsid w:val="002328DD"/>
    <w:rsid w:val="00234AA1"/>
    <w:rsid w:val="00243552"/>
    <w:rsid w:val="00243BFC"/>
    <w:rsid w:val="0024402A"/>
    <w:rsid w:val="00244441"/>
    <w:rsid w:val="00245810"/>
    <w:rsid w:val="00254F38"/>
    <w:rsid w:val="00260962"/>
    <w:rsid w:val="00261547"/>
    <w:rsid w:val="00267D3F"/>
    <w:rsid w:val="00270432"/>
    <w:rsid w:val="00272F1F"/>
    <w:rsid w:val="0027365E"/>
    <w:rsid w:val="002736F0"/>
    <w:rsid w:val="00282D3C"/>
    <w:rsid w:val="00294B79"/>
    <w:rsid w:val="002A235C"/>
    <w:rsid w:val="002A2EF8"/>
    <w:rsid w:val="002A5E54"/>
    <w:rsid w:val="002B45C3"/>
    <w:rsid w:val="002E0E48"/>
    <w:rsid w:val="002E3A74"/>
    <w:rsid w:val="002E668C"/>
    <w:rsid w:val="002F00F2"/>
    <w:rsid w:val="002F579F"/>
    <w:rsid w:val="00311CF9"/>
    <w:rsid w:val="003158EC"/>
    <w:rsid w:val="00321181"/>
    <w:rsid w:val="00322984"/>
    <w:rsid w:val="00323702"/>
    <w:rsid w:val="0033399F"/>
    <w:rsid w:val="003356E3"/>
    <w:rsid w:val="00336939"/>
    <w:rsid w:val="003422A4"/>
    <w:rsid w:val="00352697"/>
    <w:rsid w:val="00356FB6"/>
    <w:rsid w:val="003622B2"/>
    <w:rsid w:val="00362F43"/>
    <w:rsid w:val="003664ED"/>
    <w:rsid w:val="00377D59"/>
    <w:rsid w:val="0038462A"/>
    <w:rsid w:val="0038557C"/>
    <w:rsid w:val="0039799C"/>
    <w:rsid w:val="003A0A6B"/>
    <w:rsid w:val="003A5CBC"/>
    <w:rsid w:val="003A5E2B"/>
    <w:rsid w:val="003C092B"/>
    <w:rsid w:val="003C1D29"/>
    <w:rsid w:val="003C6DC4"/>
    <w:rsid w:val="003D6F09"/>
    <w:rsid w:val="003E63A7"/>
    <w:rsid w:val="003E7C96"/>
    <w:rsid w:val="003F762D"/>
    <w:rsid w:val="00401473"/>
    <w:rsid w:val="00415933"/>
    <w:rsid w:val="004224CE"/>
    <w:rsid w:val="00430F24"/>
    <w:rsid w:val="00434B51"/>
    <w:rsid w:val="00435D65"/>
    <w:rsid w:val="00435EBD"/>
    <w:rsid w:val="00437CD4"/>
    <w:rsid w:val="00451B80"/>
    <w:rsid w:val="00455FD0"/>
    <w:rsid w:val="00466D02"/>
    <w:rsid w:val="00477263"/>
    <w:rsid w:val="00485549"/>
    <w:rsid w:val="0049501A"/>
    <w:rsid w:val="004A0F19"/>
    <w:rsid w:val="004A29B2"/>
    <w:rsid w:val="004A678E"/>
    <w:rsid w:val="004A7CF2"/>
    <w:rsid w:val="004B1ECE"/>
    <w:rsid w:val="004B4633"/>
    <w:rsid w:val="004C11F4"/>
    <w:rsid w:val="004C3B54"/>
    <w:rsid w:val="004C4868"/>
    <w:rsid w:val="004D3C97"/>
    <w:rsid w:val="004D5EAE"/>
    <w:rsid w:val="004E3732"/>
    <w:rsid w:val="004E5D51"/>
    <w:rsid w:val="004F0167"/>
    <w:rsid w:val="004F344B"/>
    <w:rsid w:val="00502991"/>
    <w:rsid w:val="00514A5F"/>
    <w:rsid w:val="0052002B"/>
    <w:rsid w:val="005235DB"/>
    <w:rsid w:val="00527DD4"/>
    <w:rsid w:val="00530EB0"/>
    <w:rsid w:val="00533C4E"/>
    <w:rsid w:val="00533DC5"/>
    <w:rsid w:val="005375AA"/>
    <w:rsid w:val="005409B9"/>
    <w:rsid w:val="00545EC2"/>
    <w:rsid w:val="0054734A"/>
    <w:rsid w:val="005546D8"/>
    <w:rsid w:val="00557527"/>
    <w:rsid w:val="005755A4"/>
    <w:rsid w:val="005763DF"/>
    <w:rsid w:val="00582652"/>
    <w:rsid w:val="005906DB"/>
    <w:rsid w:val="00595A51"/>
    <w:rsid w:val="005A2050"/>
    <w:rsid w:val="005A2C70"/>
    <w:rsid w:val="005A456B"/>
    <w:rsid w:val="005B0D68"/>
    <w:rsid w:val="005B6053"/>
    <w:rsid w:val="005C337F"/>
    <w:rsid w:val="005D12CF"/>
    <w:rsid w:val="005D15A2"/>
    <w:rsid w:val="005D231A"/>
    <w:rsid w:val="005D3DC0"/>
    <w:rsid w:val="005D6BEF"/>
    <w:rsid w:val="005E29AA"/>
    <w:rsid w:val="005E4CCD"/>
    <w:rsid w:val="005F5231"/>
    <w:rsid w:val="00604490"/>
    <w:rsid w:val="0060650F"/>
    <w:rsid w:val="00607CE8"/>
    <w:rsid w:val="0061679F"/>
    <w:rsid w:val="00625728"/>
    <w:rsid w:val="00637A49"/>
    <w:rsid w:val="0066186B"/>
    <w:rsid w:val="00672FCE"/>
    <w:rsid w:val="0068073D"/>
    <w:rsid w:val="00681F59"/>
    <w:rsid w:val="006A68E5"/>
    <w:rsid w:val="006A7936"/>
    <w:rsid w:val="006C3D21"/>
    <w:rsid w:val="006C4BDB"/>
    <w:rsid w:val="006D43CD"/>
    <w:rsid w:val="006D7325"/>
    <w:rsid w:val="006E0932"/>
    <w:rsid w:val="006E2BAB"/>
    <w:rsid w:val="006F1BAF"/>
    <w:rsid w:val="006F27CD"/>
    <w:rsid w:val="006F5874"/>
    <w:rsid w:val="00701598"/>
    <w:rsid w:val="007028B4"/>
    <w:rsid w:val="00702FA5"/>
    <w:rsid w:val="00712395"/>
    <w:rsid w:val="00712608"/>
    <w:rsid w:val="00714064"/>
    <w:rsid w:val="007166C4"/>
    <w:rsid w:val="007200C7"/>
    <w:rsid w:val="00723883"/>
    <w:rsid w:val="00732D90"/>
    <w:rsid w:val="007334B6"/>
    <w:rsid w:val="00734B34"/>
    <w:rsid w:val="00736D84"/>
    <w:rsid w:val="00763EF7"/>
    <w:rsid w:val="00766048"/>
    <w:rsid w:val="007711B8"/>
    <w:rsid w:val="0077159B"/>
    <w:rsid w:val="0077202B"/>
    <w:rsid w:val="00782C5D"/>
    <w:rsid w:val="00784099"/>
    <w:rsid w:val="00786C50"/>
    <w:rsid w:val="007902A8"/>
    <w:rsid w:val="007A0B4E"/>
    <w:rsid w:val="007A336E"/>
    <w:rsid w:val="007A37DA"/>
    <w:rsid w:val="007A52D1"/>
    <w:rsid w:val="007A6ED4"/>
    <w:rsid w:val="007B119C"/>
    <w:rsid w:val="007B18BC"/>
    <w:rsid w:val="007B3DC0"/>
    <w:rsid w:val="007B57F3"/>
    <w:rsid w:val="007B7B6A"/>
    <w:rsid w:val="007C0D2E"/>
    <w:rsid w:val="007C5B24"/>
    <w:rsid w:val="007D0DF7"/>
    <w:rsid w:val="007D3409"/>
    <w:rsid w:val="007D58F5"/>
    <w:rsid w:val="007E2057"/>
    <w:rsid w:val="007E2E8A"/>
    <w:rsid w:val="007E5F97"/>
    <w:rsid w:val="007E67EC"/>
    <w:rsid w:val="007E72B2"/>
    <w:rsid w:val="007F045C"/>
    <w:rsid w:val="007F2371"/>
    <w:rsid w:val="007F2E6A"/>
    <w:rsid w:val="007F7E14"/>
    <w:rsid w:val="008001CA"/>
    <w:rsid w:val="00804945"/>
    <w:rsid w:val="00814B83"/>
    <w:rsid w:val="00821B76"/>
    <w:rsid w:val="008317D1"/>
    <w:rsid w:val="00836C28"/>
    <w:rsid w:val="008408E7"/>
    <w:rsid w:val="00840E09"/>
    <w:rsid w:val="00841386"/>
    <w:rsid w:val="008446CE"/>
    <w:rsid w:val="00852630"/>
    <w:rsid w:val="00861078"/>
    <w:rsid w:val="008708B9"/>
    <w:rsid w:val="0087326D"/>
    <w:rsid w:val="00873C1C"/>
    <w:rsid w:val="00873F55"/>
    <w:rsid w:val="00874D51"/>
    <w:rsid w:val="008766C3"/>
    <w:rsid w:val="00885469"/>
    <w:rsid w:val="008921D4"/>
    <w:rsid w:val="008924AB"/>
    <w:rsid w:val="00892EAE"/>
    <w:rsid w:val="00893C66"/>
    <w:rsid w:val="008A1C4E"/>
    <w:rsid w:val="008A2B76"/>
    <w:rsid w:val="008A4FA1"/>
    <w:rsid w:val="008B3970"/>
    <w:rsid w:val="008B4540"/>
    <w:rsid w:val="008B4A2C"/>
    <w:rsid w:val="008B4F73"/>
    <w:rsid w:val="008B7660"/>
    <w:rsid w:val="008C31D2"/>
    <w:rsid w:val="008C355F"/>
    <w:rsid w:val="008C398B"/>
    <w:rsid w:val="008D038D"/>
    <w:rsid w:val="008D2D3D"/>
    <w:rsid w:val="008D55C5"/>
    <w:rsid w:val="008E2591"/>
    <w:rsid w:val="008E446A"/>
    <w:rsid w:val="008E5C09"/>
    <w:rsid w:val="008E79C6"/>
    <w:rsid w:val="008F37CA"/>
    <w:rsid w:val="008F5FAB"/>
    <w:rsid w:val="008F67CF"/>
    <w:rsid w:val="00904C87"/>
    <w:rsid w:val="0091070F"/>
    <w:rsid w:val="009118FA"/>
    <w:rsid w:val="00914A03"/>
    <w:rsid w:val="00915DEA"/>
    <w:rsid w:val="0092386A"/>
    <w:rsid w:val="00923CC3"/>
    <w:rsid w:val="009301A9"/>
    <w:rsid w:val="00931830"/>
    <w:rsid w:val="009333B5"/>
    <w:rsid w:val="009450D8"/>
    <w:rsid w:val="009524AD"/>
    <w:rsid w:val="00957098"/>
    <w:rsid w:val="009708D0"/>
    <w:rsid w:val="00972D26"/>
    <w:rsid w:val="00973C4C"/>
    <w:rsid w:val="009814D6"/>
    <w:rsid w:val="0099102E"/>
    <w:rsid w:val="009968CF"/>
    <w:rsid w:val="009A5118"/>
    <w:rsid w:val="009A6EE9"/>
    <w:rsid w:val="009B4CB6"/>
    <w:rsid w:val="009B7C4C"/>
    <w:rsid w:val="009C4E39"/>
    <w:rsid w:val="009C5BBA"/>
    <w:rsid w:val="009C6CB9"/>
    <w:rsid w:val="009C6FD7"/>
    <w:rsid w:val="009C7D5E"/>
    <w:rsid w:val="009D03C6"/>
    <w:rsid w:val="009D1A47"/>
    <w:rsid w:val="009D2942"/>
    <w:rsid w:val="009D325A"/>
    <w:rsid w:val="009D4189"/>
    <w:rsid w:val="009D5DBB"/>
    <w:rsid w:val="009D6E6E"/>
    <w:rsid w:val="009D75DF"/>
    <w:rsid w:val="009E6763"/>
    <w:rsid w:val="009E6DC8"/>
    <w:rsid w:val="009F1CEB"/>
    <w:rsid w:val="009F7F10"/>
    <w:rsid w:val="00A0093B"/>
    <w:rsid w:val="00A03CC0"/>
    <w:rsid w:val="00A1597D"/>
    <w:rsid w:val="00A22790"/>
    <w:rsid w:val="00A26AB0"/>
    <w:rsid w:val="00A34913"/>
    <w:rsid w:val="00A35F07"/>
    <w:rsid w:val="00A36D03"/>
    <w:rsid w:val="00A42E3A"/>
    <w:rsid w:val="00A657C7"/>
    <w:rsid w:val="00A7739E"/>
    <w:rsid w:val="00A848D0"/>
    <w:rsid w:val="00A87084"/>
    <w:rsid w:val="00A93E0D"/>
    <w:rsid w:val="00AB59D7"/>
    <w:rsid w:val="00AC1505"/>
    <w:rsid w:val="00AC2317"/>
    <w:rsid w:val="00AC2C97"/>
    <w:rsid w:val="00AC2CD4"/>
    <w:rsid w:val="00AC7A7B"/>
    <w:rsid w:val="00AD65F4"/>
    <w:rsid w:val="00AD69AA"/>
    <w:rsid w:val="00AE1773"/>
    <w:rsid w:val="00AE3383"/>
    <w:rsid w:val="00AE384C"/>
    <w:rsid w:val="00AE67DF"/>
    <w:rsid w:val="00AE6BE0"/>
    <w:rsid w:val="00AF02CB"/>
    <w:rsid w:val="00AF5966"/>
    <w:rsid w:val="00B02A13"/>
    <w:rsid w:val="00B07979"/>
    <w:rsid w:val="00B10C6E"/>
    <w:rsid w:val="00B1402B"/>
    <w:rsid w:val="00B22016"/>
    <w:rsid w:val="00B23292"/>
    <w:rsid w:val="00B26D02"/>
    <w:rsid w:val="00B343A3"/>
    <w:rsid w:val="00B41E6D"/>
    <w:rsid w:val="00B42B06"/>
    <w:rsid w:val="00B450D5"/>
    <w:rsid w:val="00B51F58"/>
    <w:rsid w:val="00B55463"/>
    <w:rsid w:val="00B605D6"/>
    <w:rsid w:val="00B60998"/>
    <w:rsid w:val="00B61237"/>
    <w:rsid w:val="00B71C35"/>
    <w:rsid w:val="00B72BEC"/>
    <w:rsid w:val="00B73A82"/>
    <w:rsid w:val="00B76F4D"/>
    <w:rsid w:val="00B77412"/>
    <w:rsid w:val="00B77752"/>
    <w:rsid w:val="00B83BC0"/>
    <w:rsid w:val="00B87A6F"/>
    <w:rsid w:val="00BA4C0A"/>
    <w:rsid w:val="00BB2A32"/>
    <w:rsid w:val="00BB6484"/>
    <w:rsid w:val="00BC24F8"/>
    <w:rsid w:val="00BC3920"/>
    <w:rsid w:val="00BC47AB"/>
    <w:rsid w:val="00BD2AB1"/>
    <w:rsid w:val="00BE09C1"/>
    <w:rsid w:val="00BE194F"/>
    <w:rsid w:val="00BE1FD4"/>
    <w:rsid w:val="00BE677A"/>
    <w:rsid w:val="00BE6A2E"/>
    <w:rsid w:val="00BF00A7"/>
    <w:rsid w:val="00BF33D9"/>
    <w:rsid w:val="00C075BD"/>
    <w:rsid w:val="00C11B10"/>
    <w:rsid w:val="00C15E40"/>
    <w:rsid w:val="00C338CA"/>
    <w:rsid w:val="00C50A0A"/>
    <w:rsid w:val="00C572D7"/>
    <w:rsid w:val="00C60016"/>
    <w:rsid w:val="00C638D8"/>
    <w:rsid w:val="00C63D6B"/>
    <w:rsid w:val="00C64128"/>
    <w:rsid w:val="00C74442"/>
    <w:rsid w:val="00C76E52"/>
    <w:rsid w:val="00C83525"/>
    <w:rsid w:val="00C91338"/>
    <w:rsid w:val="00CA093B"/>
    <w:rsid w:val="00CA1729"/>
    <w:rsid w:val="00CA1984"/>
    <w:rsid w:val="00CA1DAE"/>
    <w:rsid w:val="00CA234E"/>
    <w:rsid w:val="00CA3A62"/>
    <w:rsid w:val="00CA7429"/>
    <w:rsid w:val="00CB6216"/>
    <w:rsid w:val="00CC3973"/>
    <w:rsid w:val="00CC4578"/>
    <w:rsid w:val="00CD0284"/>
    <w:rsid w:val="00CD0A91"/>
    <w:rsid w:val="00CD160F"/>
    <w:rsid w:val="00CE0DA0"/>
    <w:rsid w:val="00CF030B"/>
    <w:rsid w:val="00CF1B66"/>
    <w:rsid w:val="00CF1DFC"/>
    <w:rsid w:val="00CF2856"/>
    <w:rsid w:val="00CF5CE7"/>
    <w:rsid w:val="00CF5E9E"/>
    <w:rsid w:val="00CF5EF5"/>
    <w:rsid w:val="00CF7481"/>
    <w:rsid w:val="00CF7EE3"/>
    <w:rsid w:val="00D13FC8"/>
    <w:rsid w:val="00D14019"/>
    <w:rsid w:val="00D3442D"/>
    <w:rsid w:val="00D34F1B"/>
    <w:rsid w:val="00D41D2D"/>
    <w:rsid w:val="00D463A3"/>
    <w:rsid w:val="00D51833"/>
    <w:rsid w:val="00D57BE5"/>
    <w:rsid w:val="00D62A9C"/>
    <w:rsid w:val="00D67ABE"/>
    <w:rsid w:val="00D73373"/>
    <w:rsid w:val="00D828E1"/>
    <w:rsid w:val="00D8441F"/>
    <w:rsid w:val="00D94E39"/>
    <w:rsid w:val="00D9789C"/>
    <w:rsid w:val="00DB10D2"/>
    <w:rsid w:val="00DB1DD4"/>
    <w:rsid w:val="00DB61B3"/>
    <w:rsid w:val="00DD0915"/>
    <w:rsid w:val="00DD1DFF"/>
    <w:rsid w:val="00DD2FAE"/>
    <w:rsid w:val="00DE3428"/>
    <w:rsid w:val="00DE3896"/>
    <w:rsid w:val="00DE5BB8"/>
    <w:rsid w:val="00DF0231"/>
    <w:rsid w:val="00DF1084"/>
    <w:rsid w:val="00DF6E96"/>
    <w:rsid w:val="00E04C43"/>
    <w:rsid w:val="00E11FA9"/>
    <w:rsid w:val="00E13E91"/>
    <w:rsid w:val="00E16D37"/>
    <w:rsid w:val="00E17E17"/>
    <w:rsid w:val="00E17F78"/>
    <w:rsid w:val="00E21B03"/>
    <w:rsid w:val="00E222F0"/>
    <w:rsid w:val="00E22D0F"/>
    <w:rsid w:val="00E31284"/>
    <w:rsid w:val="00E406F2"/>
    <w:rsid w:val="00E415BA"/>
    <w:rsid w:val="00E470EC"/>
    <w:rsid w:val="00E5666B"/>
    <w:rsid w:val="00E577DD"/>
    <w:rsid w:val="00E60952"/>
    <w:rsid w:val="00E72064"/>
    <w:rsid w:val="00E76A71"/>
    <w:rsid w:val="00E82ED7"/>
    <w:rsid w:val="00E85BF2"/>
    <w:rsid w:val="00E91110"/>
    <w:rsid w:val="00E9184C"/>
    <w:rsid w:val="00E94DD3"/>
    <w:rsid w:val="00EA49BA"/>
    <w:rsid w:val="00EA4E79"/>
    <w:rsid w:val="00EA5149"/>
    <w:rsid w:val="00EB02DF"/>
    <w:rsid w:val="00EB2795"/>
    <w:rsid w:val="00EE1CF7"/>
    <w:rsid w:val="00EE6F45"/>
    <w:rsid w:val="00EF0E38"/>
    <w:rsid w:val="00EF2DE4"/>
    <w:rsid w:val="00EF653C"/>
    <w:rsid w:val="00EF66B2"/>
    <w:rsid w:val="00F0497C"/>
    <w:rsid w:val="00F05199"/>
    <w:rsid w:val="00F076D1"/>
    <w:rsid w:val="00F0770B"/>
    <w:rsid w:val="00F10653"/>
    <w:rsid w:val="00F14670"/>
    <w:rsid w:val="00F1617A"/>
    <w:rsid w:val="00F2033F"/>
    <w:rsid w:val="00F20D63"/>
    <w:rsid w:val="00F22DF5"/>
    <w:rsid w:val="00F2531A"/>
    <w:rsid w:val="00F303F4"/>
    <w:rsid w:val="00F31FA7"/>
    <w:rsid w:val="00F34526"/>
    <w:rsid w:val="00F413E7"/>
    <w:rsid w:val="00F42BFC"/>
    <w:rsid w:val="00F52FE8"/>
    <w:rsid w:val="00F543C6"/>
    <w:rsid w:val="00F54B63"/>
    <w:rsid w:val="00F5790A"/>
    <w:rsid w:val="00F609CD"/>
    <w:rsid w:val="00F76B81"/>
    <w:rsid w:val="00FA4943"/>
    <w:rsid w:val="00FB6BD9"/>
    <w:rsid w:val="00FC0544"/>
    <w:rsid w:val="00FC0F9D"/>
    <w:rsid w:val="00FC3492"/>
    <w:rsid w:val="00FD093B"/>
    <w:rsid w:val="00FD518E"/>
    <w:rsid w:val="00FE1A35"/>
    <w:rsid w:val="00FE736A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F8D54A0-C41F-4B7C-BB34-920EE6BB3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5A51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宋体" w:hAnsi="Arial" w:cs="Arial"/>
      <w:b w:val="0"/>
      <w:bCs w:val="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54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E9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DefaultParagraphFont"/>
    <w:link w:val="Heading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Normal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DefaultParagraphFont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F02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DF0231"/>
  </w:style>
  <w:style w:type="paragraph" w:customStyle="1" w:styleId="3GPPHeader">
    <w:name w:val="3GPP_Header"/>
    <w:basedOn w:val="Normal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Normal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清單段落1,列出段落1"/>
    <w:basedOn w:val="Normal"/>
    <w:link w:val="ListParagraphChar"/>
    <w:uiPriority w:val="34"/>
    <w:qFormat/>
    <w:rsid w:val="007D3409"/>
    <w:pPr>
      <w:ind w:firstLineChars="200" w:firstLine="420"/>
    </w:pPr>
  </w:style>
  <w:style w:type="table" w:styleId="TableGrid">
    <w:name w:val="Table Grid"/>
    <w:basedOn w:val="TableNormal"/>
    <w:uiPriority w:val="39"/>
    <w:qFormat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"/>
    <w:link w:val="ListParagraph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A1DAE"/>
    <w:rPr>
      <w:color w:val="808080"/>
    </w:rPr>
  </w:style>
  <w:style w:type="paragraph" w:customStyle="1" w:styleId="B1">
    <w:name w:val="B1"/>
    <w:basedOn w:val="Normal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Normal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qFormat/>
    <w:rsid w:val="008C398B"/>
    <w:rPr>
      <w:b/>
    </w:rPr>
  </w:style>
  <w:style w:type="character" w:customStyle="1" w:styleId="TAHCar">
    <w:name w:val="TAH Car"/>
    <w:link w:val="TAH"/>
    <w:qFormat/>
    <w:locked/>
    <w:rsid w:val="008C398B"/>
    <w:rPr>
      <w:rFonts w:ascii="Arial" w:hAnsi="Arial" w:cs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5463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04C6"/>
    <w:pPr>
      <w:overflowPunct w:val="0"/>
      <w:autoSpaceDE w:val="0"/>
      <w:autoSpaceDN w:val="0"/>
      <w:adjustRightInd w:val="0"/>
    </w:pPr>
    <w:rPr>
      <w:rFonts w:eastAsia="宋体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04C6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styleId="CommentReference">
    <w:name w:val="annotation reference"/>
    <w:uiPriority w:val="99"/>
    <w:unhideWhenUsed/>
    <w:rsid w:val="000F04C6"/>
    <w:rPr>
      <w:sz w:val="16"/>
      <w:szCs w:val="16"/>
    </w:rPr>
  </w:style>
  <w:style w:type="character" w:customStyle="1" w:styleId="B1Char1">
    <w:name w:val="B1 Char1"/>
    <w:qFormat/>
    <w:locked/>
    <w:rsid w:val="00CA234E"/>
    <w:rPr>
      <w:rFonts w:ascii="Times New Roman" w:eastAsia="Times New Roman" w:hAnsi="Times New Roman" w:cs="Times New Roman"/>
    </w:rPr>
  </w:style>
  <w:style w:type="paragraph" w:customStyle="1" w:styleId="TF">
    <w:name w:val="TF"/>
    <w:aliases w:val="left"/>
    <w:basedOn w:val="Normal"/>
    <w:link w:val="TFChar"/>
    <w:qFormat/>
    <w:rsid w:val="00AE3383"/>
    <w:pPr>
      <w:keepLines/>
      <w:spacing w:after="240"/>
      <w:jc w:val="center"/>
    </w:pPr>
    <w:rPr>
      <w:rFonts w:ascii="Arial" w:eastAsiaTheme="minorEastAsia" w:hAnsi="Arial"/>
      <w:b/>
    </w:rPr>
  </w:style>
  <w:style w:type="character" w:customStyle="1" w:styleId="TFChar">
    <w:name w:val="TF Char"/>
    <w:link w:val="TF"/>
    <w:qFormat/>
    <w:rsid w:val="00AE3383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E9E"/>
    <w:rPr>
      <w:rFonts w:ascii="Times New Roman" w:eastAsia="MS Mincho" w:hAnsi="Times New Roman" w:cs="Times New Roman"/>
      <w:b/>
      <w:bCs/>
      <w:kern w:val="0"/>
      <w:sz w:val="28"/>
      <w:szCs w:val="28"/>
      <w:lang w:val="en-GB" w:eastAsia="en-US"/>
    </w:rPr>
  </w:style>
  <w:style w:type="paragraph" w:styleId="BodyText">
    <w:name w:val="Body Text"/>
    <w:aliases w:val="bt,正 文 文 本,본 문"/>
    <w:basedOn w:val="Normal"/>
    <w:link w:val="BodyTextChar"/>
    <w:qFormat/>
    <w:rsid w:val="004C3B54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,正 文 文 本 Char,본 문 Char"/>
    <w:basedOn w:val="DefaultParagraphFont"/>
    <w:link w:val="BodyText"/>
    <w:qFormat/>
    <w:rsid w:val="004C3B54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customStyle="1" w:styleId="B2">
    <w:name w:val="B2"/>
    <w:basedOn w:val="List2"/>
    <w:rsid w:val="0039799C"/>
    <w:pPr>
      <w:ind w:leftChars="0" w:left="851" w:firstLineChars="0" w:hanging="284"/>
      <w:contextualSpacing w:val="0"/>
    </w:pPr>
    <w:rPr>
      <w:rFonts w:eastAsia="宋体"/>
    </w:rPr>
  </w:style>
  <w:style w:type="paragraph" w:styleId="List2">
    <w:name w:val="List 2"/>
    <w:basedOn w:val="Normal"/>
    <w:uiPriority w:val="99"/>
    <w:semiHidden/>
    <w:unhideWhenUsed/>
    <w:rsid w:val="0039799C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61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386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4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733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48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10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95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712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20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829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080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995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08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175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746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68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981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77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47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15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2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309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72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96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94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7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4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8704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64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7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222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0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512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1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09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899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66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0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299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8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201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212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29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38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425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370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537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39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5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903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945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0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92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7278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71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0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7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3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BE102-B324-48BF-B903-6DA3998A1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10960</TotalTime>
  <Pages>3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6027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26</cp:revision>
  <dcterms:created xsi:type="dcterms:W3CDTF">2019-09-18T02:52:00Z</dcterms:created>
  <dcterms:modified xsi:type="dcterms:W3CDTF">2022-01-10T13:48:00Z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(3)N8qSp9v9v9naya6kyqrLa4Xq/dNEgKaW+MsPPCfDuSfHcJkzfFWlvh/oJYTTyQ/KeiNBnLDv
gbNOzTlaTGN710RR9MXKemvBQTFCcj2haBr59yfLy6eiwAWkUwMQ61RpxmdfIvcOmLZpRuDn
ucrxYX5KxB6vNc68rMpu3GLJaWsVNk+67WLHXw0YH+5naxXoRaLBc39jGR+Ra2MmS2CkOpuv
829PWpUf4Gc1VMB5vi</vt:lpwstr>
  </property>
  <property fmtid="{D5CDD505-2E9C-101B-9397-08002B2CF9AE}" pid="3" name="_2015_ms_pID_7253431">
    <vt:lpwstr>ek1cYFIXXy3A0TkoFWyrih39UEzrjhcAKBfxu4yKh5d5gESR5rCTii
CAdr3eUuP18KwOk5e9NiMGYqPKqL6wY42nCOGaf/Hhbkr5yVn2NvaInfL2jlw5yCwNr9SkJV
996uGCKat4Q2T8u73FMwMQ4w5vlZCRlDfm0PItY8ielYvxeG2Gv1T25yBJkKOXhndYwVp0Ee
I57Uitg1kC7CXk7u5uZE9rQuWg8mD8ksNNbf</vt:lpwstr>
  </property>
  <property fmtid="{D5CDD505-2E9C-101B-9397-08002B2CF9AE}" pid="4" name="_2015_ms_pID_7253432">
    <vt:lpwstr>8EIjPEiHZi+GBPO3lchYYmc=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1614327049</vt:lpwstr>
  </property>
</Properties>
</file>