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C0" w:rsidRPr="00244441" w:rsidRDefault="00FF0FC0" w:rsidP="00FF0FC0">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25064E" w:rsidRPr="0025064E">
        <w:rPr>
          <w:rFonts w:cs="Arial"/>
          <w:sz w:val="24"/>
          <w:szCs w:val="24"/>
        </w:rPr>
        <w:t>R4-2201197</w:t>
      </w:r>
    </w:p>
    <w:p w:rsidR="00FF0FC0" w:rsidRPr="002D2977" w:rsidRDefault="00FF0FC0" w:rsidP="00FF0FC0">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F0FC0" w:rsidRPr="00FF0FC0">
        <w:rPr>
          <w:rFonts w:ascii="Arial" w:hAnsi="Arial"/>
          <w:sz w:val="24"/>
          <w:lang w:val="en-US"/>
        </w:rPr>
        <w:t>6.1</w:t>
      </w:r>
      <w:r w:rsidR="00945A44">
        <w:rPr>
          <w:rFonts w:ascii="Arial" w:hAnsi="Arial"/>
          <w:sz w:val="24"/>
          <w:lang w:val="en-US"/>
        </w:rPr>
        <w:t>6</w:t>
      </w:r>
      <w:r w:rsidR="00FF0FC0" w:rsidRPr="00FF0FC0">
        <w:rPr>
          <w:rFonts w:ascii="Arial" w:hAnsi="Arial"/>
          <w:sz w:val="24"/>
          <w:lang w:val="en-US"/>
        </w:rPr>
        <w:t>.7.4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014ED" w:rsidRPr="00536FA3">
        <w:rPr>
          <w:rFonts w:ascii="Arial" w:hAnsi="Arial"/>
          <w:sz w:val="24"/>
          <w:lang w:val="en-US"/>
        </w:rPr>
        <w:t>Discussion on BWP switching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014ED" w:rsidRPr="006014ED" w:rsidRDefault="006014ED" w:rsidP="006014ED">
      <w:pPr>
        <w:rPr>
          <w:rFonts w:eastAsiaTheme="minorEastAsia"/>
          <w:lang w:val="en-US" w:eastAsia="zh-CN"/>
        </w:rPr>
      </w:pPr>
      <w:r w:rsidRPr="006014ED">
        <w:rPr>
          <w:rFonts w:eastAsiaTheme="minorEastAsia"/>
          <w:lang w:val="en-US" w:eastAsia="zh-CN"/>
        </w:rPr>
        <w:t xml:space="preserve">The WI on extending NR operation to 71GHz was discussed in the last RAN4 meeting. Some RRM requirements are identified to be updated for operation in FR2-2 [1]. In this paper, we present detailed analysis on the impact to </w:t>
      </w:r>
      <w:r w:rsidRPr="006014ED">
        <w:rPr>
          <w:rFonts w:eastAsiaTheme="minorEastAsia" w:hint="eastAsia"/>
          <w:lang w:val="en-US" w:eastAsia="zh-CN"/>
        </w:rPr>
        <w:t>BWP</w:t>
      </w:r>
      <w:r w:rsidRPr="006014ED">
        <w:rPr>
          <w:rFonts w:eastAsiaTheme="minorEastAsia"/>
          <w:lang w:val="en-US" w:eastAsia="zh-CN"/>
        </w:rPr>
        <w:t xml:space="preserve"> switching requirements.</w:t>
      </w:r>
    </w:p>
    <w:p w:rsidR="00DF0231" w:rsidRDefault="00DF0231" w:rsidP="00DF0231">
      <w:pPr>
        <w:pStyle w:val="Heading1"/>
        <w:numPr>
          <w:ilvl w:val="0"/>
          <w:numId w:val="1"/>
        </w:numPr>
        <w:rPr>
          <w:lang w:val="en-US"/>
        </w:rPr>
      </w:pPr>
      <w:r w:rsidRPr="002D2977">
        <w:rPr>
          <w:lang w:val="en-US"/>
        </w:rPr>
        <w:t>Discussion</w:t>
      </w:r>
    </w:p>
    <w:p w:rsidR="00DF6E96" w:rsidRDefault="006014ED" w:rsidP="004F344B">
      <w:pPr>
        <w:rPr>
          <w:rFonts w:eastAsiaTheme="minorEastAsia"/>
          <w:lang w:val="en-US" w:eastAsia="zh-CN"/>
        </w:rPr>
      </w:pPr>
      <w:r w:rsidRPr="006014ED">
        <w:rPr>
          <w:rFonts w:eastAsiaTheme="minorEastAsia" w:hint="eastAsia"/>
          <w:lang w:val="en-US" w:eastAsia="zh-CN"/>
        </w:rPr>
        <w:t>T</w:t>
      </w:r>
      <w:r w:rsidRPr="006014ED">
        <w:rPr>
          <w:rFonts w:eastAsiaTheme="minorEastAsia"/>
          <w:lang w:val="en-US" w:eastAsia="zh-CN"/>
        </w:rPr>
        <w:t>he requirements of BWP switching delay on FR2-2 was discussed with the following agreements:</w:t>
      </w:r>
    </w:p>
    <w:tbl>
      <w:tblPr>
        <w:tblStyle w:val="TableGrid"/>
        <w:tblW w:w="0" w:type="auto"/>
        <w:tblLook w:val="04A0" w:firstRow="1" w:lastRow="0" w:firstColumn="1" w:lastColumn="0" w:noHBand="0" w:noVBand="1"/>
      </w:tblPr>
      <w:tblGrid>
        <w:gridCol w:w="9562"/>
      </w:tblGrid>
      <w:tr w:rsidR="006014ED" w:rsidTr="006014ED">
        <w:tc>
          <w:tcPr>
            <w:tcW w:w="9562" w:type="dxa"/>
          </w:tcPr>
          <w:p w:rsidR="00FF0FC0" w:rsidRDefault="00FF0FC0" w:rsidP="00FF0FC0">
            <w:pPr>
              <w:spacing w:line="480" w:lineRule="auto"/>
              <w:rPr>
                <w:rFonts w:eastAsia="宋体"/>
                <w:b/>
                <w:u w:val="single"/>
                <w:lang w:eastAsia="ko-KR"/>
              </w:rPr>
            </w:pPr>
            <w:r>
              <w:rPr>
                <w:b/>
                <w:u w:val="single"/>
                <w:lang w:eastAsia="ko-KR"/>
              </w:rPr>
              <w:t>BWP switching delay for FR2-2</w:t>
            </w:r>
          </w:p>
          <w:p w:rsidR="00FF0FC0" w:rsidRDefault="00FF0FC0" w:rsidP="00FF0FC0">
            <w:pPr>
              <w:pStyle w:val="ListParagraph"/>
              <w:numPr>
                <w:ilvl w:val="0"/>
                <w:numId w:val="26"/>
              </w:numPr>
              <w:overflowPunct w:val="0"/>
              <w:autoSpaceDE w:val="0"/>
              <w:autoSpaceDN w:val="0"/>
              <w:adjustRightInd w:val="0"/>
              <w:spacing w:before="120" w:after="120" w:line="480" w:lineRule="auto"/>
              <w:ind w:firstLineChars="0"/>
              <w:contextualSpacing/>
            </w:pPr>
            <w:r>
              <w:t>Active BWP switching delay requirements</w:t>
            </w:r>
          </w:p>
          <w:p w:rsidR="00FF0FC0" w:rsidRDefault="00FF0FC0" w:rsidP="00FF0FC0">
            <w:pPr>
              <w:pStyle w:val="ListParagraph"/>
              <w:numPr>
                <w:ilvl w:val="1"/>
                <w:numId w:val="26"/>
              </w:numPr>
              <w:overflowPunct w:val="0"/>
              <w:autoSpaceDE w:val="0"/>
              <w:autoSpaceDN w:val="0"/>
              <w:adjustRightInd w:val="0"/>
              <w:spacing w:before="120" w:after="240"/>
              <w:ind w:left="1434" w:firstLineChars="0" w:hanging="357"/>
              <w:contextualSpacing/>
            </w:pPr>
            <w:r>
              <w:t>BWP switching delay reduction for 480/960kHz can be further discussed in R18 or later releases</w:t>
            </w:r>
          </w:p>
          <w:p w:rsidR="00FF0FC0" w:rsidRDefault="00FF0FC0" w:rsidP="00FF0FC0">
            <w:pPr>
              <w:pStyle w:val="ListParagraph"/>
              <w:numPr>
                <w:ilvl w:val="1"/>
                <w:numId w:val="26"/>
              </w:numPr>
              <w:overflowPunct w:val="0"/>
              <w:autoSpaceDE w:val="0"/>
              <w:autoSpaceDN w:val="0"/>
              <w:adjustRightInd w:val="0"/>
              <w:spacing w:before="120" w:after="120"/>
              <w:ind w:firstLineChars="0"/>
              <w:contextualSpacing/>
              <w:rPr>
                <w:rFonts w:eastAsia="宋体"/>
              </w:rPr>
            </w:pPr>
            <w:r>
              <w:t>RAN4 to further check whether FR2-2 BWP Switching on Multiple CCs can follow chapter 8.6.2A, chapter 8.6.2B and Chapter 8.6.3A in TS38.133</w:t>
            </w:r>
          </w:p>
          <w:p w:rsidR="00FF0FC0" w:rsidRDefault="00FF0FC0" w:rsidP="00FF0FC0">
            <w:pPr>
              <w:pStyle w:val="ListParagraph"/>
              <w:overflowPunct w:val="0"/>
              <w:autoSpaceDE w:val="0"/>
              <w:autoSpaceDN w:val="0"/>
              <w:adjustRightInd w:val="0"/>
              <w:spacing w:before="120" w:after="120"/>
              <w:ind w:left="1440" w:firstLineChars="0" w:firstLine="0"/>
              <w:contextualSpacing/>
            </w:pPr>
          </w:p>
          <w:p w:rsidR="00FF0FC0" w:rsidRPr="00FF0FC0" w:rsidRDefault="00FF0FC0" w:rsidP="00FF0FC0">
            <w:pPr>
              <w:pStyle w:val="ListParagraph"/>
              <w:spacing w:after="240"/>
              <w:ind w:left="2160" w:firstLine="400"/>
              <w:rPr>
                <w:highlight w:val="yellow"/>
              </w:rPr>
            </w:pPr>
          </w:p>
          <w:p w:rsidR="00FF0FC0" w:rsidRDefault="00FF0FC0" w:rsidP="00FF0FC0">
            <w:pPr>
              <w:pStyle w:val="ListParagraph"/>
              <w:numPr>
                <w:ilvl w:val="0"/>
                <w:numId w:val="26"/>
              </w:numPr>
              <w:overflowPunct w:val="0"/>
              <w:autoSpaceDE w:val="0"/>
              <w:autoSpaceDN w:val="0"/>
              <w:adjustRightInd w:val="0"/>
              <w:spacing w:before="120" w:after="120" w:line="480" w:lineRule="auto"/>
              <w:ind w:firstLineChars="0"/>
              <w:contextualSpacing/>
            </w:pPr>
            <w:r>
              <w:t>Cross-carrier active BWP switching</w:t>
            </w:r>
          </w:p>
          <w:p w:rsidR="00FF0FC0" w:rsidRDefault="00FF0FC0" w:rsidP="00FF0FC0">
            <w:pPr>
              <w:pStyle w:val="ListParagraph"/>
              <w:numPr>
                <w:ilvl w:val="1"/>
                <w:numId w:val="26"/>
              </w:numPr>
              <w:overflowPunct w:val="0"/>
              <w:autoSpaceDE w:val="0"/>
              <w:autoSpaceDN w:val="0"/>
              <w:adjustRightInd w:val="0"/>
              <w:spacing w:before="120" w:after="240"/>
              <w:ind w:left="1434" w:firstLineChars="0" w:hanging="357"/>
              <w:contextualSpacing/>
            </w:pPr>
            <w:r>
              <w:t>MRTD value should be considered for BWP switching delay definition in cross-carrier scheduling case.</w:t>
            </w:r>
          </w:p>
          <w:p w:rsidR="00FF0FC0" w:rsidRDefault="00FF0FC0" w:rsidP="00FF0FC0">
            <w:pPr>
              <w:pStyle w:val="ListParagraph"/>
              <w:numPr>
                <w:ilvl w:val="1"/>
                <w:numId w:val="26"/>
              </w:numPr>
              <w:overflowPunct w:val="0"/>
              <w:autoSpaceDE w:val="0"/>
              <w:autoSpaceDN w:val="0"/>
              <w:adjustRightInd w:val="0"/>
              <w:spacing w:before="120" w:after="240"/>
              <w:ind w:left="1434" w:firstLineChars="0" w:hanging="357"/>
              <w:contextualSpacing/>
            </w:pPr>
            <w:r>
              <w:t>RAN4 to further discuss how to define requirements for cross-carrier BWP switching considering the following questions:</w:t>
            </w:r>
          </w:p>
          <w:p w:rsidR="00FF0FC0" w:rsidRDefault="00FF0FC0" w:rsidP="00FF0FC0">
            <w:pPr>
              <w:pStyle w:val="ListParagraph"/>
              <w:numPr>
                <w:ilvl w:val="2"/>
                <w:numId w:val="26"/>
              </w:numPr>
              <w:overflowPunct w:val="0"/>
              <w:autoSpaceDE w:val="0"/>
              <w:autoSpaceDN w:val="0"/>
              <w:adjustRightInd w:val="0"/>
              <w:spacing w:before="120" w:after="0"/>
              <w:ind w:firstLineChars="0"/>
              <w:contextualSpacing/>
            </w:pPr>
            <w:r>
              <w:t>How to account MRTD in cross-carrier BWP switching delay:</w:t>
            </w:r>
          </w:p>
          <w:p w:rsidR="00FF0FC0" w:rsidRDefault="00FF0FC0" w:rsidP="00FF0FC0">
            <w:pPr>
              <w:pStyle w:val="ListParagraph"/>
              <w:numPr>
                <w:ilvl w:val="3"/>
                <w:numId w:val="26"/>
              </w:numPr>
              <w:overflowPunct w:val="0"/>
              <w:autoSpaceDE w:val="0"/>
              <w:autoSpaceDN w:val="0"/>
              <w:adjustRightInd w:val="0"/>
              <w:spacing w:after="0"/>
              <w:ind w:firstLineChars="0"/>
              <w:contextualSpacing/>
            </w:pPr>
            <w:r>
              <w:t>Option 1: Several slots according to the MRTD length</w:t>
            </w:r>
          </w:p>
          <w:p w:rsidR="00FF0FC0" w:rsidRDefault="00FF0FC0" w:rsidP="00FF0FC0">
            <w:pPr>
              <w:pStyle w:val="ListParagraph"/>
              <w:numPr>
                <w:ilvl w:val="3"/>
                <w:numId w:val="26"/>
              </w:numPr>
              <w:overflowPunct w:val="0"/>
              <w:autoSpaceDE w:val="0"/>
              <w:autoSpaceDN w:val="0"/>
              <w:adjustRightInd w:val="0"/>
              <w:spacing w:after="0"/>
              <w:ind w:firstLineChars="0"/>
              <w:contextualSpacing/>
            </w:pPr>
            <w:r>
              <w:t>Option 2: 1 slot to reserve misalignment in case of asynchronous between two carriers</w:t>
            </w:r>
          </w:p>
          <w:p w:rsidR="00FF0FC0" w:rsidRDefault="00FF0FC0" w:rsidP="00FF0FC0">
            <w:pPr>
              <w:pStyle w:val="ListParagraph"/>
              <w:numPr>
                <w:ilvl w:val="3"/>
                <w:numId w:val="26"/>
              </w:numPr>
              <w:overflowPunct w:val="0"/>
              <w:autoSpaceDE w:val="0"/>
              <w:autoSpaceDN w:val="0"/>
              <w:adjustRightInd w:val="0"/>
              <w:spacing w:after="120"/>
              <w:ind w:firstLineChars="0"/>
              <w:contextualSpacing/>
            </w:pPr>
            <w:r>
              <w:t>Other options are not precluded</w:t>
            </w:r>
          </w:p>
          <w:p w:rsidR="00FF0FC0" w:rsidRDefault="00FF0FC0" w:rsidP="00FF0FC0">
            <w:pPr>
              <w:pStyle w:val="ListParagraph"/>
              <w:numPr>
                <w:ilvl w:val="2"/>
                <w:numId w:val="26"/>
              </w:numPr>
              <w:overflowPunct w:val="0"/>
              <w:autoSpaceDE w:val="0"/>
              <w:autoSpaceDN w:val="0"/>
              <w:adjustRightInd w:val="0"/>
              <w:spacing w:before="120" w:after="240"/>
              <w:ind w:firstLineChars="0"/>
              <w:contextualSpacing/>
            </w:pPr>
            <w:r>
              <w:t>How to consider additional margin for cross-carrier scheduling</w:t>
            </w:r>
          </w:p>
          <w:p w:rsidR="00FF0FC0" w:rsidRDefault="00FF0FC0" w:rsidP="00FF0FC0">
            <w:pPr>
              <w:pStyle w:val="ListParagraph"/>
              <w:numPr>
                <w:ilvl w:val="3"/>
                <w:numId w:val="26"/>
              </w:numPr>
              <w:overflowPunct w:val="0"/>
              <w:autoSpaceDE w:val="0"/>
              <w:autoSpaceDN w:val="0"/>
              <w:adjustRightInd w:val="0"/>
              <w:spacing w:before="120" w:after="120"/>
              <w:ind w:firstLineChars="0"/>
              <w:contextualSpacing/>
            </w:pPr>
            <w:r>
              <w:t>Option 1: Any option of previous question covers the margin as ceiling to the integer number provides additional time for cross-carrier processing</w:t>
            </w:r>
          </w:p>
          <w:p w:rsidR="00FF0FC0" w:rsidRDefault="00FF0FC0" w:rsidP="00FF0FC0">
            <w:pPr>
              <w:pStyle w:val="ListParagraph"/>
              <w:numPr>
                <w:ilvl w:val="3"/>
                <w:numId w:val="26"/>
              </w:numPr>
              <w:overflowPunct w:val="0"/>
              <w:autoSpaceDE w:val="0"/>
              <w:autoSpaceDN w:val="0"/>
              <w:adjustRightInd w:val="0"/>
              <w:spacing w:before="120" w:after="120"/>
              <w:ind w:firstLineChars="0"/>
              <w:contextualSpacing/>
            </w:pPr>
            <w:r>
              <w:t>Option 2: 1 slot of 120 kHz when both scheduling carrier and scheduled carrier are in FR2-2 (aligned with Option 2 of the previous question)</w:t>
            </w:r>
          </w:p>
          <w:p w:rsidR="00FF0FC0" w:rsidRDefault="00FF0FC0" w:rsidP="00FF0FC0">
            <w:pPr>
              <w:pStyle w:val="ListParagraph"/>
              <w:numPr>
                <w:ilvl w:val="3"/>
                <w:numId w:val="26"/>
              </w:numPr>
              <w:overflowPunct w:val="0"/>
              <w:autoSpaceDE w:val="0"/>
              <w:autoSpaceDN w:val="0"/>
              <w:adjustRightInd w:val="0"/>
              <w:spacing w:after="120"/>
              <w:ind w:firstLineChars="0"/>
              <w:contextualSpacing/>
            </w:pPr>
            <w:r>
              <w:t>Other options are not precluded</w:t>
            </w:r>
          </w:p>
          <w:p w:rsidR="00FF0FC0" w:rsidRDefault="00FF0FC0" w:rsidP="00FF0FC0">
            <w:pPr>
              <w:pStyle w:val="ListParagraph"/>
              <w:numPr>
                <w:ilvl w:val="2"/>
                <w:numId w:val="26"/>
              </w:numPr>
              <w:overflowPunct w:val="0"/>
              <w:autoSpaceDE w:val="0"/>
              <w:autoSpaceDN w:val="0"/>
              <w:adjustRightInd w:val="0"/>
              <w:spacing w:before="120" w:after="240"/>
              <w:ind w:firstLineChars="0"/>
              <w:contextualSpacing/>
            </w:pPr>
            <w:r>
              <w:t>How to consider different SCS between scheduling cell and scheduled cell for cross-carrier BWP switching delay:</w:t>
            </w:r>
          </w:p>
          <w:p w:rsidR="00FF0FC0" w:rsidRDefault="00FF0FC0" w:rsidP="00FF0FC0">
            <w:pPr>
              <w:pStyle w:val="ListParagraph"/>
              <w:numPr>
                <w:ilvl w:val="3"/>
                <w:numId w:val="26"/>
              </w:numPr>
              <w:overflowPunct w:val="0"/>
              <w:autoSpaceDE w:val="0"/>
              <w:autoSpaceDN w:val="0"/>
              <w:adjustRightInd w:val="0"/>
              <w:spacing w:after="0"/>
              <w:ind w:firstLineChars="0"/>
              <w:contextualSpacing/>
            </w:pPr>
            <w:r>
              <w:t>Option 1: the delay requirements to be defined considering the SCS of scheduled cell</w:t>
            </w:r>
          </w:p>
          <w:p w:rsidR="00FF0FC0" w:rsidRDefault="00FF0FC0" w:rsidP="00FF0FC0">
            <w:pPr>
              <w:pStyle w:val="ListParagraph"/>
              <w:numPr>
                <w:ilvl w:val="3"/>
                <w:numId w:val="26"/>
              </w:numPr>
              <w:overflowPunct w:val="0"/>
              <w:autoSpaceDE w:val="0"/>
              <w:autoSpaceDN w:val="0"/>
              <w:adjustRightInd w:val="0"/>
              <w:spacing w:after="120"/>
              <w:ind w:firstLineChars="0"/>
              <w:contextualSpacing/>
            </w:pPr>
            <w:r>
              <w:t>Option 2: keep current assumption which says “</w:t>
            </w:r>
            <w:proofErr w:type="spellStart"/>
            <w:r>
              <w:t>T</w:t>
            </w:r>
            <w:r>
              <w:rPr>
                <w:vertAlign w:val="subscript"/>
              </w:rPr>
              <w:t>BWPswitchDelay</w:t>
            </w:r>
            <w:proofErr w:type="spellEnd"/>
            <w:r>
              <w:t xml:space="preserve"> + Y shall follow the smaller SCS of scheduling cell, scheduled cells before and scheduled cells after active BWP change”</w:t>
            </w:r>
          </w:p>
          <w:p w:rsidR="006014ED" w:rsidRPr="00FF0FC0" w:rsidRDefault="006014ED" w:rsidP="004F344B">
            <w:pPr>
              <w:rPr>
                <w:rFonts w:eastAsiaTheme="minorEastAsia"/>
                <w:lang w:eastAsia="zh-CN"/>
              </w:rPr>
            </w:pPr>
          </w:p>
        </w:tc>
      </w:tr>
    </w:tbl>
    <w:p w:rsidR="006014ED" w:rsidRDefault="006014ED" w:rsidP="004F344B">
      <w:pPr>
        <w:rPr>
          <w:rFonts w:eastAsiaTheme="minorEastAsia"/>
          <w:lang w:val="en-US" w:eastAsia="zh-CN"/>
        </w:rPr>
      </w:pPr>
    </w:p>
    <w:p w:rsidR="00FF0FC0" w:rsidRDefault="0009417C" w:rsidP="004F344B">
      <w:pPr>
        <w:rPr>
          <w:rFonts w:eastAsiaTheme="minorEastAsia"/>
          <w:lang w:val="en-US" w:eastAsia="zh-CN"/>
        </w:rPr>
      </w:pPr>
      <w:r>
        <w:rPr>
          <w:rFonts w:eastAsiaTheme="minorEastAsia" w:hint="eastAsia"/>
          <w:lang w:val="en-US" w:eastAsia="zh-CN"/>
        </w:rPr>
        <w:t xml:space="preserve">Regarding how to consider the cross carrier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 xml:space="preserve">issue, companies provided different views in terms of which carrier to be considered for DL slot n, and how to extend the delay for cross carrier scheduling. We further provide our views on this issue in following parts. </w:t>
      </w:r>
    </w:p>
    <w:p w:rsidR="00751E52" w:rsidRPr="005471BF" w:rsidRDefault="0009417C" w:rsidP="004F344B">
      <w:pPr>
        <w:rPr>
          <w:rFonts w:eastAsiaTheme="minorEastAsia"/>
          <w:lang w:val="en-US" w:eastAsia="zh-CN"/>
        </w:rPr>
      </w:pPr>
      <w:r>
        <w:rPr>
          <w:rFonts w:eastAsiaTheme="minorEastAsia"/>
          <w:lang w:val="en-US" w:eastAsia="zh-CN"/>
        </w:rPr>
        <w:t>Firstly, companies seems have different understanding on how to interpret the legacy requirements for cross carrier scheduled BWP switching</w:t>
      </w:r>
      <w:r w:rsidR="00B84E08">
        <w:rPr>
          <w:rFonts w:eastAsiaTheme="minorEastAsia"/>
          <w:lang w:val="en-US" w:eastAsia="zh-CN"/>
        </w:rPr>
        <w:t xml:space="preserve"> as shown below</w:t>
      </w:r>
      <w:r>
        <w:rPr>
          <w:rFonts w:eastAsiaTheme="minorEastAsia"/>
          <w:lang w:val="en-US" w:eastAsia="zh-CN"/>
        </w:rPr>
        <w:t xml:space="preserve">. Regarding whether DL slot n is counted from the slot of the carrier where UE </w:t>
      </w:r>
      <w:r w:rsidR="005471BF">
        <w:rPr>
          <w:rFonts w:eastAsiaTheme="minorEastAsia"/>
          <w:lang w:val="en-US" w:eastAsia="zh-CN"/>
        </w:rPr>
        <w:t xml:space="preserve">receives DCI (scheduling CC) or the carrier where BWP switching occurs (scheduled CC), companies argued that DL slot n should be the slot of the scheduled CC, </w:t>
      </w:r>
      <w:r w:rsidR="00AC7DF5">
        <w:rPr>
          <w:rFonts w:eastAsiaTheme="minorEastAsia"/>
          <w:lang w:val="en-US" w:eastAsia="zh-CN"/>
        </w:rPr>
        <w:t xml:space="preserve">otherwise, </w:t>
      </w:r>
      <w:r w:rsidR="005471BF">
        <w:rPr>
          <w:rFonts w:eastAsiaTheme="minorEastAsia"/>
          <w:lang w:val="en-US" w:eastAsia="zh-CN"/>
        </w:rPr>
        <w:t xml:space="preserve">there is ambiguities on the end of BWP switching delay. However, in the legacy requirements, for </w:t>
      </w:r>
      <w:r w:rsidR="00B84E08">
        <w:rPr>
          <w:rFonts w:eastAsiaTheme="minorEastAsia"/>
          <w:lang w:val="en-US" w:eastAsia="zh-CN"/>
        </w:rPr>
        <w:t>both cross-scheduling case and</w:t>
      </w:r>
      <w:r w:rsidR="005471BF">
        <w:rPr>
          <w:rFonts w:eastAsiaTheme="minorEastAsia"/>
          <w:lang w:val="en-US" w:eastAsia="zh-CN"/>
        </w:rPr>
        <w:t xml:space="preserve"> self-scheduling case, DL slot </w:t>
      </w:r>
      <w:proofErr w:type="spellStart"/>
      <w:r w:rsidR="005471BF">
        <w:rPr>
          <w:rFonts w:eastAsiaTheme="minorEastAsia"/>
          <w:lang w:val="en-US" w:eastAsia="zh-CN"/>
        </w:rPr>
        <w:t>n</w:t>
      </w:r>
      <w:proofErr w:type="spellEnd"/>
      <w:r w:rsidR="005471BF">
        <w:rPr>
          <w:rFonts w:eastAsiaTheme="minorEastAsia"/>
          <w:lang w:val="en-US" w:eastAsia="zh-CN"/>
        </w:rPr>
        <w:t xml:space="preserve"> which also indicates the start of BWP switching delay is the slot on the carrier where UE </w:t>
      </w:r>
      <w:r w:rsidR="00B84E08">
        <w:rPr>
          <w:rFonts w:eastAsiaTheme="minorEastAsia"/>
          <w:lang w:val="en-US" w:eastAsia="zh-CN"/>
        </w:rPr>
        <w:t>receives the BWP switching request.</w:t>
      </w:r>
    </w:p>
    <w:tbl>
      <w:tblPr>
        <w:tblStyle w:val="TableGrid"/>
        <w:tblW w:w="0" w:type="auto"/>
        <w:tblLook w:val="04A0" w:firstRow="1" w:lastRow="0" w:firstColumn="1" w:lastColumn="0" w:noHBand="0" w:noVBand="1"/>
      </w:tblPr>
      <w:tblGrid>
        <w:gridCol w:w="9562"/>
      </w:tblGrid>
      <w:tr w:rsidR="00086874" w:rsidTr="00086874">
        <w:tc>
          <w:tcPr>
            <w:tcW w:w="9562" w:type="dxa"/>
          </w:tcPr>
          <w:p w:rsidR="00086874" w:rsidRPr="009C5807" w:rsidRDefault="00086874" w:rsidP="00086874">
            <w:pPr>
              <w:pStyle w:val="Heading3"/>
              <w:rPr>
                <w:lang w:val="en-US" w:eastAsia="zh-CN"/>
              </w:rPr>
            </w:pPr>
            <w:bookmarkStart w:id="0" w:name="_Toc535475993"/>
            <w:r w:rsidRPr="009C5807">
              <w:rPr>
                <w:lang w:val="en-US" w:eastAsia="zh-CN"/>
              </w:rPr>
              <w:t>8.6.2</w:t>
            </w:r>
            <w:r w:rsidRPr="009C5807">
              <w:rPr>
                <w:lang w:val="en-US" w:eastAsia="zh-CN"/>
              </w:rPr>
              <w:tab/>
              <w:t>DCI and timer based BWP switch delay</w:t>
            </w:r>
            <w:bookmarkEnd w:id="0"/>
            <w:r>
              <w:rPr>
                <w:lang w:val="en-US" w:eastAsia="zh-CN"/>
              </w:rPr>
              <w:t xml:space="preserve"> on a single CC</w:t>
            </w:r>
          </w:p>
          <w:p w:rsidR="00086874" w:rsidRPr="009C5807" w:rsidRDefault="00086874" w:rsidP="00086874">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rsidR="00086874" w:rsidRDefault="00086874" w:rsidP="00086874">
            <w:r w:rsidRPr="009C5807">
              <w:rPr>
                <w:lang w:val="en-US" w:eastAsia="zh-CN"/>
              </w:rPr>
              <w:t xml:space="preserve">For DCI-based BWP switch, </w:t>
            </w:r>
            <w:r w:rsidRPr="009C5807">
              <w:t xml:space="preserve">after the UE receives BWP switching request at </w:t>
            </w:r>
            <w:r w:rsidRPr="005471BF">
              <w:rPr>
                <w:highlight w:val="yellow"/>
              </w:rPr>
              <w:t>DL slot n</w:t>
            </w:r>
            <w:r w:rsidRPr="009C5807">
              <w:t xml:space="preserve">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5471BF">
              <w:rPr>
                <w:highlight w:val="cyan"/>
              </w:rPr>
              <w:t xml:space="preserve">on the first DL or UL slot </w:t>
            </w:r>
            <w:r w:rsidRPr="005471BF">
              <w:rPr>
                <w:highlight w:val="cyan"/>
                <w:lang w:val="en-US" w:eastAsia="zh-CN"/>
              </w:rPr>
              <w:t>occurs</w:t>
            </w:r>
            <w:r w:rsidRPr="005471BF">
              <w:rPr>
                <w:highlight w:val="cyan"/>
              </w:rPr>
              <w:t xml:space="preserve"> right after a time duration</w:t>
            </w:r>
            <w:r w:rsidRPr="009C5807">
              <w:t xml:space="preserve"> of </w:t>
            </w:r>
            <w:proofErr w:type="spellStart"/>
            <w:r w:rsidRPr="009C5807">
              <w:t>T</w:t>
            </w:r>
            <w:r w:rsidRPr="009C5807">
              <w:rPr>
                <w:vertAlign w:val="subscript"/>
              </w:rPr>
              <w:t>BWPswitchDelay</w:t>
            </w:r>
            <w:proofErr w:type="spellEnd"/>
            <w:r w:rsidRPr="009C5807">
              <w:t xml:space="preserve"> </w:t>
            </w:r>
            <w:r>
              <w:t xml:space="preserve">+ Y </w:t>
            </w:r>
            <w:r w:rsidRPr="005471BF">
              <w:rPr>
                <w:highlight w:val="yellow"/>
              </w:rPr>
              <w:t>which starts from the beginning of DL slot n</w:t>
            </w:r>
            <w:r w:rsidRPr="009C5807">
              <w:t>.</w:t>
            </w:r>
            <w:r>
              <w:t xml:space="preserve"> Where,</w:t>
            </w:r>
          </w:p>
          <w:p w:rsidR="00086874" w:rsidRPr="005471BF" w:rsidRDefault="00086874" w:rsidP="00086874">
            <w:pPr>
              <w:pStyle w:val="B1"/>
            </w:pPr>
            <w:r>
              <w:t>-</w:t>
            </w:r>
            <w:r>
              <w:tab/>
            </w:r>
            <w:r w:rsidRPr="00FC4650">
              <w:t>Y=0</w:t>
            </w:r>
            <w:r>
              <w:t>,</w:t>
            </w:r>
            <w:r w:rsidRPr="00FC4650">
              <w:t xml:space="preserve"> if the serving cell where UE receives DCI for BWP switch request is same as the serving cell on which </w:t>
            </w:r>
            <w:r w:rsidRPr="005471BF">
              <w:t>BWP switch occurs.</w:t>
            </w:r>
          </w:p>
          <w:p w:rsidR="00086874" w:rsidRPr="005B6EBB" w:rsidRDefault="00086874" w:rsidP="00086874">
            <w:pPr>
              <w:pStyle w:val="B1"/>
              <w:rPr>
                <w:lang w:val="en-US" w:eastAsia="zh-CN"/>
              </w:rPr>
            </w:pPr>
            <w:r w:rsidRPr="005471BF">
              <w:t>-</w:t>
            </w:r>
            <w:r w:rsidRPr="005471BF">
              <w:tab/>
              <w:t>Y</w:t>
            </w:r>
            <w:r w:rsidRPr="005471BF">
              <w:rPr>
                <w:lang w:val="en-US" w:eastAsia="zh-CN"/>
              </w:rPr>
              <w:t xml:space="preserve"> equals to the length of 1 slot</w:t>
            </w:r>
            <w:r w:rsidRPr="005471BF">
              <w:t>, if the serving cell where UE receives DCI for BWP switch is different from the serving cell on which BWP switch occurs for any involved serving cell.</w:t>
            </w:r>
            <w:r w:rsidRPr="00FC4650">
              <w:t xml:space="preserve">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p w:rsidR="00086874" w:rsidRPr="00086874" w:rsidRDefault="00086874" w:rsidP="004F344B">
            <w:pPr>
              <w:rPr>
                <w:rFonts w:eastAsiaTheme="minorEastAsia"/>
                <w:lang w:val="en-US" w:eastAsia="zh-CN"/>
              </w:rPr>
            </w:pPr>
          </w:p>
        </w:tc>
      </w:tr>
    </w:tbl>
    <w:p w:rsidR="00086874" w:rsidRDefault="00086874" w:rsidP="004F344B">
      <w:pPr>
        <w:rPr>
          <w:rFonts w:eastAsiaTheme="minorEastAsia"/>
          <w:lang w:val="en-US" w:eastAsia="zh-CN"/>
        </w:rPr>
      </w:pPr>
    </w:p>
    <w:p w:rsidR="00AF0930" w:rsidRDefault="00B84E08" w:rsidP="004F344B">
      <w:pPr>
        <w:rPr>
          <w:rFonts w:eastAsiaTheme="minorEastAsia"/>
          <w:lang w:val="en-US" w:eastAsia="zh-CN"/>
        </w:rPr>
      </w:pPr>
      <w:r>
        <w:rPr>
          <w:rFonts w:eastAsiaTheme="minorEastAsia"/>
          <w:lang w:val="en-US" w:eastAsia="zh-CN"/>
        </w:rPr>
        <w:t xml:space="preserve">Companies present an example in [2] to show the RTD between scheduling CC and scheduled CC when considering the definition of DL slot n. slot N in CC1 is physically the DL slot UE receiving BWP switching request. However slot N in CC2 elaborated in fig calculated by MRTD is not very clear as the RTD could vary from time to time, </w:t>
      </w:r>
      <w:r w:rsidR="00AF0930">
        <w:rPr>
          <w:rFonts w:eastAsiaTheme="minorEastAsia"/>
          <w:lang w:val="en-US" w:eastAsia="zh-CN"/>
        </w:rPr>
        <w:t xml:space="preserve">the actual time instance on CC2 when UE receives BWP switching request in CC1 could be also varies (e.g. slot N, slot N+1). </w:t>
      </w:r>
    </w:p>
    <w:tbl>
      <w:tblPr>
        <w:tblStyle w:val="TableGrid"/>
        <w:tblW w:w="0" w:type="auto"/>
        <w:tblLook w:val="04A0" w:firstRow="1" w:lastRow="0" w:firstColumn="1" w:lastColumn="0" w:noHBand="0" w:noVBand="1"/>
      </w:tblPr>
      <w:tblGrid>
        <w:gridCol w:w="9562"/>
      </w:tblGrid>
      <w:tr w:rsidR="00B84E08" w:rsidTr="00B84E08">
        <w:tc>
          <w:tcPr>
            <w:tcW w:w="9562" w:type="dxa"/>
          </w:tcPr>
          <w:p w:rsidR="00B84E08" w:rsidRDefault="00B84E08" w:rsidP="004F344B">
            <w:pPr>
              <w:rPr>
                <w:rFonts w:eastAsiaTheme="minorEastAsia"/>
                <w:lang w:val="en-US" w:eastAsia="zh-CN"/>
              </w:rPr>
            </w:pPr>
            <w:r>
              <w:rPr>
                <w:rFonts w:eastAsia="宋体"/>
                <w:noProof/>
              </w:rPr>
              <w:object w:dxaOrig="7875" w:dyaOrig="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245.5pt;mso-width-percent:0;mso-height-percent:0;mso-width-percent:0;mso-height-percent:0" o:ole="">
                  <v:imagedata r:id="rId8" o:title=""/>
                </v:shape>
                <o:OLEObject Type="Embed" ProgID="Visio.Drawing.15" ShapeID="_x0000_i1025" DrawAspect="Content" ObjectID="_1703366567" r:id="rId9"/>
              </w:object>
            </w:r>
          </w:p>
        </w:tc>
      </w:tr>
    </w:tbl>
    <w:p w:rsidR="00B84E08" w:rsidRDefault="00B84E08" w:rsidP="004F344B">
      <w:pPr>
        <w:rPr>
          <w:rFonts w:eastAsiaTheme="minorEastAsia"/>
          <w:lang w:val="en-US" w:eastAsia="zh-CN"/>
        </w:rPr>
      </w:pPr>
    </w:p>
    <w:p w:rsidR="00561038" w:rsidRDefault="00D41FE3" w:rsidP="004F344B">
      <w:pPr>
        <w:rPr>
          <w:rFonts w:eastAsiaTheme="minorEastAsia"/>
          <w:lang w:val="en-US" w:eastAsia="zh-CN"/>
        </w:rPr>
      </w:pPr>
      <w:r>
        <w:rPr>
          <w:noProof/>
          <w:lang w:val="en-US" w:eastAsia="zh-CN"/>
        </w:rPr>
        <w:drawing>
          <wp:inline distT="0" distB="0" distL="0" distR="0" wp14:anchorId="591C7669" wp14:editId="1F0D1778">
            <wp:extent cx="6078220" cy="27806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78220" cy="2780665"/>
                    </a:xfrm>
                    <a:prstGeom prst="rect">
                      <a:avLst/>
                    </a:prstGeom>
                  </pic:spPr>
                </pic:pic>
              </a:graphicData>
            </a:graphic>
          </wp:inline>
        </w:drawing>
      </w:r>
    </w:p>
    <w:p w:rsidR="00561038" w:rsidRPr="00BB7A6F" w:rsidRDefault="00561038" w:rsidP="004F344B">
      <w:pPr>
        <w:rPr>
          <w:rFonts w:eastAsiaTheme="minorEastAsia"/>
          <w:b/>
          <w:lang w:val="en-US" w:eastAsia="zh-CN"/>
        </w:rPr>
      </w:pPr>
      <w:r w:rsidRPr="00BB7A6F">
        <w:rPr>
          <w:rFonts w:eastAsiaTheme="minorEastAsia" w:hint="eastAsia"/>
          <w:b/>
          <w:lang w:val="en-US" w:eastAsia="zh-CN"/>
        </w:rPr>
        <w:t>F</w:t>
      </w:r>
      <w:r w:rsidRPr="00BB7A6F">
        <w:rPr>
          <w:rFonts w:eastAsiaTheme="minorEastAsia"/>
          <w:b/>
          <w:lang w:val="en-US" w:eastAsia="zh-CN"/>
        </w:rPr>
        <w:t xml:space="preserve">ig. I Cross scheduling BWP switching (Scheduling CC with </w:t>
      </w:r>
      <w:proofErr w:type="gramStart"/>
      <w:r w:rsidRPr="00BB7A6F">
        <w:rPr>
          <w:rFonts w:eastAsiaTheme="minorEastAsia"/>
          <w:b/>
          <w:lang w:val="en-US" w:eastAsia="zh-CN"/>
        </w:rPr>
        <w:t>15KHz</w:t>
      </w:r>
      <w:proofErr w:type="gramEnd"/>
      <w:r w:rsidRPr="00BB7A6F">
        <w:rPr>
          <w:rFonts w:eastAsiaTheme="minorEastAsia"/>
          <w:b/>
          <w:lang w:val="en-US" w:eastAsia="zh-CN"/>
        </w:rPr>
        <w:t xml:space="preserve"> and Scheduled CC with 30 KHz.)</w:t>
      </w:r>
    </w:p>
    <w:p w:rsidR="00561038" w:rsidRDefault="00561038" w:rsidP="00AC7DF5">
      <w:pPr>
        <w:jc w:val="both"/>
        <w:rPr>
          <w:rFonts w:eastAsiaTheme="minorEastAsia"/>
          <w:lang w:val="en-US" w:eastAsia="zh-CN"/>
        </w:rPr>
      </w:pPr>
      <w:r>
        <w:rPr>
          <w:rFonts w:eastAsiaTheme="minorEastAsia"/>
          <w:lang w:val="en-US" w:eastAsia="zh-CN"/>
        </w:rPr>
        <w:t xml:space="preserve">And </w:t>
      </w:r>
      <w:r w:rsidR="00B00B79">
        <w:rPr>
          <w:rFonts w:eastAsiaTheme="minorEastAsia"/>
          <w:lang w:val="en-US" w:eastAsia="zh-CN"/>
        </w:rPr>
        <w:t>in legacy requirements, we fail</w:t>
      </w:r>
      <w:r>
        <w:rPr>
          <w:rFonts w:eastAsiaTheme="minorEastAsia"/>
          <w:lang w:val="en-US" w:eastAsia="zh-CN"/>
        </w:rPr>
        <w:t xml:space="preserve"> to see any ambiguities regarding on which slot the UE is ready for scheduling. It could be observed from the </w:t>
      </w:r>
      <w:r w:rsidRPr="00AF0930">
        <w:rPr>
          <w:rFonts w:eastAsiaTheme="minorEastAsia"/>
          <w:highlight w:val="cyan"/>
          <w:lang w:val="en-US" w:eastAsia="zh-CN"/>
        </w:rPr>
        <w:t>highlighted part</w:t>
      </w:r>
      <w:r>
        <w:rPr>
          <w:rFonts w:eastAsiaTheme="minorEastAsia"/>
          <w:lang w:val="en-US" w:eastAsia="zh-CN"/>
        </w:rPr>
        <w:t xml:space="preserve">, the slot where UE is ready for scheduling is </w:t>
      </w:r>
      <w:r w:rsidRPr="00AF0930">
        <w:rPr>
          <w:rFonts w:eastAsiaTheme="minorEastAsia"/>
          <w:b/>
          <w:highlight w:val="cyan"/>
          <w:lang w:val="en-US" w:eastAsia="zh-CN"/>
        </w:rPr>
        <w:t>first</w:t>
      </w:r>
      <w:r>
        <w:rPr>
          <w:rFonts w:eastAsiaTheme="minorEastAsia"/>
          <w:lang w:val="en-US" w:eastAsia="zh-CN"/>
        </w:rPr>
        <w:t xml:space="preserve"> slot after a </w:t>
      </w:r>
      <w:r w:rsidRPr="00AF0930">
        <w:rPr>
          <w:rFonts w:eastAsiaTheme="minorEastAsia"/>
          <w:b/>
          <w:highlight w:val="cyan"/>
          <w:lang w:val="en-US" w:eastAsia="zh-CN"/>
        </w:rPr>
        <w:t>duration</w:t>
      </w:r>
      <w:r>
        <w:rPr>
          <w:rFonts w:eastAsiaTheme="minorEastAsia"/>
          <w:lang w:val="en-US" w:eastAsia="zh-CN"/>
        </w:rPr>
        <w:t xml:space="preserve"> from slot n. We give an example for cross carrier scheduling case in above Figure I.</w:t>
      </w:r>
      <w:r w:rsidR="00BB7A6F">
        <w:rPr>
          <w:rFonts w:eastAsiaTheme="minorEastAsia"/>
          <w:lang w:val="en-US" w:eastAsia="zh-CN"/>
        </w:rPr>
        <w:t xml:space="preserve"> Slot n is the slot in CC1 where UE receives the BWP switching request, and the duration of </w:t>
      </w:r>
      <w:proofErr w:type="spellStart"/>
      <w:r w:rsidR="00BB7A6F" w:rsidRPr="009C5807">
        <w:t>T</w:t>
      </w:r>
      <w:r w:rsidR="00BB7A6F" w:rsidRPr="009C5807">
        <w:rPr>
          <w:vertAlign w:val="subscript"/>
        </w:rPr>
        <w:t>BWPswitchDelay</w:t>
      </w:r>
      <w:proofErr w:type="spellEnd"/>
      <w:r w:rsidR="00BB7A6F" w:rsidRPr="009C5807">
        <w:t xml:space="preserve"> </w:t>
      </w:r>
      <w:r w:rsidR="00BB7A6F">
        <w:t xml:space="preserve">+ Y is the length </w:t>
      </w:r>
      <w:r w:rsidR="00C355C2">
        <w:t>1</w:t>
      </w:r>
      <w:r w:rsidR="00BB7A6F">
        <w:t xml:space="preserve"> slot of</w:t>
      </w:r>
      <w:r w:rsidR="00BB7A6F" w:rsidRPr="00BB7A6F">
        <w:rPr>
          <w:rFonts w:eastAsiaTheme="minorEastAsia"/>
          <w:lang w:val="en-US" w:eastAsia="zh-CN"/>
        </w:rPr>
        <w:t xml:space="preserve"> </w:t>
      </w:r>
      <w:r w:rsidR="00C355C2">
        <w:rPr>
          <w:rFonts w:eastAsiaTheme="minorEastAsia"/>
          <w:lang w:val="en-US" w:eastAsia="zh-CN"/>
        </w:rPr>
        <w:t>15</w:t>
      </w:r>
      <w:r w:rsidR="00BB7A6F" w:rsidRPr="00BB7A6F">
        <w:rPr>
          <w:rFonts w:eastAsiaTheme="minorEastAsia"/>
          <w:lang w:val="en-US" w:eastAsia="zh-CN"/>
        </w:rPr>
        <w:t xml:space="preserve"> KHz</w:t>
      </w:r>
      <w:r w:rsidR="00BB7A6F">
        <w:rPr>
          <w:rFonts w:eastAsiaTheme="minorEastAsia"/>
          <w:lang w:val="en-US" w:eastAsia="zh-CN"/>
        </w:rPr>
        <w:t xml:space="preserve"> + 1 slot of smaller SCS (15 KHz), then the first slot in CC2 after the duration from the beginning of slot n is slot M+8 in CC2.</w:t>
      </w:r>
    </w:p>
    <w:p w:rsidR="00BB7A6F" w:rsidRPr="006A2578" w:rsidRDefault="00BB7A6F" w:rsidP="00AC7DF5">
      <w:pPr>
        <w:jc w:val="both"/>
        <w:rPr>
          <w:rFonts w:eastAsiaTheme="minorEastAsia"/>
          <w:b/>
          <w:lang w:val="en-US" w:eastAsia="zh-CN"/>
        </w:rPr>
      </w:pPr>
      <w:r w:rsidRPr="006A2578">
        <w:rPr>
          <w:rFonts w:eastAsiaTheme="minorEastAsia"/>
          <w:b/>
          <w:lang w:val="en-US" w:eastAsia="zh-CN"/>
        </w:rPr>
        <w:t>Observation 1: In legacy requirements the DL slot n is the slot where UE receives BWP switching request.</w:t>
      </w:r>
    </w:p>
    <w:p w:rsidR="00E15627" w:rsidRPr="00561038" w:rsidRDefault="006A2578" w:rsidP="00AC7DF5">
      <w:pPr>
        <w:jc w:val="both"/>
        <w:rPr>
          <w:rFonts w:eastAsiaTheme="minorEastAsia"/>
          <w:lang w:val="en-US" w:eastAsia="zh-CN"/>
        </w:rPr>
      </w:pPr>
      <w:r>
        <w:rPr>
          <w:rFonts w:eastAsiaTheme="minorEastAsia"/>
          <w:lang w:val="en-US" w:eastAsia="zh-CN"/>
        </w:rPr>
        <w:t xml:space="preserve">As commented by companies during last meeting, the issues is not to redesign the frame work of BWP switching but to evaluate whether the additional 1 slot can </w:t>
      </w:r>
      <w:r w:rsidRPr="006A2578">
        <w:rPr>
          <w:rFonts w:eastAsiaTheme="minorEastAsia"/>
          <w:lang w:val="en-US" w:eastAsia="zh-CN"/>
        </w:rPr>
        <w:t>cover all the time including MRTD, cross carrier scheduling processing time and PDCCH decoding if the SCS is large</w:t>
      </w:r>
      <w:r>
        <w:rPr>
          <w:rFonts w:eastAsiaTheme="minorEastAsia"/>
          <w:lang w:val="en-US" w:eastAsia="zh-CN"/>
        </w:rPr>
        <w:t>.</w:t>
      </w:r>
    </w:p>
    <w:p w:rsidR="00E15627" w:rsidRPr="00E15627" w:rsidRDefault="00E15627" w:rsidP="004F344B">
      <w:pPr>
        <w:rPr>
          <w:rFonts w:eastAsiaTheme="minorEastAsia"/>
          <w:b/>
          <w:lang w:val="en-US" w:eastAsia="zh-CN"/>
        </w:rPr>
      </w:pPr>
      <w:r w:rsidRPr="00E15627">
        <w:rPr>
          <w:rFonts w:eastAsiaTheme="minorEastAsia"/>
          <w:b/>
          <w:lang w:val="en-US" w:eastAsia="zh-CN"/>
        </w:rPr>
        <w:t>Observation 2: The question is to evaluate whether additional 1 slot can cover all time needed including MRTD, cross carrier scheduling processing time and PDCCH decoding.</w:t>
      </w:r>
    </w:p>
    <w:p w:rsidR="00E15627" w:rsidRPr="00E15627" w:rsidRDefault="00E15627" w:rsidP="00AC7DF5">
      <w:pPr>
        <w:jc w:val="both"/>
        <w:rPr>
          <w:rFonts w:eastAsiaTheme="minorEastAsia"/>
          <w:b/>
          <w:lang w:val="en-US" w:eastAsia="zh-CN"/>
        </w:rPr>
      </w:pPr>
      <w:r w:rsidRPr="00E15627">
        <w:rPr>
          <w:rFonts w:eastAsiaTheme="minorEastAsia"/>
          <w:b/>
          <w:lang w:val="en-US" w:eastAsia="zh-CN"/>
        </w:rPr>
        <w:t xml:space="preserve">Observation 3: RAN4 should evaluate whether the additional Y slot is sufficient to cover all time needed for cross carrier scheduled BWP switching in instead of redesigning the framework of BWP switching requirements. </w:t>
      </w:r>
    </w:p>
    <w:p w:rsidR="00893468" w:rsidRDefault="00E15627" w:rsidP="004F344B">
      <w:pPr>
        <w:rPr>
          <w:rFonts w:eastAsiaTheme="minorEastAsia"/>
          <w:lang w:val="en-US" w:eastAsia="zh-CN"/>
        </w:rPr>
      </w:pPr>
      <w:r>
        <w:rPr>
          <w:rFonts w:eastAsiaTheme="minorEastAsia"/>
          <w:lang w:val="en-US" w:eastAsia="zh-CN"/>
        </w:rPr>
        <w:lastRenderedPageBreak/>
        <w:t xml:space="preserve">During the discussion in last meeting, companies focus on the impact of RTD when considering the cross carrier scheduling case. However, when the issue is discussed in Rel-16 dormancy </w:t>
      </w:r>
      <w:proofErr w:type="spellStart"/>
      <w:r>
        <w:rPr>
          <w:rFonts w:eastAsiaTheme="minorEastAsia"/>
          <w:lang w:val="en-US" w:eastAsia="zh-CN"/>
        </w:rPr>
        <w:t>SCell</w:t>
      </w:r>
      <w:proofErr w:type="spellEnd"/>
      <w:r>
        <w:rPr>
          <w:rFonts w:eastAsiaTheme="minorEastAsia"/>
          <w:lang w:val="en-US" w:eastAsia="zh-CN"/>
        </w:rPr>
        <w:t xml:space="preserve">, MRTD is not the only factor which may leads to extra delay. The SCS difference, cross carrier scheduling time and PDCCH decoding time will all contribute to the </w:t>
      </w:r>
      <w:r w:rsidR="00893468">
        <w:rPr>
          <w:rFonts w:eastAsiaTheme="minorEastAsia"/>
          <w:lang w:val="en-US" w:eastAsia="zh-CN"/>
        </w:rPr>
        <w:t xml:space="preserve">overall delay. And additional 1 slot is allowed to cover all these factors. Additionally, this 1 slot is based on the smaller SCS between Scheduled and Scheduling CC and also considering the case of SCS changing before and after BWP switching. </w:t>
      </w:r>
      <w:r w:rsidR="006B4C5F">
        <w:rPr>
          <w:rFonts w:eastAsiaTheme="minorEastAsia"/>
          <w:lang w:val="en-US" w:eastAsia="zh-CN"/>
        </w:rPr>
        <w:t>However, the approach provided by companies using the equation seems has not considered the SCS difference between Scheduled and Scheduling CC and before and after BWP switching.</w:t>
      </w:r>
    </w:p>
    <w:p w:rsidR="00893468" w:rsidRPr="0065271F" w:rsidRDefault="00893468" w:rsidP="004F344B">
      <w:pPr>
        <w:rPr>
          <w:rFonts w:eastAsiaTheme="minorEastAsia"/>
          <w:b/>
          <w:lang w:val="en-US" w:eastAsia="zh-CN"/>
        </w:rPr>
      </w:pPr>
      <w:r w:rsidRPr="0065271F">
        <w:rPr>
          <w:rFonts w:eastAsiaTheme="minorEastAsia"/>
          <w:b/>
          <w:lang w:val="en-US" w:eastAsia="zh-CN"/>
        </w:rPr>
        <w:t xml:space="preserve">Observation 4: </w:t>
      </w:r>
      <w:r w:rsidR="006B4C5F" w:rsidRPr="0065271F">
        <w:rPr>
          <w:rFonts w:eastAsiaTheme="minorEastAsia"/>
          <w:b/>
          <w:lang w:val="en-US" w:eastAsia="zh-CN"/>
        </w:rPr>
        <w:t xml:space="preserve">MRTD is not the only factor which contributes to the extra delay of cross carrier scheduling BWP switching. </w:t>
      </w:r>
      <w:r w:rsidR="0065271F" w:rsidRPr="0065271F">
        <w:rPr>
          <w:rFonts w:eastAsiaTheme="minorEastAsia"/>
          <w:b/>
          <w:lang w:val="en-US" w:eastAsia="zh-CN"/>
        </w:rPr>
        <w:t>The additional 1 slot considers the SCS difference between Scheduled and Scheduling CC and the SCS difference before and after BWP switching.</w:t>
      </w:r>
    </w:p>
    <w:p w:rsidR="0065271F" w:rsidRDefault="0065271F"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us, based on the analysis above, we further </w:t>
      </w:r>
      <w:r>
        <w:rPr>
          <w:rFonts w:eastAsiaTheme="minorEastAsia"/>
          <w:lang w:val="en-US" w:eastAsia="zh-CN"/>
        </w:rPr>
        <w:t>evaluate</w:t>
      </w:r>
      <w:r>
        <w:rPr>
          <w:rFonts w:eastAsiaTheme="minorEastAsia" w:hint="eastAsia"/>
          <w:lang w:val="en-US" w:eastAsia="zh-CN"/>
        </w:rPr>
        <w:t xml:space="preserve"> </w:t>
      </w:r>
      <w:r>
        <w:rPr>
          <w:rFonts w:eastAsiaTheme="minorEastAsia"/>
          <w:lang w:val="en-US" w:eastAsia="zh-CN"/>
        </w:rPr>
        <w:t>whether current additional 1 slot is enough in FR2-2.</w:t>
      </w:r>
      <w:r w:rsidR="00A57A22">
        <w:rPr>
          <w:rFonts w:eastAsiaTheme="minorEastAsia"/>
          <w:lang w:val="en-US" w:eastAsia="zh-CN"/>
        </w:rPr>
        <w:t xml:space="preserve"> According to legacy requirements, the minimum delay extension in FR2-1 is the length of 1 slot of 120 KHz when the scheduling CC and scheduled CC are both 120 KHz.</w:t>
      </w:r>
    </w:p>
    <w:p w:rsidR="00A57A22" w:rsidRDefault="00A57A22" w:rsidP="004F344B">
      <w:pPr>
        <w:rPr>
          <w:rFonts w:eastAsiaTheme="minorEastAsia"/>
          <w:b/>
          <w:lang w:val="en-US" w:eastAsia="zh-CN"/>
        </w:rPr>
      </w:pPr>
      <w:r w:rsidRPr="00A57A22">
        <w:rPr>
          <w:rFonts w:eastAsiaTheme="minorEastAsia"/>
          <w:b/>
          <w:lang w:val="en-US" w:eastAsia="zh-CN"/>
        </w:rPr>
        <w:t>Observation 5: The minimum delay extension for legacy FR2-1 cross carrier scheduling BWP switching is 1 slot of 120 KHz when both Scheduling CC and scheduled CC are 120 KHz without SCS change.</w:t>
      </w:r>
    </w:p>
    <w:p w:rsidR="00A57A22" w:rsidRDefault="00A57A22" w:rsidP="004F344B">
      <w:pPr>
        <w:rPr>
          <w:rFonts w:eastAsiaTheme="minorEastAsia"/>
          <w:lang w:val="en-US" w:eastAsia="zh-CN"/>
        </w:rPr>
      </w:pPr>
      <w:r w:rsidRPr="00A57A22">
        <w:rPr>
          <w:rFonts w:eastAsiaTheme="minorEastAsia"/>
          <w:lang w:val="en-US" w:eastAsia="zh-CN"/>
        </w:rPr>
        <w:t>When considering the BWP switching delay for single CC in FR2-2, it is based on the same absolute processing time (600us</w:t>
      </w:r>
      <w:r w:rsidRPr="00A57A22">
        <w:rPr>
          <w:rFonts w:eastAsiaTheme="minorEastAsia" w:hint="eastAsia"/>
          <w:lang w:val="en-US" w:eastAsia="zh-CN"/>
        </w:rPr>
        <w:t>/</w:t>
      </w:r>
      <w:r w:rsidRPr="00A57A22">
        <w:rPr>
          <w:rFonts w:eastAsiaTheme="minorEastAsia"/>
          <w:lang w:val="en-US" w:eastAsia="zh-CN"/>
        </w:rPr>
        <w:t>2000us) as legacy requirements,</w:t>
      </w:r>
      <w:r>
        <w:rPr>
          <w:rFonts w:eastAsiaTheme="minorEastAsia"/>
          <w:lang w:val="en-US" w:eastAsia="zh-CN"/>
        </w:rPr>
        <w:t xml:space="preserve"> thus it is also reasonable to follow the same principle that the processing time for cross carrier scheduling keep in the same level as legacy requirements. Otherwise, it will lead to </w:t>
      </w:r>
      <w:r w:rsidR="00FB5E99">
        <w:rPr>
          <w:rFonts w:eastAsiaTheme="minorEastAsia"/>
          <w:lang w:val="en-US" w:eastAsia="zh-CN"/>
        </w:rPr>
        <w:t xml:space="preserve">only 1 slot of </w:t>
      </w:r>
      <w:proofErr w:type="gramStart"/>
      <w:r w:rsidR="00FB5E99">
        <w:rPr>
          <w:rFonts w:eastAsiaTheme="minorEastAsia"/>
          <w:lang w:val="en-US" w:eastAsia="zh-CN"/>
        </w:rPr>
        <w:t>960KHz</w:t>
      </w:r>
      <w:proofErr w:type="gramEnd"/>
      <w:r w:rsidR="00FB5E99">
        <w:rPr>
          <w:rFonts w:eastAsiaTheme="minorEastAsia"/>
          <w:lang w:val="en-US" w:eastAsia="zh-CN"/>
        </w:rPr>
        <w:t xml:space="preserve"> for FR2-2 as summarized in Table I and Table II.</w:t>
      </w:r>
    </w:p>
    <w:p w:rsidR="00A63AF5" w:rsidRDefault="00A63AF5" w:rsidP="004F344B">
      <w:pPr>
        <w:rPr>
          <w:rFonts w:eastAsiaTheme="minorEastAsia"/>
          <w:lang w:val="en-US" w:eastAsia="zh-CN"/>
        </w:rPr>
      </w:pPr>
      <w:r>
        <w:rPr>
          <w:rFonts w:eastAsiaTheme="minorEastAsia"/>
          <w:lang w:val="en-US" w:eastAsia="zh-CN"/>
        </w:rPr>
        <w:t>Table I. Delay extension for cross carrier scheduling when the SCS of scheduled CC is 120 KHz</w:t>
      </w:r>
    </w:p>
    <w:tbl>
      <w:tblPr>
        <w:tblStyle w:val="TableGrid"/>
        <w:tblW w:w="0" w:type="auto"/>
        <w:tblLook w:val="04A0" w:firstRow="1" w:lastRow="0" w:firstColumn="1" w:lastColumn="0" w:noHBand="0" w:noVBand="1"/>
      </w:tblPr>
      <w:tblGrid>
        <w:gridCol w:w="1912"/>
        <w:gridCol w:w="1912"/>
        <w:gridCol w:w="1912"/>
        <w:gridCol w:w="1913"/>
      </w:tblGrid>
      <w:tr w:rsidR="006901CA" w:rsidTr="00086874">
        <w:tc>
          <w:tcPr>
            <w:tcW w:w="1912" w:type="dxa"/>
          </w:tcPr>
          <w:p w:rsidR="006901CA" w:rsidRPr="006901CA" w:rsidRDefault="006901CA" w:rsidP="004F344B">
            <w:pPr>
              <w:rPr>
                <w:rFonts w:eastAsiaTheme="minorEastAsia"/>
                <w:b/>
                <w:lang w:val="en-US" w:eastAsia="zh-CN"/>
              </w:rPr>
            </w:pPr>
            <w:r w:rsidRPr="006901CA">
              <w:rPr>
                <w:rFonts w:eastAsiaTheme="minorEastAsia" w:hint="eastAsia"/>
                <w:b/>
                <w:lang w:val="en-US" w:eastAsia="zh-CN"/>
              </w:rPr>
              <w:t>SCS of scheduling CC</w:t>
            </w:r>
          </w:p>
        </w:tc>
        <w:tc>
          <w:tcPr>
            <w:tcW w:w="1912" w:type="dxa"/>
          </w:tcPr>
          <w:p w:rsidR="006901CA" w:rsidRPr="006901CA" w:rsidRDefault="006901CA" w:rsidP="004F344B">
            <w:pPr>
              <w:rPr>
                <w:rFonts w:eastAsiaTheme="minorEastAsia"/>
                <w:b/>
                <w:lang w:val="en-US" w:eastAsia="zh-CN"/>
              </w:rPr>
            </w:pPr>
            <w:r w:rsidRPr="006901CA">
              <w:rPr>
                <w:rFonts w:eastAsiaTheme="minorEastAsia" w:hint="eastAsia"/>
                <w:b/>
                <w:lang w:val="en-US" w:eastAsia="zh-CN"/>
              </w:rPr>
              <w:t xml:space="preserve">BWP </w:t>
            </w:r>
            <w:r w:rsidRPr="006901CA">
              <w:rPr>
                <w:rFonts w:eastAsiaTheme="minorEastAsia"/>
                <w:b/>
                <w:lang w:val="en-US" w:eastAsia="zh-CN"/>
              </w:rPr>
              <w:t>switching</w:t>
            </w:r>
            <w:r w:rsidRPr="006901CA">
              <w:rPr>
                <w:rFonts w:eastAsiaTheme="minorEastAsia" w:hint="eastAsia"/>
                <w:b/>
                <w:lang w:val="en-US" w:eastAsia="zh-CN"/>
              </w:rPr>
              <w:t xml:space="preserve"> </w:t>
            </w:r>
            <w:r w:rsidRPr="006901CA">
              <w:rPr>
                <w:rFonts w:eastAsiaTheme="minorEastAsia"/>
                <w:b/>
                <w:lang w:val="en-US" w:eastAsia="zh-CN"/>
              </w:rPr>
              <w:t>delay on single CC (in slots of 120 KHz)</w:t>
            </w:r>
          </w:p>
        </w:tc>
        <w:tc>
          <w:tcPr>
            <w:tcW w:w="1912" w:type="dxa"/>
          </w:tcPr>
          <w:p w:rsidR="006901CA" w:rsidRPr="006901CA" w:rsidRDefault="006901CA" w:rsidP="004F344B">
            <w:pPr>
              <w:rPr>
                <w:rFonts w:eastAsiaTheme="minorEastAsia"/>
                <w:b/>
                <w:lang w:val="en-US" w:eastAsia="zh-CN"/>
              </w:rPr>
            </w:pPr>
            <w:r w:rsidRPr="006901CA">
              <w:rPr>
                <w:rFonts w:eastAsiaTheme="minorEastAsia"/>
                <w:b/>
                <w:lang w:val="en-US" w:eastAsia="zh-CN"/>
              </w:rPr>
              <w:t>Y (in slots of 120 KHz)</w:t>
            </w:r>
          </w:p>
        </w:tc>
        <w:tc>
          <w:tcPr>
            <w:tcW w:w="1913" w:type="dxa"/>
          </w:tcPr>
          <w:p w:rsidR="006901CA" w:rsidRPr="006901CA" w:rsidRDefault="006901CA" w:rsidP="00086874">
            <w:pPr>
              <w:rPr>
                <w:rFonts w:eastAsiaTheme="minorEastAsia"/>
                <w:b/>
                <w:lang w:val="en-US" w:eastAsia="zh-CN"/>
              </w:rPr>
            </w:pPr>
            <w:r w:rsidRPr="006901CA">
              <w:rPr>
                <w:rFonts w:eastAsiaTheme="minorEastAsia"/>
                <w:b/>
                <w:lang w:val="en-US" w:eastAsia="zh-CN"/>
              </w:rPr>
              <w:t>P</w:t>
            </w:r>
            <w:r w:rsidRPr="006901CA">
              <w:rPr>
                <w:rFonts w:eastAsiaTheme="minorEastAsia" w:hint="eastAsia"/>
                <w:b/>
                <w:lang w:val="en-US" w:eastAsia="zh-CN"/>
              </w:rPr>
              <w:t xml:space="preserve">ercentage </w:t>
            </w:r>
            <w:r w:rsidRPr="006901CA">
              <w:rPr>
                <w:rFonts w:eastAsiaTheme="minorEastAsia"/>
                <w:b/>
                <w:lang w:val="en-US" w:eastAsia="zh-CN"/>
              </w:rPr>
              <w:t>of delay extension</w:t>
            </w:r>
          </w:p>
        </w:tc>
      </w:tr>
      <w:tr w:rsidR="00AC7DF5" w:rsidTr="00E554AC">
        <w:tc>
          <w:tcPr>
            <w:tcW w:w="1912" w:type="dxa"/>
          </w:tcPr>
          <w:p w:rsidR="00AC7DF5" w:rsidRDefault="00AC7DF5" w:rsidP="00AC7DF5">
            <w:pPr>
              <w:rPr>
                <w:rFonts w:eastAsiaTheme="minorEastAsia"/>
                <w:lang w:val="en-US" w:eastAsia="zh-CN"/>
              </w:rPr>
            </w:pPr>
            <w:r>
              <w:rPr>
                <w:rFonts w:eastAsiaTheme="minorEastAsia" w:hint="eastAsia"/>
                <w:lang w:val="en-US" w:eastAsia="zh-CN"/>
              </w:rPr>
              <w:t>15 KHz</w:t>
            </w:r>
          </w:p>
        </w:tc>
        <w:tc>
          <w:tcPr>
            <w:tcW w:w="1912" w:type="dxa"/>
          </w:tcPr>
          <w:p w:rsidR="00AC7DF5" w:rsidRDefault="00AC7DF5" w:rsidP="00AC7DF5">
            <w:pPr>
              <w:rPr>
                <w:rFonts w:eastAsiaTheme="minorEastAsia"/>
                <w:lang w:val="en-US" w:eastAsia="zh-CN"/>
              </w:rPr>
            </w:pPr>
            <w:r>
              <w:rPr>
                <w:rFonts w:eastAsiaTheme="minorEastAsia"/>
                <w:lang w:val="en-US" w:eastAsia="zh-CN"/>
              </w:rPr>
              <w:t>8</w:t>
            </w:r>
          </w:p>
        </w:tc>
        <w:tc>
          <w:tcPr>
            <w:tcW w:w="1912" w:type="dxa"/>
          </w:tcPr>
          <w:p w:rsidR="00AC7DF5" w:rsidRDefault="00AC7DF5" w:rsidP="00AC7DF5">
            <w:pPr>
              <w:rPr>
                <w:rFonts w:eastAsiaTheme="minorEastAsia"/>
                <w:lang w:val="en-US" w:eastAsia="zh-CN"/>
              </w:rPr>
            </w:pPr>
            <w:r>
              <w:rPr>
                <w:rFonts w:eastAsiaTheme="minorEastAsia" w:hint="eastAsia"/>
                <w:lang w:val="en-US" w:eastAsia="zh-CN"/>
              </w:rPr>
              <w:t>8</w:t>
            </w:r>
          </w:p>
        </w:tc>
        <w:tc>
          <w:tcPr>
            <w:tcW w:w="1913" w:type="dxa"/>
            <w:vAlign w:val="center"/>
          </w:tcPr>
          <w:p w:rsidR="00AC7DF5" w:rsidRDefault="00AC7DF5" w:rsidP="00AC7DF5">
            <w:pPr>
              <w:spacing w:after="0"/>
              <w:jc w:val="right"/>
              <w:rPr>
                <w:rFonts w:eastAsia="宋体"/>
                <w:lang w:val="en-US" w:eastAsia="zh-CN"/>
              </w:rPr>
            </w:pPr>
            <w:r>
              <w:t>50%</w:t>
            </w:r>
          </w:p>
        </w:tc>
      </w:tr>
      <w:tr w:rsidR="00AC7DF5" w:rsidTr="00E554AC">
        <w:tc>
          <w:tcPr>
            <w:tcW w:w="1912" w:type="dxa"/>
          </w:tcPr>
          <w:p w:rsidR="00AC7DF5" w:rsidRDefault="00AC7DF5" w:rsidP="00AC7DF5">
            <w:pPr>
              <w:rPr>
                <w:rFonts w:eastAsiaTheme="minorEastAsia"/>
                <w:lang w:val="en-US" w:eastAsia="zh-CN"/>
              </w:rPr>
            </w:pPr>
            <w:r>
              <w:rPr>
                <w:rFonts w:eastAsiaTheme="minorEastAsia" w:hint="eastAsia"/>
                <w:lang w:val="en-US" w:eastAsia="zh-CN"/>
              </w:rPr>
              <w:t>30 KHz</w:t>
            </w:r>
          </w:p>
        </w:tc>
        <w:tc>
          <w:tcPr>
            <w:tcW w:w="1912" w:type="dxa"/>
          </w:tcPr>
          <w:p w:rsidR="00AC7DF5" w:rsidRDefault="00AC7DF5" w:rsidP="00AC7DF5">
            <w:pPr>
              <w:rPr>
                <w:rFonts w:eastAsiaTheme="minorEastAsia"/>
                <w:lang w:val="en-US" w:eastAsia="zh-CN"/>
              </w:rPr>
            </w:pPr>
            <w:r>
              <w:rPr>
                <w:rFonts w:eastAsiaTheme="minorEastAsia"/>
                <w:lang w:val="en-US" w:eastAsia="zh-CN"/>
              </w:rPr>
              <w:t>8</w:t>
            </w:r>
          </w:p>
        </w:tc>
        <w:tc>
          <w:tcPr>
            <w:tcW w:w="1912" w:type="dxa"/>
          </w:tcPr>
          <w:p w:rsidR="00AC7DF5" w:rsidRDefault="00AC7DF5" w:rsidP="00AC7DF5">
            <w:pPr>
              <w:rPr>
                <w:rFonts w:eastAsiaTheme="minorEastAsia"/>
                <w:lang w:val="en-US" w:eastAsia="zh-CN"/>
              </w:rPr>
            </w:pPr>
            <w:r>
              <w:rPr>
                <w:rFonts w:eastAsiaTheme="minorEastAsia" w:hint="eastAsia"/>
                <w:lang w:val="en-US" w:eastAsia="zh-CN"/>
              </w:rPr>
              <w:t>4</w:t>
            </w:r>
          </w:p>
        </w:tc>
        <w:tc>
          <w:tcPr>
            <w:tcW w:w="1913" w:type="dxa"/>
            <w:vAlign w:val="center"/>
          </w:tcPr>
          <w:p w:rsidR="00AC7DF5" w:rsidRDefault="00AC7DF5" w:rsidP="00AC7DF5">
            <w:pPr>
              <w:jc w:val="right"/>
            </w:pPr>
            <w:r>
              <w:t>33%</w:t>
            </w:r>
          </w:p>
        </w:tc>
      </w:tr>
      <w:tr w:rsidR="00AC7DF5" w:rsidTr="00E554AC">
        <w:tc>
          <w:tcPr>
            <w:tcW w:w="1912" w:type="dxa"/>
          </w:tcPr>
          <w:p w:rsidR="00AC7DF5" w:rsidRDefault="00AC7DF5" w:rsidP="00AC7DF5">
            <w:pPr>
              <w:rPr>
                <w:rFonts w:eastAsiaTheme="minorEastAsia"/>
                <w:lang w:val="en-US" w:eastAsia="zh-CN"/>
              </w:rPr>
            </w:pPr>
            <w:r>
              <w:rPr>
                <w:rFonts w:eastAsiaTheme="minorEastAsia" w:hint="eastAsia"/>
                <w:lang w:val="en-US" w:eastAsia="zh-CN"/>
              </w:rPr>
              <w:t>60 KHz</w:t>
            </w:r>
          </w:p>
        </w:tc>
        <w:tc>
          <w:tcPr>
            <w:tcW w:w="1912" w:type="dxa"/>
          </w:tcPr>
          <w:p w:rsidR="00AC7DF5" w:rsidRDefault="00AC7DF5" w:rsidP="00AC7DF5">
            <w:pPr>
              <w:rPr>
                <w:rFonts w:eastAsiaTheme="minorEastAsia"/>
                <w:lang w:val="en-US" w:eastAsia="zh-CN"/>
              </w:rPr>
            </w:pPr>
            <w:r>
              <w:rPr>
                <w:rFonts w:eastAsiaTheme="minorEastAsia" w:hint="eastAsia"/>
                <w:lang w:val="en-US" w:eastAsia="zh-CN"/>
              </w:rPr>
              <w:t>6</w:t>
            </w:r>
          </w:p>
        </w:tc>
        <w:tc>
          <w:tcPr>
            <w:tcW w:w="1912" w:type="dxa"/>
          </w:tcPr>
          <w:p w:rsidR="00AC7DF5" w:rsidRDefault="00AC7DF5" w:rsidP="00AC7DF5">
            <w:pPr>
              <w:rPr>
                <w:rFonts w:eastAsiaTheme="minorEastAsia"/>
                <w:lang w:val="en-US" w:eastAsia="zh-CN"/>
              </w:rPr>
            </w:pPr>
            <w:r>
              <w:rPr>
                <w:rFonts w:eastAsiaTheme="minorEastAsia" w:hint="eastAsia"/>
                <w:lang w:val="en-US" w:eastAsia="zh-CN"/>
              </w:rPr>
              <w:t>2</w:t>
            </w:r>
          </w:p>
        </w:tc>
        <w:tc>
          <w:tcPr>
            <w:tcW w:w="1913" w:type="dxa"/>
            <w:vAlign w:val="center"/>
          </w:tcPr>
          <w:p w:rsidR="00AC7DF5" w:rsidRDefault="00AC7DF5" w:rsidP="00AC7DF5">
            <w:pPr>
              <w:jc w:val="right"/>
            </w:pPr>
            <w:r>
              <w:t>25%</w:t>
            </w:r>
          </w:p>
        </w:tc>
      </w:tr>
      <w:tr w:rsidR="00AC7DF5" w:rsidTr="00E554AC">
        <w:tc>
          <w:tcPr>
            <w:tcW w:w="1912" w:type="dxa"/>
          </w:tcPr>
          <w:p w:rsidR="00AC7DF5" w:rsidRDefault="00AC7DF5" w:rsidP="00AC7DF5">
            <w:pPr>
              <w:rPr>
                <w:rFonts w:eastAsiaTheme="minorEastAsia"/>
                <w:lang w:val="en-US" w:eastAsia="zh-CN"/>
              </w:rPr>
            </w:pPr>
            <w:r>
              <w:rPr>
                <w:rFonts w:eastAsiaTheme="minorEastAsia" w:hint="eastAsia"/>
                <w:lang w:val="en-US" w:eastAsia="zh-CN"/>
              </w:rPr>
              <w:t>120 KHz</w:t>
            </w:r>
          </w:p>
        </w:tc>
        <w:tc>
          <w:tcPr>
            <w:tcW w:w="1912" w:type="dxa"/>
          </w:tcPr>
          <w:p w:rsidR="00AC7DF5" w:rsidRDefault="00AC7DF5" w:rsidP="00AC7DF5">
            <w:pPr>
              <w:rPr>
                <w:rFonts w:eastAsiaTheme="minorEastAsia"/>
                <w:lang w:val="en-US" w:eastAsia="zh-CN"/>
              </w:rPr>
            </w:pPr>
            <w:r>
              <w:rPr>
                <w:rFonts w:eastAsiaTheme="minorEastAsia" w:hint="eastAsia"/>
                <w:lang w:val="en-US" w:eastAsia="zh-CN"/>
              </w:rPr>
              <w:t>6</w:t>
            </w:r>
          </w:p>
        </w:tc>
        <w:tc>
          <w:tcPr>
            <w:tcW w:w="1912" w:type="dxa"/>
          </w:tcPr>
          <w:p w:rsidR="00AC7DF5" w:rsidRDefault="00AC7DF5" w:rsidP="00AC7DF5">
            <w:pPr>
              <w:rPr>
                <w:rFonts w:eastAsiaTheme="minorEastAsia"/>
                <w:lang w:val="en-US" w:eastAsia="zh-CN"/>
              </w:rPr>
            </w:pPr>
            <w:r>
              <w:rPr>
                <w:rFonts w:eastAsiaTheme="minorEastAsia"/>
                <w:lang w:val="en-US" w:eastAsia="zh-CN"/>
              </w:rPr>
              <w:t>1</w:t>
            </w:r>
          </w:p>
        </w:tc>
        <w:tc>
          <w:tcPr>
            <w:tcW w:w="1913" w:type="dxa"/>
            <w:vAlign w:val="center"/>
          </w:tcPr>
          <w:p w:rsidR="00AC7DF5" w:rsidRDefault="00AC7DF5" w:rsidP="00AC7DF5">
            <w:pPr>
              <w:jc w:val="right"/>
            </w:pPr>
            <w:r w:rsidRPr="00AC7DF5">
              <w:rPr>
                <w:highlight w:val="yellow"/>
              </w:rPr>
              <w:t>14%</w:t>
            </w:r>
          </w:p>
        </w:tc>
      </w:tr>
    </w:tbl>
    <w:p w:rsidR="00086874" w:rsidRDefault="00086874" w:rsidP="004F344B">
      <w:pPr>
        <w:rPr>
          <w:rFonts w:eastAsiaTheme="minorEastAsia"/>
          <w:lang w:val="en-US" w:eastAsia="zh-CN"/>
        </w:rPr>
      </w:pPr>
    </w:p>
    <w:p w:rsidR="00A63AF5" w:rsidRPr="00A63AF5" w:rsidRDefault="00A63AF5" w:rsidP="004F344B">
      <w:pPr>
        <w:rPr>
          <w:rFonts w:eastAsiaTheme="minorEastAsia"/>
          <w:lang w:val="en-US" w:eastAsia="zh-CN"/>
        </w:rPr>
      </w:pPr>
      <w:r>
        <w:rPr>
          <w:rFonts w:eastAsiaTheme="minorEastAsia"/>
          <w:lang w:val="en-US" w:eastAsia="zh-CN"/>
        </w:rPr>
        <w:t>Table II. Delay extension for cross carrier scheduling when the SCS of scheduled CC is 960 KHz</w:t>
      </w:r>
    </w:p>
    <w:tbl>
      <w:tblPr>
        <w:tblStyle w:val="TableGrid"/>
        <w:tblW w:w="0" w:type="auto"/>
        <w:tblLook w:val="04A0" w:firstRow="1" w:lastRow="0" w:firstColumn="1" w:lastColumn="0" w:noHBand="0" w:noVBand="1"/>
      </w:tblPr>
      <w:tblGrid>
        <w:gridCol w:w="1912"/>
        <w:gridCol w:w="1912"/>
        <w:gridCol w:w="1912"/>
        <w:gridCol w:w="1913"/>
      </w:tblGrid>
      <w:tr w:rsidR="00A63AF5" w:rsidTr="00163676">
        <w:tc>
          <w:tcPr>
            <w:tcW w:w="1912" w:type="dxa"/>
          </w:tcPr>
          <w:p w:rsidR="00A63AF5" w:rsidRPr="006901CA" w:rsidRDefault="00A63AF5" w:rsidP="00163676">
            <w:pPr>
              <w:rPr>
                <w:rFonts w:eastAsiaTheme="minorEastAsia"/>
                <w:b/>
                <w:lang w:val="en-US" w:eastAsia="zh-CN"/>
              </w:rPr>
            </w:pPr>
            <w:r w:rsidRPr="006901CA">
              <w:rPr>
                <w:rFonts w:eastAsiaTheme="minorEastAsia" w:hint="eastAsia"/>
                <w:b/>
                <w:lang w:val="en-US" w:eastAsia="zh-CN"/>
              </w:rPr>
              <w:t>SCS of scheduling CC</w:t>
            </w:r>
          </w:p>
        </w:tc>
        <w:tc>
          <w:tcPr>
            <w:tcW w:w="1912" w:type="dxa"/>
          </w:tcPr>
          <w:p w:rsidR="00A63AF5" w:rsidRPr="006901CA" w:rsidRDefault="00A63AF5" w:rsidP="00A63AF5">
            <w:pPr>
              <w:rPr>
                <w:rFonts w:eastAsiaTheme="minorEastAsia"/>
                <w:b/>
                <w:lang w:val="en-US" w:eastAsia="zh-CN"/>
              </w:rPr>
            </w:pPr>
            <w:r w:rsidRPr="006901CA">
              <w:rPr>
                <w:rFonts w:eastAsiaTheme="minorEastAsia" w:hint="eastAsia"/>
                <w:b/>
                <w:lang w:val="en-US" w:eastAsia="zh-CN"/>
              </w:rPr>
              <w:t xml:space="preserve">BWP </w:t>
            </w:r>
            <w:r w:rsidRPr="006901CA">
              <w:rPr>
                <w:rFonts w:eastAsiaTheme="minorEastAsia"/>
                <w:b/>
                <w:lang w:val="en-US" w:eastAsia="zh-CN"/>
              </w:rPr>
              <w:t>switching</w:t>
            </w:r>
            <w:r w:rsidRPr="006901CA">
              <w:rPr>
                <w:rFonts w:eastAsiaTheme="minorEastAsia" w:hint="eastAsia"/>
                <w:b/>
                <w:lang w:val="en-US" w:eastAsia="zh-CN"/>
              </w:rPr>
              <w:t xml:space="preserve"> </w:t>
            </w:r>
            <w:r w:rsidRPr="006901CA">
              <w:rPr>
                <w:rFonts w:eastAsiaTheme="minorEastAsia"/>
                <w:b/>
                <w:lang w:val="en-US" w:eastAsia="zh-CN"/>
              </w:rPr>
              <w:t xml:space="preserve">delay on single CC (in slots of </w:t>
            </w:r>
            <w:r>
              <w:rPr>
                <w:rFonts w:eastAsiaTheme="minorEastAsia"/>
                <w:b/>
                <w:lang w:val="en-US" w:eastAsia="zh-CN"/>
              </w:rPr>
              <w:t>960</w:t>
            </w:r>
            <w:r w:rsidRPr="006901CA">
              <w:rPr>
                <w:rFonts w:eastAsiaTheme="minorEastAsia"/>
                <w:b/>
                <w:lang w:val="en-US" w:eastAsia="zh-CN"/>
              </w:rPr>
              <w:t xml:space="preserve"> KHz)</w:t>
            </w:r>
          </w:p>
        </w:tc>
        <w:tc>
          <w:tcPr>
            <w:tcW w:w="1912" w:type="dxa"/>
          </w:tcPr>
          <w:p w:rsidR="00A63AF5" w:rsidRPr="006901CA" w:rsidRDefault="00A63AF5" w:rsidP="00A63AF5">
            <w:pPr>
              <w:rPr>
                <w:rFonts w:eastAsiaTheme="minorEastAsia"/>
                <w:b/>
                <w:lang w:val="en-US" w:eastAsia="zh-CN"/>
              </w:rPr>
            </w:pPr>
            <w:r w:rsidRPr="006901CA">
              <w:rPr>
                <w:rFonts w:eastAsiaTheme="minorEastAsia"/>
                <w:b/>
                <w:lang w:val="en-US" w:eastAsia="zh-CN"/>
              </w:rPr>
              <w:t xml:space="preserve">Y (in slots of </w:t>
            </w:r>
            <w:r>
              <w:rPr>
                <w:rFonts w:eastAsiaTheme="minorEastAsia"/>
                <w:b/>
                <w:lang w:val="en-US" w:eastAsia="zh-CN"/>
              </w:rPr>
              <w:t>960</w:t>
            </w:r>
            <w:r w:rsidRPr="006901CA">
              <w:rPr>
                <w:rFonts w:eastAsiaTheme="minorEastAsia"/>
                <w:b/>
                <w:lang w:val="en-US" w:eastAsia="zh-CN"/>
              </w:rPr>
              <w:t xml:space="preserve"> KHz)</w:t>
            </w:r>
          </w:p>
        </w:tc>
        <w:tc>
          <w:tcPr>
            <w:tcW w:w="1913" w:type="dxa"/>
          </w:tcPr>
          <w:p w:rsidR="00A63AF5" w:rsidRPr="006901CA" w:rsidRDefault="00A63AF5" w:rsidP="00163676">
            <w:pPr>
              <w:rPr>
                <w:rFonts w:eastAsiaTheme="minorEastAsia"/>
                <w:b/>
                <w:lang w:val="en-US" w:eastAsia="zh-CN"/>
              </w:rPr>
            </w:pPr>
            <w:r w:rsidRPr="006901CA">
              <w:rPr>
                <w:rFonts w:eastAsiaTheme="minorEastAsia"/>
                <w:b/>
                <w:lang w:val="en-US" w:eastAsia="zh-CN"/>
              </w:rPr>
              <w:t>P</w:t>
            </w:r>
            <w:r w:rsidRPr="006901CA">
              <w:rPr>
                <w:rFonts w:eastAsiaTheme="minorEastAsia" w:hint="eastAsia"/>
                <w:b/>
                <w:lang w:val="en-US" w:eastAsia="zh-CN"/>
              </w:rPr>
              <w:t xml:space="preserve">ercentage </w:t>
            </w:r>
            <w:r w:rsidRPr="006901CA">
              <w:rPr>
                <w:rFonts w:eastAsiaTheme="minorEastAsia"/>
                <w:b/>
                <w:lang w:val="en-US" w:eastAsia="zh-CN"/>
              </w:rPr>
              <w:t>of delay extension</w:t>
            </w:r>
          </w:p>
        </w:tc>
      </w:tr>
      <w:tr w:rsidR="00A63AF5" w:rsidTr="00163676">
        <w:tc>
          <w:tcPr>
            <w:tcW w:w="1912" w:type="dxa"/>
          </w:tcPr>
          <w:p w:rsidR="00A63AF5" w:rsidRDefault="00A63AF5" w:rsidP="00163676">
            <w:pPr>
              <w:rPr>
                <w:rFonts w:eastAsiaTheme="minorEastAsia"/>
                <w:lang w:val="en-US" w:eastAsia="zh-CN"/>
              </w:rPr>
            </w:pPr>
            <w:r>
              <w:rPr>
                <w:rFonts w:eastAsiaTheme="minorEastAsia"/>
                <w:lang w:val="en-US" w:eastAsia="zh-CN"/>
              </w:rPr>
              <w:t>480</w:t>
            </w:r>
            <w:r>
              <w:rPr>
                <w:rFonts w:eastAsiaTheme="minorEastAsia" w:hint="eastAsia"/>
                <w:lang w:val="en-US" w:eastAsia="zh-CN"/>
              </w:rPr>
              <w:t xml:space="preserve"> KHz</w:t>
            </w:r>
          </w:p>
        </w:tc>
        <w:tc>
          <w:tcPr>
            <w:tcW w:w="1912" w:type="dxa"/>
          </w:tcPr>
          <w:p w:rsidR="00A63AF5" w:rsidRDefault="00A63AF5" w:rsidP="00AC7DF5">
            <w:pPr>
              <w:rPr>
                <w:rFonts w:eastAsiaTheme="minorEastAsia"/>
                <w:lang w:val="en-US" w:eastAsia="zh-CN"/>
              </w:rPr>
            </w:pPr>
            <w:r>
              <w:rPr>
                <w:rFonts w:eastAsiaTheme="minorEastAsia"/>
                <w:lang w:val="en-US" w:eastAsia="zh-CN"/>
              </w:rPr>
              <w:t>[</w:t>
            </w:r>
            <w:r w:rsidR="00AC7DF5">
              <w:rPr>
                <w:rFonts w:eastAsiaTheme="minorEastAsia"/>
                <w:lang w:val="en-US" w:eastAsia="zh-CN"/>
              </w:rPr>
              <w:t>40</w:t>
            </w:r>
            <w:r>
              <w:rPr>
                <w:rFonts w:eastAsiaTheme="minorEastAsia"/>
                <w:lang w:val="en-US" w:eastAsia="zh-CN"/>
              </w:rPr>
              <w:t>]</w:t>
            </w:r>
          </w:p>
        </w:tc>
        <w:tc>
          <w:tcPr>
            <w:tcW w:w="1912" w:type="dxa"/>
          </w:tcPr>
          <w:p w:rsidR="00A63AF5" w:rsidRDefault="00A63AF5" w:rsidP="00163676">
            <w:pPr>
              <w:rPr>
                <w:rFonts w:eastAsiaTheme="minorEastAsia"/>
                <w:lang w:val="en-US" w:eastAsia="zh-CN"/>
              </w:rPr>
            </w:pPr>
            <w:r>
              <w:rPr>
                <w:rFonts w:eastAsiaTheme="minorEastAsia"/>
                <w:lang w:val="en-US" w:eastAsia="zh-CN"/>
              </w:rPr>
              <w:t>2</w:t>
            </w:r>
          </w:p>
        </w:tc>
        <w:tc>
          <w:tcPr>
            <w:tcW w:w="1913" w:type="dxa"/>
          </w:tcPr>
          <w:p w:rsidR="00A63AF5" w:rsidRDefault="00A63AF5" w:rsidP="00F94748">
            <w:pPr>
              <w:rPr>
                <w:rFonts w:eastAsiaTheme="minorEastAsia"/>
                <w:lang w:val="en-US" w:eastAsia="zh-CN"/>
              </w:rPr>
            </w:pPr>
            <w:r w:rsidRPr="00FB5E99">
              <w:rPr>
                <w:rFonts w:eastAsiaTheme="minorEastAsia"/>
                <w:highlight w:val="yellow"/>
                <w:lang w:val="en-US" w:eastAsia="zh-CN"/>
              </w:rPr>
              <w:t>4.</w:t>
            </w:r>
            <w:r w:rsidR="00F94748">
              <w:rPr>
                <w:rFonts w:eastAsiaTheme="minorEastAsia"/>
                <w:highlight w:val="yellow"/>
                <w:lang w:val="en-US" w:eastAsia="zh-CN"/>
              </w:rPr>
              <w:t>8</w:t>
            </w:r>
            <w:r w:rsidRPr="00FB5E99">
              <w:rPr>
                <w:rFonts w:eastAsiaTheme="minorEastAsia"/>
                <w:highlight w:val="yellow"/>
                <w:lang w:val="en-US" w:eastAsia="zh-CN"/>
              </w:rPr>
              <w:t>%</w:t>
            </w:r>
          </w:p>
        </w:tc>
      </w:tr>
      <w:tr w:rsidR="00A63AF5" w:rsidTr="00163676">
        <w:tc>
          <w:tcPr>
            <w:tcW w:w="1912" w:type="dxa"/>
          </w:tcPr>
          <w:p w:rsidR="00A63AF5" w:rsidRDefault="00A63AF5" w:rsidP="00163676">
            <w:pPr>
              <w:rPr>
                <w:rFonts w:eastAsiaTheme="minorEastAsia"/>
                <w:lang w:val="en-US" w:eastAsia="zh-CN"/>
              </w:rPr>
            </w:pPr>
            <w:r>
              <w:rPr>
                <w:rFonts w:eastAsiaTheme="minorEastAsia"/>
                <w:lang w:val="en-US" w:eastAsia="zh-CN"/>
              </w:rPr>
              <w:t>960</w:t>
            </w:r>
            <w:r>
              <w:rPr>
                <w:rFonts w:eastAsiaTheme="minorEastAsia" w:hint="eastAsia"/>
                <w:lang w:val="en-US" w:eastAsia="zh-CN"/>
              </w:rPr>
              <w:t xml:space="preserve"> KHz</w:t>
            </w:r>
          </w:p>
        </w:tc>
        <w:tc>
          <w:tcPr>
            <w:tcW w:w="1912" w:type="dxa"/>
          </w:tcPr>
          <w:p w:rsidR="00A63AF5" w:rsidRDefault="00A63AF5" w:rsidP="00163676">
            <w:pPr>
              <w:rPr>
                <w:rFonts w:eastAsiaTheme="minorEastAsia"/>
                <w:lang w:val="en-US" w:eastAsia="zh-CN"/>
              </w:rPr>
            </w:pPr>
            <w:r>
              <w:rPr>
                <w:rFonts w:eastAsiaTheme="minorEastAsia" w:hint="eastAsia"/>
                <w:lang w:val="en-US" w:eastAsia="zh-CN"/>
              </w:rPr>
              <w:t>[</w:t>
            </w:r>
            <w:r>
              <w:rPr>
                <w:rFonts w:eastAsiaTheme="minorEastAsia"/>
                <w:lang w:val="en-US" w:eastAsia="zh-CN"/>
              </w:rPr>
              <w:t>39</w:t>
            </w:r>
            <w:r>
              <w:rPr>
                <w:rFonts w:eastAsiaTheme="minorEastAsia" w:hint="eastAsia"/>
                <w:lang w:val="en-US" w:eastAsia="zh-CN"/>
              </w:rPr>
              <w:t>]</w:t>
            </w:r>
          </w:p>
        </w:tc>
        <w:tc>
          <w:tcPr>
            <w:tcW w:w="1912" w:type="dxa"/>
          </w:tcPr>
          <w:p w:rsidR="00A63AF5" w:rsidRDefault="00A63AF5" w:rsidP="00163676">
            <w:pPr>
              <w:rPr>
                <w:rFonts w:eastAsiaTheme="minorEastAsia"/>
                <w:lang w:val="en-US" w:eastAsia="zh-CN"/>
              </w:rPr>
            </w:pPr>
            <w:r>
              <w:rPr>
                <w:rFonts w:eastAsiaTheme="minorEastAsia"/>
                <w:lang w:val="en-US" w:eastAsia="zh-CN"/>
              </w:rPr>
              <w:t>1</w:t>
            </w:r>
          </w:p>
        </w:tc>
        <w:tc>
          <w:tcPr>
            <w:tcW w:w="1913" w:type="dxa"/>
          </w:tcPr>
          <w:p w:rsidR="00A63AF5" w:rsidRDefault="00A63AF5" w:rsidP="00163676">
            <w:pPr>
              <w:rPr>
                <w:rFonts w:eastAsiaTheme="minorEastAsia"/>
                <w:lang w:val="en-US" w:eastAsia="zh-CN"/>
              </w:rPr>
            </w:pPr>
            <w:r w:rsidRPr="00FB5E99">
              <w:rPr>
                <w:rFonts w:eastAsiaTheme="minorEastAsia"/>
                <w:highlight w:val="yellow"/>
                <w:lang w:val="en-US" w:eastAsia="zh-CN"/>
              </w:rPr>
              <w:t>2.5%</w:t>
            </w:r>
          </w:p>
        </w:tc>
      </w:tr>
    </w:tbl>
    <w:p w:rsidR="00A63AF5" w:rsidRDefault="00A63AF5" w:rsidP="004F344B">
      <w:pPr>
        <w:rPr>
          <w:rFonts w:eastAsiaTheme="minorEastAsia"/>
          <w:lang w:val="en-US" w:eastAsia="zh-CN"/>
        </w:rPr>
      </w:pPr>
    </w:p>
    <w:p w:rsidR="00FB5E99" w:rsidRDefault="00FB5E99" w:rsidP="004F344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could be observed that it is unreasonable to just scale the delay on single CC to number of slots based on absolute processing time but keep </w:t>
      </w:r>
      <w:r w:rsidR="002E1A16">
        <w:rPr>
          <w:rFonts w:eastAsiaTheme="minorEastAsia"/>
          <w:lang w:val="en-US" w:eastAsia="zh-CN"/>
        </w:rPr>
        <w:t>the delay extension for cross carrier scheduling as 1 slot with larger SCS.</w:t>
      </w:r>
    </w:p>
    <w:p w:rsidR="002E1A16" w:rsidRPr="00C355C2" w:rsidRDefault="002E1A16" w:rsidP="002E1A16">
      <w:pPr>
        <w:rPr>
          <w:rFonts w:eastAsiaTheme="minorEastAsia"/>
          <w:b/>
          <w:lang w:val="en-US" w:eastAsia="zh-CN"/>
        </w:rPr>
      </w:pPr>
      <w:r w:rsidRPr="00C355C2">
        <w:rPr>
          <w:rFonts w:eastAsiaTheme="minorEastAsia"/>
          <w:b/>
          <w:lang w:val="en-US" w:eastAsia="zh-CN"/>
        </w:rPr>
        <w:t>Observation 6: It is unreasonable to just scale the delay on single CC to number of slots based on absolute processing time but keep the delay extension for cross carrier scheduling as 1 slot with larger SCS.</w:t>
      </w:r>
      <w:r w:rsidR="00C355C2" w:rsidRPr="00C355C2">
        <w:rPr>
          <w:rFonts w:eastAsiaTheme="minorEastAsia"/>
          <w:b/>
          <w:lang w:val="en-US" w:eastAsia="zh-CN"/>
        </w:rPr>
        <w:t xml:space="preserve"> </w:t>
      </w:r>
    </w:p>
    <w:p w:rsidR="002E1A16" w:rsidRDefault="00C355C2"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hus, the most straightforward approach is to keep the delay extension same as the minimum extension of legacy FR2-1, which is the length of 1 slot of 12</w:t>
      </w:r>
      <w:r>
        <w:rPr>
          <w:rFonts w:eastAsiaTheme="minorEastAsia" w:hint="eastAsia"/>
          <w:lang w:val="en-US" w:eastAsia="zh-CN"/>
        </w:rPr>
        <w:t>0</w:t>
      </w:r>
      <w:r>
        <w:rPr>
          <w:rFonts w:eastAsiaTheme="minorEastAsia"/>
          <w:lang w:val="en-US" w:eastAsia="zh-CN"/>
        </w:rPr>
        <w:t xml:space="preserve"> KHz.</w:t>
      </w:r>
    </w:p>
    <w:p w:rsidR="00C355C2" w:rsidRPr="00C355C2" w:rsidRDefault="00C355C2" w:rsidP="00C355C2">
      <w:pPr>
        <w:rPr>
          <w:rFonts w:eastAsiaTheme="minorEastAsia"/>
          <w:b/>
          <w:lang w:val="en-US" w:eastAsia="zh-CN"/>
        </w:rPr>
      </w:pPr>
      <w:r w:rsidRPr="00C355C2">
        <w:rPr>
          <w:rFonts w:eastAsiaTheme="minorEastAsia"/>
          <w:b/>
          <w:lang w:val="en-US" w:eastAsia="zh-CN"/>
        </w:rPr>
        <w:t>Observation 7: It is reasonable to keep the delay extension same as the minimum extension of legacy FR2-1, which is the length of 1 slot of 12</w:t>
      </w:r>
      <w:r w:rsidRPr="00C355C2">
        <w:rPr>
          <w:rFonts w:eastAsiaTheme="minorEastAsia" w:hint="eastAsia"/>
          <w:b/>
          <w:lang w:val="en-US" w:eastAsia="zh-CN"/>
        </w:rPr>
        <w:t>0</w:t>
      </w:r>
      <w:r w:rsidRPr="00C355C2">
        <w:rPr>
          <w:rFonts w:eastAsiaTheme="minorEastAsia"/>
          <w:b/>
          <w:lang w:val="en-US" w:eastAsia="zh-CN"/>
        </w:rPr>
        <w:t xml:space="preserve"> KHz.</w:t>
      </w:r>
    </w:p>
    <w:p w:rsidR="00C355C2" w:rsidRDefault="00C355C2" w:rsidP="004F344B">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hus, it is proposed that if both </w:t>
      </w:r>
      <w:r w:rsidRPr="00C355C2">
        <w:rPr>
          <w:rFonts w:eastAsiaTheme="minorEastAsia"/>
          <w:lang w:val="en-US" w:eastAsia="zh-CN"/>
        </w:rPr>
        <w:t>which is the length of 1 slot of 120 KHz when both scheduling carrier and scheduled carrier are in FR2-2 for cross carrier scheduling active BWP switching.</w:t>
      </w:r>
      <w:r>
        <w:rPr>
          <w:rFonts w:eastAsiaTheme="minorEastAsia"/>
          <w:lang w:val="en-US" w:eastAsia="zh-CN"/>
        </w:rPr>
        <w:t xml:space="preserve"> The corresponding text proposals are as follows:</w:t>
      </w:r>
    </w:p>
    <w:p w:rsidR="00C355C2" w:rsidRPr="00C355C2" w:rsidRDefault="00C355C2" w:rsidP="00C355C2">
      <w:pPr>
        <w:rPr>
          <w:i/>
          <w:lang w:val="en-US" w:eastAsia="zh-CN"/>
        </w:rPr>
      </w:pPr>
      <w:r w:rsidRPr="00C355C2">
        <w:rPr>
          <w:rFonts w:eastAsiaTheme="minorEastAsia"/>
          <w:i/>
          <w:lang w:val="en-US" w:eastAsia="zh-CN"/>
        </w:rPr>
        <w:t>“</w:t>
      </w:r>
      <w:r w:rsidRPr="00C355C2">
        <w:rPr>
          <w:i/>
          <w:lang w:eastAsia="zh-CN"/>
        </w:rPr>
        <w:t xml:space="preserve">The requirements in this clause only apply to the case </w:t>
      </w:r>
      <w:r w:rsidRPr="00C355C2">
        <w:rPr>
          <w:i/>
        </w:rPr>
        <w:t xml:space="preserve">that the BWP switch is performed on a single CC with </w:t>
      </w:r>
      <w:r w:rsidRPr="00C355C2">
        <w:rPr>
          <w:i/>
          <w:lang w:eastAsia="zh-CN"/>
        </w:rPr>
        <w:t>more than one BWP configurations configured</w:t>
      </w:r>
      <w:r w:rsidRPr="00C355C2">
        <w:rPr>
          <w:i/>
        </w:rPr>
        <w:t>.</w:t>
      </w:r>
    </w:p>
    <w:p w:rsidR="00C355C2" w:rsidRPr="00C355C2" w:rsidRDefault="00C355C2" w:rsidP="00C355C2">
      <w:pPr>
        <w:rPr>
          <w:i/>
        </w:rPr>
      </w:pPr>
      <w:r w:rsidRPr="00C355C2">
        <w:rPr>
          <w:i/>
          <w:lang w:val="en-US" w:eastAsia="zh-CN"/>
        </w:rPr>
        <w:t xml:space="preserve">For DCI-based BWP switch, </w:t>
      </w:r>
      <w:r w:rsidRPr="00C355C2">
        <w:rPr>
          <w:i/>
        </w:rPr>
        <w:t xml:space="preserve">after the UE receives BWP switching request at DL slot n </w:t>
      </w:r>
      <w:r w:rsidRPr="00C355C2">
        <w:rPr>
          <w:i/>
          <w:lang w:val="en-US" w:eastAsia="zh-CN"/>
        </w:rPr>
        <w:t>on a serving cell</w:t>
      </w:r>
      <w:r w:rsidRPr="00C355C2">
        <w:rPr>
          <w:i/>
        </w:rPr>
        <w:t xml:space="preserve">, UE shall be </w:t>
      </w:r>
      <w:r w:rsidRPr="00C355C2">
        <w:rPr>
          <w:i/>
          <w:lang w:val="en-US" w:eastAsia="zh-CN"/>
        </w:rPr>
        <w:t>able to receive PDSCH (for DL active BWP switch) or transmit PUSCH (for UL active BWP switch) on the new BWP on the serving cell</w:t>
      </w:r>
      <w:r w:rsidRPr="00C355C2">
        <w:rPr>
          <w:i/>
        </w:rPr>
        <w:t xml:space="preserve"> </w:t>
      </w:r>
      <w:r w:rsidRPr="00C355C2">
        <w:rPr>
          <w:i/>
          <w:lang w:val="en-US" w:eastAsia="zh-CN"/>
        </w:rPr>
        <w:t xml:space="preserve">on which BWP switch </w:t>
      </w:r>
      <w:r w:rsidRPr="00C355C2">
        <w:rPr>
          <w:i/>
        </w:rPr>
        <w:t xml:space="preserve">on the first DL or UL slot </w:t>
      </w:r>
      <w:r w:rsidRPr="00C355C2">
        <w:rPr>
          <w:i/>
          <w:lang w:val="en-US" w:eastAsia="zh-CN"/>
        </w:rPr>
        <w:t>occurs</w:t>
      </w:r>
      <w:r w:rsidRPr="00C355C2">
        <w:rPr>
          <w:i/>
        </w:rPr>
        <w:t xml:space="preserve"> right after a time duration of </w:t>
      </w:r>
      <w:proofErr w:type="spellStart"/>
      <w:r w:rsidRPr="00C355C2">
        <w:rPr>
          <w:i/>
        </w:rPr>
        <w:t>T</w:t>
      </w:r>
      <w:r w:rsidRPr="00C355C2">
        <w:rPr>
          <w:i/>
          <w:vertAlign w:val="subscript"/>
        </w:rPr>
        <w:t>BWPswitchDelay</w:t>
      </w:r>
      <w:proofErr w:type="spellEnd"/>
      <w:r w:rsidRPr="00C355C2">
        <w:rPr>
          <w:i/>
        </w:rPr>
        <w:t xml:space="preserve"> + Y which starts from the beginning of DL slot n. Where,</w:t>
      </w:r>
    </w:p>
    <w:p w:rsidR="00C355C2" w:rsidRPr="00C355C2" w:rsidRDefault="00C355C2" w:rsidP="00C355C2">
      <w:pPr>
        <w:pStyle w:val="B1"/>
        <w:rPr>
          <w:i/>
        </w:rPr>
      </w:pPr>
      <w:r w:rsidRPr="00C355C2">
        <w:rPr>
          <w:i/>
        </w:rPr>
        <w:t>-</w:t>
      </w:r>
      <w:r w:rsidRPr="00C355C2">
        <w:rPr>
          <w:i/>
        </w:rPr>
        <w:tab/>
        <w:t>Y=0, if the serving cell where UE receives DCI for BWP switch request is same as the serving cell on which BWP switch occurs.</w:t>
      </w:r>
    </w:p>
    <w:p w:rsidR="00C355C2" w:rsidRPr="00C355C2" w:rsidRDefault="00C355C2" w:rsidP="00C355C2">
      <w:pPr>
        <w:pStyle w:val="B1"/>
        <w:rPr>
          <w:i/>
          <w:lang w:val="en-US" w:eastAsia="zh-CN"/>
        </w:rPr>
      </w:pPr>
      <w:r w:rsidRPr="00C355C2">
        <w:rPr>
          <w:i/>
        </w:rPr>
        <w:t>-</w:t>
      </w:r>
      <w:r w:rsidRPr="00C355C2">
        <w:rPr>
          <w:i/>
        </w:rPr>
        <w:tab/>
        <w:t>Y</w:t>
      </w:r>
      <w:r w:rsidRPr="00C355C2">
        <w:rPr>
          <w:i/>
          <w:lang w:val="en-US" w:eastAsia="zh-CN"/>
        </w:rPr>
        <w:t xml:space="preserve"> equals to the length of 1 slot</w:t>
      </w:r>
      <w:r w:rsidRPr="00C355C2">
        <w:rPr>
          <w:i/>
        </w:rPr>
        <w:t xml:space="preserve">, if the serving cell where UE receives DCI for BWP switch is different from the serving cell on which BWP switch occurs for any involved serving cell. In this scenario, </w:t>
      </w:r>
      <w:proofErr w:type="spellStart"/>
      <w:r w:rsidRPr="00C355C2">
        <w:rPr>
          <w:i/>
        </w:rPr>
        <w:t>T</w:t>
      </w:r>
      <w:r w:rsidRPr="00C355C2">
        <w:rPr>
          <w:i/>
          <w:vertAlign w:val="subscript"/>
        </w:rPr>
        <w:t>BWPswitchDelay</w:t>
      </w:r>
      <w:proofErr w:type="spellEnd"/>
      <w:r w:rsidRPr="00C355C2">
        <w:rPr>
          <w:i/>
        </w:rPr>
        <w:t xml:space="preserve"> + Y shall follow the smaller SCS of scheduling cell, scheduled cells before and scheduled cells after active BWP change.</w:t>
      </w:r>
      <w:r w:rsidR="00D41FE3">
        <w:rPr>
          <w:i/>
        </w:rPr>
        <w:t xml:space="preserve"> </w:t>
      </w:r>
      <w:r w:rsidR="00D41FE3" w:rsidRPr="00D41FE3">
        <w:rPr>
          <w:i/>
          <w:highlight w:val="yellow"/>
        </w:rPr>
        <w:t>If both scheduling cell and scheduled cell are in FR2-2, Y shall follow the SCS of 120KHz.</w:t>
      </w:r>
      <w:r w:rsidRPr="00C355C2">
        <w:rPr>
          <w:i/>
          <w:lang w:val="en-US" w:eastAsia="zh-CN"/>
        </w:rPr>
        <w:t>”</w:t>
      </w:r>
    </w:p>
    <w:p w:rsidR="00C355C2" w:rsidRPr="002E1A16" w:rsidRDefault="009F27C7" w:rsidP="004F344B">
      <w:pPr>
        <w:rPr>
          <w:rFonts w:eastAsiaTheme="minorEastAsia"/>
          <w:lang w:val="en-US" w:eastAsia="zh-CN"/>
        </w:rPr>
      </w:pPr>
      <w:r>
        <w:rPr>
          <w:rFonts w:eastAsiaTheme="minorEastAsia" w:hint="eastAsia"/>
          <w:lang w:val="en-US" w:eastAsia="zh-CN"/>
        </w:rPr>
        <w:t>Then</w:t>
      </w:r>
      <w:r>
        <w:rPr>
          <w:rFonts w:eastAsiaTheme="minorEastAsia"/>
          <w:lang w:val="en-US" w:eastAsia="zh-CN"/>
        </w:rPr>
        <w:t xml:space="preserve"> for instance, if the scheduling CC are scheduled CC are both with 960 KHz SCS, which is the most extreme case</w:t>
      </w:r>
      <w:r w:rsidR="009A2A15">
        <w:rPr>
          <w:rFonts w:eastAsiaTheme="minorEastAsia"/>
          <w:lang w:val="en-US" w:eastAsia="zh-CN"/>
        </w:rPr>
        <w:t xml:space="preserve">. The overall delay is </w:t>
      </w:r>
      <w:proofErr w:type="spellStart"/>
      <w:r w:rsidR="009A2A15" w:rsidRPr="009A2A15">
        <w:t>T</w:t>
      </w:r>
      <w:r w:rsidR="009A2A15" w:rsidRPr="009A2A15">
        <w:rPr>
          <w:vertAlign w:val="subscript"/>
        </w:rPr>
        <w:t>BWPswitchDelay</w:t>
      </w:r>
      <w:proofErr w:type="spellEnd"/>
      <w:r w:rsidR="009A2A15" w:rsidRPr="009A2A15">
        <w:t xml:space="preserve"> </w:t>
      </w:r>
      <w:r w:rsidR="009A2A15">
        <w:t>(39 slots of 960 KHz</w:t>
      </w:r>
      <w:proofErr w:type="gramStart"/>
      <w:r w:rsidR="009A2A15">
        <w:t>)</w:t>
      </w:r>
      <w:r w:rsidR="009A2A15" w:rsidRPr="009A2A15">
        <w:t>+</w:t>
      </w:r>
      <w:proofErr w:type="gramEnd"/>
      <w:r w:rsidR="009A2A15" w:rsidRPr="009A2A15">
        <w:t xml:space="preserve"> Y</w:t>
      </w:r>
      <w:r w:rsidR="009A2A15" w:rsidRPr="009A2A15">
        <w:rPr>
          <w:rFonts w:eastAsiaTheme="minorEastAsia" w:hint="eastAsia"/>
          <w:lang w:val="en-US" w:eastAsia="zh-CN"/>
        </w:rPr>
        <w:t>(</w:t>
      </w:r>
      <w:r w:rsidR="009A2A15">
        <w:rPr>
          <w:rFonts w:eastAsiaTheme="minorEastAsia"/>
          <w:lang w:val="en-US" w:eastAsia="zh-CN"/>
        </w:rPr>
        <w:t>1 slot of 120KHz = 8 slot of 960KHz</w:t>
      </w:r>
      <w:r w:rsidR="009A2A15" w:rsidRPr="009A2A15">
        <w:rPr>
          <w:rFonts w:eastAsiaTheme="minorEastAsia"/>
          <w:lang w:val="en-US" w:eastAsia="zh-CN"/>
        </w:rPr>
        <w:t>)</w:t>
      </w:r>
    </w:p>
    <w:p w:rsidR="00C355C2" w:rsidRDefault="009A2A15" w:rsidP="004F344B">
      <w:pPr>
        <w:rPr>
          <w:rFonts w:eastAsiaTheme="minorEastAsia"/>
          <w:b/>
          <w:lang w:val="en-US" w:eastAsia="zh-CN"/>
        </w:rPr>
      </w:pPr>
      <w:r>
        <w:rPr>
          <w:rFonts w:eastAsiaTheme="minorEastAsia"/>
          <w:b/>
          <w:lang w:val="en-US" w:eastAsia="zh-CN"/>
        </w:rPr>
        <w:t>Proposal 1: W</w:t>
      </w:r>
      <w:r w:rsidRPr="00BD0D7C">
        <w:rPr>
          <w:rFonts w:eastAsiaTheme="minorEastAsia"/>
          <w:b/>
          <w:lang w:val="en-US" w:eastAsia="zh-CN"/>
        </w:rPr>
        <w:t>hen both scheduling carrier and scheduled carrier are in FR2-2 for cross carrier scheduling active BWP switching</w:t>
      </w:r>
      <w:r>
        <w:rPr>
          <w:rFonts w:eastAsiaTheme="minorEastAsia"/>
          <w:b/>
          <w:lang w:val="en-US" w:eastAsia="zh-CN"/>
        </w:rPr>
        <w:t>, Y is the length of 1 slot of 120 KHz.</w:t>
      </w:r>
    </w:p>
    <w:p w:rsidR="004D41B5" w:rsidRDefault="00F65CEF" w:rsidP="004D41B5">
      <w:r w:rsidRPr="00F65CEF">
        <w:rPr>
          <w:rFonts w:eastAsiaTheme="minorEastAsia"/>
          <w:lang w:val="en-US" w:eastAsia="zh-CN"/>
        </w:rPr>
        <w:t>Another remaining issue</w:t>
      </w:r>
      <w:r>
        <w:rPr>
          <w:rFonts w:eastAsiaTheme="minorEastAsia"/>
          <w:lang w:val="en-US" w:eastAsia="zh-CN"/>
        </w:rPr>
        <w:t xml:space="preserve"> is whether BWP switching on multiple CCs can follow the legacy requirements. </w:t>
      </w:r>
      <w:r w:rsidR="005024A3">
        <w:rPr>
          <w:rFonts w:eastAsiaTheme="minorEastAsia"/>
          <w:lang w:val="en-US" w:eastAsia="zh-CN"/>
        </w:rPr>
        <w:t xml:space="preserve">RAN4 should check whether </w:t>
      </w:r>
      <w:r w:rsidR="005024A3" w:rsidRPr="005024A3">
        <w:rPr>
          <w:rFonts w:eastAsiaTheme="minorEastAsia"/>
          <w:lang w:val="en-US" w:eastAsia="zh-CN"/>
        </w:rPr>
        <w:t xml:space="preserve">bwp-SwitchingMultiCCs-r16 </w:t>
      </w:r>
      <w:r w:rsidR="005024A3">
        <w:rPr>
          <w:rFonts w:eastAsiaTheme="minorEastAsia"/>
          <w:lang w:val="en-US" w:eastAsia="zh-CN"/>
        </w:rPr>
        <w:t xml:space="preserve">can be directly reused in FR2-2 and whether the definition of N needs to be revisited which is related to the per-FR gap. According to the agreement in last meeting about per-FR gap that RAN4 not to define independent gap between FR2-1 and FR2-2. Thus, it seems </w:t>
      </w:r>
      <w:r w:rsidR="004D41B5" w:rsidRPr="005024A3">
        <w:rPr>
          <w:rFonts w:eastAsiaTheme="minorEastAsia"/>
          <w:lang w:val="en-US" w:eastAsia="zh-CN"/>
        </w:rPr>
        <w:t>bwp-SwitchingMultiCCs-r16</w:t>
      </w:r>
      <w:r w:rsidR="004D41B5">
        <w:rPr>
          <w:rFonts w:eastAsiaTheme="minorEastAsia"/>
          <w:lang w:val="en-US" w:eastAsia="zh-CN"/>
        </w:rPr>
        <w:t xml:space="preserve"> and</w:t>
      </w:r>
      <w:r w:rsidR="004D41B5">
        <w:rPr>
          <w:rFonts w:eastAsiaTheme="minorEastAsia" w:hint="eastAsia"/>
          <w:lang w:eastAsia="zh-CN"/>
        </w:rPr>
        <w:t xml:space="preserve"> </w:t>
      </w:r>
      <w:r w:rsidR="004D41B5">
        <w:rPr>
          <w:rFonts w:eastAsiaTheme="minorEastAsia"/>
          <w:lang w:val="en-US" w:eastAsia="zh-CN"/>
        </w:rPr>
        <w:t>N can be used in RAN2.</w:t>
      </w:r>
    </w:p>
    <w:p w:rsidR="00F65CEF" w:rsidRPr="004D41B5" w:rsidRDefault="004D41B5" w:rsidP="004F344B">
      <w:pPr>
        <w:rPr>
          <w:rFonts w:eastAsiaTheme="minorEastAsia"/>
          <w:b/>
          <w:lang w:val="en-US" w:eastAsia="zh-CN"/>
        </w:rPr>
      </w:pPr>
      <w:r w:rsidRPr="004D41B5">
        <w:rPr>
          <w:rFonts w:eastAsiaTheme="minorEastAsia"/>
          <w:b/>
          <w:lang w:val="en-US" w:eastAsia="zh-CN"/>
        </w:rPr>
        <w:t xml:space="preserve">Observation </w:t>
      </w:r>
      <w:r>
        <w:rPr>
          <w:rFonts w:eastAsiaTheme="minorEastAsia"/>
          <w:b/>
          <w:lang w:val="en-US" w:eastAsia="zh-CN"/>
        </w:rPr>
        <w:t>8</w:t>
      </w:r>
      <w:r w:rsidRPr="004D41B5">
        <w:rPr>
          <w:rFonts w:eastAsiaTheme="minorEastAsia"/>
          <w:b/>
          <w:lang w:val="en-US" w:eastAsia="zh-CN"/>
        </w:rPr>
        <w:t xml:space="preserve">: The existing requirements for BWP switching on multiple CCs apply to FR2-2. </w:t>
      </w:r>
    </w:p>
    <w:p w:rsidR="004D41B5" w:rsidRPr="00F65CEF" w:rsidRDefault="004D41B5" w:rsidP="004F344B">
      <w:pPr>
        <w:rPr>
          <w:rFonts w:eastAsiaTheme="minorEastAsia"/>
          <w:lang w:val="en-US" w:eastAsia="zh-CN"/>
        </w:rPr>
      </w:pPr>
      <w:r>
        <w:rPr>
          <w:rFonts w:eastAsiaTheme="minorEastAsia" w:hint="eastAsia"/>
          <w:lang w:val="en-US" w:eastAsia="zh-CN"/>
        </w:rPr>
        <w:t>A</w:t>
      </w:r>
      <w:r>
        <w:rPr>
          <w:rFonts w:eastAsiaTheme="minorEastAsia"/>
          <w:lang w:val="en-US" w:eastAsia="zh-CN"/>
        </w:rPr>
        <w:t>ccording to CR work split, the corresponding changes can be found in companied CR [3].</w:t>
      </w:r>
    </w:p>
    <w:p w:rsidR="00DF0231" w:rsidRDefault="00DF0231" w:rsidP="00DF0231">
      <w:pPr>
        <w:pStyle w:val="Heading1"/>
        <w:numPr>
          <w:ilvl w:val="0"/>
          <w:numId w:val="1"/>
        </w:numPr>
        <w:rPr>
          <w:lang w:val="en-US"/>
        </w:rPr>
      </w:pPr>
      <w:r w:rsidRPr="002D2977">
        <w:rPr>
          <w:lang w:val="en-US"/>
        </w:rPr>
        <w:t>Conclusions</w:t>
      </w:r>
    </w:p>
    <w:p w:rsidR="004D41B5" w:rsidRPr="006A2578" w:rsidRDefault="004D41B5" w:rsidP="004D41B5">
      <w:pPr>
        <w:rPr>
          <w:rFonts w:eastAsiaTheme="minorEastAsia"/>
          <w:b/>
          <w:lang w:val="en-US" w:eastAsia="zh-CN"/>
        </w:rPr>
      </w:pPr>
      <w:r w:rsidRPr="006A2578">
        <w:rPr>
          <w:rFonts w:eastAsiaTheme="minorEastAsia"/>
          <w:b/>
          <w:lang w:val="en-US" w:eastAsia="zh-CN"/>
        </w:rPr>
        <w:t>Observation 1: In legacy requirements the DL slot n is the slot where UE receives BWP switching request.</w:t>
      </w:r>
    </w:p>
    <w:p w:rsidR="004D41B5" w:rsidRPr="00E15627" w:rsidRDefault="004D41B5" w:rsidP="004D41B5">
      <w:pPr>
        <w:rPr>
          <w:rFonts w:eastAsiaTheme="minorEastAsia"/>
          <w:b/>
          <w:lang w:val="en-US" w:eastAsia="zh-CN"/>
        </w:rPr>
      </w:pPr>
      <w:r w:rsidRPr="00E15627">
        <w:rPr>
          <w:rFonts w:eastAsiaTheme="minorEastAsia"/>
          <w:b/>
          <w:lang w:val="en-US" w:eastAsia="zh-CN"/>
        </w:rPr>
        <w:t>Observation 2: The question is to evaluate whether additional 1 slot can cover all time needed including MRTD, cross carrier scheduling processing time and PDCCH decoding.</w:t>
      </w:r>
    </w:p>
    <w:p w:rsidR="004D41B5" w:rsidRPr="00E15627" w:rsidRDefault="004D41B5" w:rsidP="004D41B5">
      <w:pPr>
        <w:rPr>
          <w:rFonts w:eastAsiaTheme="minorEastAsia"/>
          <w:b/>
          <w:lang w:val="en-US" w:eastAsia="zh-CN"/>
        </w:rPr>
      </w:pPr>
      <w:r w:rsidRPr="00E15627">
        <w:rPr>
          <w:rFonts w:eastAsiaTheme="minorEastAsia"/>
          <w:b/>
          <w:lang w:val="en-US" w:eastAsia="zh-CN"/>
        </w:rPr>
        <w:t xml:space="preserve">Observation 3: RAN4 should evaluate whether the additional Y slot is sufficient to cover all time needed for cross carrier scheduled BWP switching in instead of redesigning the framework of BWP switching requirements. </w:t>
      </w:r>
    </w:p>
    <w:p w:rsidR="004D41B5" w:rsidRPr="0065271F" w:rsidRDefault="004D41B5" w:rsidP="004D41B5">
      <w:pPr>
        <w:rPr>
          <w:rFonts w:eastAsiaTheme="minorEastAsia"/>
          <w:b/>
          <w:lang w:val="en-US" w:eastAsia="zh-CN"/>
        </w:rPr>
      </w:pPr>
      <w:r w:rsidRPr="0065271F">
        <w:rPr>
          <w:rFonts w:eastAsiaTheme="minorEastAsia"/>
          <w:b/>
          <w:lang w:val="en-US" w:eastAsia="zh-CN"/>
        </w:rPr>
        <w:t>Observation 4: MRTD is not the only factor which contributes to the extra delay of cross carrier scheduling BWP switching. The additional 1 slot considers the SCS difference between Scheduled and Scheduling CC and the SCS difference before and after BWP switching.</w:t>
      </w:r>
    </w:p>
    <w:p w:rsidR="004D41B5" w:rsidRDefault="004D41B5" w:rsidP="004D41B5">
      <w:pPr>
        <w:rPr>
          <w:rFonts w:eastAsiaTheme="minorEastAsia"/>
          <w:b/>
          <w:lang w:val="en-US" w:eastAsia="zh-CN"/>
        </w:rPr>
      </w:pPr>
      <w:r w:rsidRPr="00A57A22">
        <w:rPr>
          <w:rFonts w:eastAsiaTheme="minorEastAsia"/>
          <w:b/>
          <w:lang w:val="en-US" w:eastAsia="zh-CN"/>
        </w:rPr>
        <w:t>Observation 5: The minimum delay extension for legacy FR2-1 cross carrier scheduling BWP switching is 1 slot of 120 KHz when both Scheduling CC and scheduled CC are 120 KHz without SCS change.</w:t>
      </w:r>
    </w:p>
    <w:p w:rsidR="004D41B5" w:rsidRPr="00C355C2" w:rsidRDefault="004D41B5" w:rsidP="004D41B5">
      <w:pPr>
        <w:rPr>
          <w:rFonts w:eastAsiaTheme="minorEastAsia"/>
          <w:b/>
          <w:lang w:val="en-US" w:eastAsia="zh-CN"/>
        </w:rPr>
      </w:pPr>
      <w:r w:rsidRPr="00C355C2">
        <w:rPr>
          <w:rFonts w:eastAsiaTheme="minorEastAsia"/>
          <w:b/>
          <w:lang w:val="en-US" w:eastAsia="zh-CN"/>
        </w:rPr>
        <w:t xml:space="preserve">Observation 6: It is unreasonable to just scale the delay on single CC to number of slots based on absolute processing time but keep the delay extension for cross carrier scheduling as 1 slot with larger SCS. </w:t>
      </w:r>
    </w:p>
    <w:p w:rsidR="004D41B5" w:rsidRPr="00C355C2" w:rsidRDefault="004D41B5" w:rsidP="004D41B5">
      <w:pPr>
        <w:rPr>
          <w:rFonts w:eastAsiaTheme="minorEastAsia"/>
          <w:b/>
          <w:lang w:val="en-US" w:eastAsia="zh-CN"/>
        </w:rPr>
      </w:pPr>
      <w:r w:rsidRPr="00C355C2">
        <w:rPr>
          <w:rFonts w:eastAsiaTheme="minorEastAsia"/>
          <w:b/>
          <w:lang w:val="en-US" w:eastAsia="zh-CN"/>
        </w:rPr>
        <w:t>Observation 7: It is reasonable to keep the delay extension same as the minimum extension of legacy FR2-1, which is the length of 1 slot of 12</w:t>
      </w:r>
      <w:r w:rsidRPr="00C355C2">
        <w:rPr>
          <w:rFonts w:eastAsiaTheme="minorEastAsia" w:hint="eastAsia"/>
          <w:b/>
          <w:lang w:val="en-US" w:eastAsia="zh-CN"/>
        </w:rPr>
        <w:t>0</w:t>
      </w:r>
      <w:r w:rsidRPr="00C355C2">
        <w:rPr>
          <w:rFonts w:eastAsiaTheme="minorEastAsia"/>
          <w:b/>
          <w:lang w:val="en-US" w:eastAsia="zh-CN"/>
        </w:rPr>
        <w:t xml:space="preserve"> KHz.</w:t>
      </w:r>
    </w:p>
    <w:p w:rsidR="004D41B5" w:rsidRDefault="004D41B5" w:rsidP="004D41B5">
      <w:pPr>
        <w:rPr>
          <w:rFonts w:eastAsiaTheme="minorEastAsia"/>
          <w:b/>
          <w:lang w:val="en-US" w:eastAsia="zh-CN"/>
        </w:rPr>
      </w:pPr>
      <w:r>
        <w:rPr>
          <w:rFonts w:eastAsiaTheme="minorEastAsia"/>
          <w:b/>
          <w:lang w:val="en-US" w:eastAsia="zh-CN"/>
        </w:rPr>
        <w:t>Proposal 1: W</w:t>
      </w:r>
      <w:r w:rsidRPr="00BD0D7C">
        <w:rPr>
          <w:rFonts w:eastAsiaTheme="minorEastAsia"/>
          <w:b/>
          <w:lang w:val="en-US" w:eastAsia="zh-CN"/>
        </w:rPr>
        <w:t>hen both scheduling carrier and scheduled carrier are in FR2-2 for cross carrier scheduling active BWP switching</w:t>
      </w:r>
      <w:r>
        <w:rPr>
          <w:rFonts w:eastAsiaTheme="minorEastAsia"/>
          <w:b/>
          <w:lang w:val="en-US" w:eastAsia="zh-CN"/>
        </w:rPr>
        <w:t>, Y is the length of 1 slot of 120 KHz.</w:t>
      </w:r>
    </w:p>
    <w:p w:rsidR="004D41B5" w:rsidRPr="004D41B5" w:rsidRDefault="004D41B5" w:rsidP="004D41B5">
      <w:pPr>
        <w:rPr>
          <w:rFonts w:eastAsiaTheme="minorEastAsia"/>
          <w:b/>
          <w:lang w:val="en-US" w:eastAsia="zh-CN"/>
        </w:rPr>
      </w:pPr>
      <w:r w:rsidRPr="004D41B5">
        <w:rPr>
          <w:rFonts w:eastAsiaTheme="minorEastAsia"/>
          <w:b/>
          <w:lang w:val="en-US" w:eastAsia="zh-CN"/>
        </w:rPr>
        <w:t xml:space="preserve">Observation </w:t>
      </w:r>
      <w:r>
        <w:rPr>
          <w:rFonts w:eastAsiaTheme="minorEastAsia"/>
          <w:b/>
          <w:lang w:val="en-US" w:eastAsia="zh-CN"/>
        </w:rPr>
        <w:t>8</w:t>
      </w:r>
      <w:r w:rsidRPr="004D41B5">
        <w:rPr>
          <w:rFonts w:eastAsiaTheme="minorEastAsia"/>
          <w:b/>
          <w:lang w:val="en-US" w:eastAsia="zh-CN"/>
        </w:rPr>
        <w:t xml:space="preserve">: The existing requirements for BWP switching on multiple CCs apply to FR2-2. </w:t>
      </w:r>
    </w:p>
    <w:p w:rsidR="009A2A15" w:rsidRPr="004D41B5" w:rsidRDefault="009A2A15"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r>
        <w:rPr>
          <w:lang w:val="en-US"/>
        </w:rPr>
        <w:t xml:space="preserve">[1] </w:t>
      </w:r>
      <w:r w:rsidR="00FF0FC0" w:rsidRPr="00FF0FC0">
        <w:t>R4-2120317</w:t>
      </w:r>
      <w:r>
        <w:rPr>
          <w:lang w:val="en-US"/>
        </w:rPr>
        <w:t xml:space="preserve"> </w:t>
      </w:r>
      <w:r w:rsidR="006014ED" w:rsidRPr="006014ED">
        <w:t>WF on NR extension to 71 GHz – RRM - Part 2</w:t>
      </w:r>
      <w:r>
        <w:rPr>
          <w:lang w:val="en-US"/>
        </w:rPr>
        <w:t xml:space="preserve">, </w:t>
      </w:r>
      <w:r w:rsidR="006014ED" w:rsidRPr="006014ED">
        <w:t>Intel Corporation</w:t>
      </w:r>
    </w:p>
    <w:p w:rsidR="00B84E08" w:rsidRDefault="00B84E08" w:rsidP="00B84E08">
      <w:pPr>
        <w:widowControl w:val="0"/>
        <w:overflowPunct w:val="0"/>
        <w:autoSpaceDE w:val="0"/>
        <w:autoSpaceDN w:val="0"/>
        <w:adjustRightInd w:val="0"/>
        <w:spacing w:before="120" w:after="120"/>
        <w:jc w:val="both"/>
        <w:rPr>
          <w:lang w:val="en-US"/>
        </w:rPr>
      </w:pPr>
      <w:r w:rsidRPr="00B84E08">
        <w:rPr>
          <w:rFonts w:hint="eastAsia"/>
          <w:lang w:val="en-US"/>
        </w:rPr>
        <w:t>[</w:t>
      </w:r>
      <w:r w:rsidRPr="00B84E08">
        <w:rPr>
          <w:lang w:val="en-US"/>
        </w:rPr>
        <w:t>2</w:t>
      </w:r>
      <w:r w:rsidRPr="00B84E08">
        <w:rPr>
          <w:rFonts w:hint="eastAsia"/>
          <w:lang w:val="en-US"/>
        </w:rPr>
        <w:t>]</w:t>
      </w:r>
      <w:r w:rsidRPr="00B84E08">
        <w:rPr>
          <w:lang w:val="en-US"/>
        </w:rPr>
        <w:t xml:space="preserve"> R4-2120371, Email discussion summary for [101-e</w:t>
      </w:r>
      <w:proofErr w:type="gramStart"/>
      <w:r w:rsidRPr="00B84E08">
        <w:rPr>
          <w:lang w:val="en-US"/>
        </w:rPr>
        <w:t>][</w:t>
      </w:r>
      <w:proofErr w:type="gramEnd"/>
      <w:r w:rsidRPr="00B84E08">
        <w:rPr>
          <w:lang w:val="en-US"/>
        </w:rPr>
        <w:t>229] NR_ext_to_71GHz_RRM_2, Intel, RAN4 #101-e, November 01-12, 2021</w:t>
      </w:r>
    </w:p>
    <w:p w:rsidR="004D41B5" w:rsidRPr="00B84E08" w:rsidRDefault="004D41B5" w:rsidP="00B84E08">
      <w:pPr>
        <w:widowControl w:val="0"/>
        <w:overflowPunct w:val="0"/>
        <w:autoSpaceDE w:val="0"/>
        <w:autoSpaceDN w:val="0"/>
        <w:adjustRightInd w:val="0"/>
        <w:spacing w:before="120" w:after="120"/>
        <w:jc w:val="both"/>
        <w:rPr>
          <w:lang w:val="en-US"/>
        </w:rPr>
      </w:pPr>
      <w:bookmarkStart w:id="1" w:name="_GoBack"/>
      <w:bookmarkEnd w:id="1"/>
      <w:r w:rsidRPr="0025064E">
        <w:rPr>
          <w:lang w:val="en-US"/>
        </w:rPr>
        <w:t xml:space="preserve">[3] </w:t>
      </w:r>
      <w:r w:rsidR="0025064E" w:rsidRPr="0025064E">
        <w:rPr>
          <w:lang w:val="en-US"/>
        </w:rPr>
        <w:t>R4-2201198</w:t>
      </w:r>
    </w:p>
    <w:p w:rsidR="00637A49" w:rsidRPr="00B84E08" w:rsidRDefault="00637A49"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7CD" w:rsidRDefault="008A67CD">
      <w:pPr>
        <w:spacing w:after="0"/>
      </w:pPr>
      <w:r>
        <w:separator/>
      </w:r>
    </w:p>
  </w:endnote>
  <w:endnote w:type="continuationSeparator" w:id="0">
    <w:p w:rsidR="008A67CD" w:rsidRDefault="008A67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CEF" w:rsidRDefault="00F65C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65CEF" w:rsidRDefault="00F65C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CEF" w:rsidRDefault="00F65C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064E">
      <w:rPr>
        <w:rStyle w:val="PageNumber"/>
      </w:rPr>
      <w:t>6</w:t>
    </w:r>
    <w:r>
      <w:rPr>
        <w:rStyle w:val="PageNumber"/>
      </w:rPr>
      <w:fldChar w:fldCharType="end"/>
    </w:r>
  </w:p>
  <w:p w:rsidR="00F65CEF" w:rsidRDefault="00F65CE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7CD" w:rsidRDefault="008A67CD">
      <w:pPr>
        <w:spacing w:after="0"/>
      </w:pPr>
      <w:r>
        <w:separator/>
      </w:r>
    </w:p>
  </w:footnote>
  <w:footnote w:type="continuationSeparator" w:id="0">
    <w:p w:rsidR="008A67CD" w:rsidRDefault="008A67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5"/>
  </w:num>
  <w:num w:numId="4">
    <w:abstractNumId w:val="24"/>
  </w:num>
  <w:num w:numId="5">
    <w:abstractNumId w:val="0"/>
  </w:num>
  <w:num w:numId="6">
    <w:abstractNumId w:val="10"/>
  </w:num>
  <w:num w:numId="7">
    <w:abstractNumId w:val="3"/>
  </w:num>
  <w:num w:numId="8">
    <w:abstractNumId w:val="15"/>
  </w:num>
  <w:num w:numId="9">
    <w:abstractNumId w:val="18"/>
  </w:num>
  <w:num w:numId="10">
    <w:abstractNumId w:val="11"/>
  </w:num>
  <w:num w:numId="11">
    <w:abstractNumId w:val="12"/>
  </w:num>
  <w:num w:numId="12">
    <w:abstractNumId w:val="2"/>
  </w:num>
  <w:num w:numId="13">
    <w:abstractNumId w:val="6"/>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2"/>
  </w:num>
  <w:num w:numId="17">
    <w:abstractNumId w:val="21"/>
  </w:num>
  <w:num w:numId="18">
    <w:abstractNumId w:val="8"/>
  </w:num>
  <w:num w:numId="19">
    <w:abstractNumId w:val="1"/>
  </w:num>
  <w:num w:numId="20">
    <w:abstractNumId w:val="7"/>
  </w:num>
  <w:num w:numId="21">
    <w:abstractNumId w:val="19"/>
  </w:num>
  <w:num w:numId="22">
    <w:abstractNumId w:val="14"/>
  </w:num>
  <w:num w:numId="23">
    <w:abstractNumId w:val="13"/>
  </w:num>
  <w:num w:numId="24">
    <w:abstractNumId w:val="16"/>
  </w:num>
  <w:num w:numId="25">
    <w:abstractNumId w:val="17"/>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40779"/>
    <w:rsid w:val="0004356B"/>
    <w:rsid w:val="0004558E"/>
    <w:rsid w:val="00055B5D"/>
    <w:rsid w:val="00063E08"/>
    <w:rsid w:val="000676A1"/>
    <w:rsid w:val="00067A48"/>
    <w:rsid w:val="00067B89"/>
    <w:rsid w:val="00076C0A"/>
    <w:rsid w:val="00086874"/>
    <w:rsid w:val="00087858"/>
    <w:rsid w:val="000903D2"/>
    <w:rsid w:val="0009093B"/>
    <w:rsid w:val="0009417C"/>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F04C6"/>
    <w:rsid w:val="000F7DE7"/>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531EC"/>
    <w:rsid w:val="00161981"/>
    <w:rsid w:val="00163676"/>
    <w:rsid w:val="001734E7"/>
    <w:rsid w:val="00175B04"/>
    <w:rsid w:val="0017747E"/>
    <w:rsid w:val="0018314E"/>
    <w:rsid w:val="00184719"/>
    <w:rsid w:val="00191CDD"/>
    <w:rsid w:val="00197964"/>
    <w:rsid w:val="001A0A8D"/>
    <w:rsid w:val="001A1E7C"/>
    <w:rsid w:val="001B3F70"/>
    <w:rsid w:val="001B7A22"/>
    <w:rsid w:val="001C4240"/>
    <w:rsid w:val="001C5D98"/>
    <w:rsid w:val="001D3006"/>
    <w:rsid w:val="001E7174"/>
    <w:rsid w:val="0020033A"/>
    <w:rsid w:val="00216AAB"/>
    <w:rsid w:val="00217770"/>
    <w:rsid w:val="002204E2"/>
    <w:rsid w:val="002221AC"/>
    <w:rsid w:val="00222A85"/>
    <w:rsid w:val="00222AF7"/>
    <w:rsid w:val="00232120"/>
    <w:rsid w:val="002328DD"/>
    <w:rsid w:val="00234AA1"/>
    <w:rsid w:val="00243552"/>
    <w:rsid w:val="00243BFC"/>
    <w:rsid w:val="00245810"/>
    <w:rsid w:val="0025064E"/>
    <w:rsid w:val="00254F38"/>
    <w:rsid w:val="00267D3F"/>
    <w:rsid w:val="00272F1F"/>
    <w:rsid w:val="0027365E"/>
    <w:rsid w:val="002736F0"/>
    <w:rsid w:val="00282D3C"/>
    <w:rsid w:val="00294B79"/>
    <w:rsid w:val="002A235C"/>
    <w:rsid w:val="002A2EF8"/>
    <w:rsid w:val="002A5E54"/>
    <w:rsid w:val="002B45C3"/>
    <w:rsid w:val="002E1A16"/>
    <w:rsid w:val="002E3A74"/>
    <w:rsid w:val="002E668C"/>
    <w:rsid w:val="002F00F2"/>
    <w:rsid w:val="002F579F"/>
    <w:rsid w:val="002F614E"/>
    <w:rsid w:val="00311CF9"/>
    <w:rsid w:val="003158EC"/>
    <w:rsid w:val="00321181"/>
    <w:rsid w:val="00323702"/>
    <w:rsid w:val="00324625"/>
    <w:rsid w:val="003356E3"/>
    <w:rsid w:val="00336939"/>
    <w:rsid w:val="003422A4"/>
    <w:rsid w:val="00352697"/>
    <w:rsid w:val="00356A6B"/>
    <w:rsid w:val="00356FB6"/>
    <w:rsid w:val="003622B2"/>
    <w:rsid w:val="00362F43"/>
    <w:rsid w:val="003660DE"/>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5D65"/>
    <w:rsid w:val="00435EBD"/>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41B5"/>
    <w:rsid w:val="004D5EAE"/>
    <w:rsid w:val="004E3732"/>
    <w:rsid w:val="004E5D51"/>
    <w:rsid w:val="004F0167"/>
    <w:rsid w:val="004F344B"/>
    <w:rsid w:val="005024A3"/>
    <w:rsid w:val="00502991"/>
    <w:rsid w:val="00514A5F"/>
    <w:rsid w:val="0052002B"/>
    <w:rsid w:val="005235DB"/>
    <w:rsid w:val="00527DD4"/>
    <w:rsid w:val="00530EB0"/>
    <w:rsid w:val="00533C4E"/>
    <w:rsid w:val="005375AA"/>
    <w:rsid w:val="005409B9"/>
    <w:rsid w:val="00545EC2"/>
    <w:rsid w:val="005471BF"/>
    <w:rsid w:val="0054734A"/>
    <w:rsid w:val="005546D8"/>
    <w:rsid w:val="00557527"/>
    <w:rsid w:val="00561038"/>
    <w:rsid w:val="005755A4"/>
    <w:rsid w:val="005763DF"/>
    <w:rsid w:val="00582652"/>
    <w:rsid w:val="005906DB"/>
    <w:rsid w:val="005A2C70"/>
    <w:rsid w:val="005A456B"/>
    <w:rsid w:val="005B0D68"/>
    <w:rsid w:val="005B6053"/>
    <w:rsid w:val="005C337F"/>
    <w:rsid w:val="005D15A2"/>
    <w:rsid w:val="005D231A"/>
    <w:rsid w:val="005D3DC0"/>
    <w:rsid w:val="005D6BEF"/>
    <w:rsid w:val="005E29AA"/>
    <w:rsid w:val="005E4CCD"/>
    <w:rsid w:val="005F5231"/>
    <w:rsid w:val="006014ED"/>
    <w:rsid w:val="00604490"/>
    <w:rsid w:val="0060650F"/>
    <w:rsid w:val="00607CE8"/>
    <w:rsid w:val="0061679F"/>
    <w:rsid w:val="00625728"/>
    <w:rsid w:val="00637A49"/>
    <w:rsid w:val="0065271F"/>
    <w:rsid w:val="0065634B"/>
    <w:rsid w:val="0066186B"/>
    <w:rsid w:val="00672FCE"/>
    <w:rsid w:val="00681F59"/>
    <w:rsid w:val="006901CA"/>
    <w:rsid w:val="006A2578"/>
    <w:rsid w:val="006A68E5"/>
    <w:rsid w:val="006A7936"/>
    <w:rsid w:val="006A7B70"/>
    <w:rsid w:val="006B4C5F"/>
    <w:rsid w:val="006C3D21"/>
    <w:rsid w:val="006C4BDB"/>
    <w:rsid w:val="006D43CD"/>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4945"/>
    <w:rsid w:val="00814B83"/>
    <w:rsid w:val="00821B76"/>
    <w:rsid w:val="00821F79"/>
    <w:rsid w:val="00831A22"/>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468"/>
    <w:rsid w:val="00893C66"/>
    <w:rsid w:val="008A1C4E"/>
    <w:rsid w:val="008A2B76"/>
    <w:rsid w:val="008A4FA1"/>
    <w:rsid w:val="008A67CD"/>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67CF"/>
    <w:rsid w:val="00904C87"/>
    <w:rsid w:val="009118FA"/>
    <w:rsid w:val="00914A03"/>
    <w:rsid w:val="00915DEA"/>
    <w:rsid w:val="0092386A"/>
    <w:rsid w:val="00923CC3"/>
    <w:rsid w:val="00931830"/>
    <w:rsid w:val="009333B5"/>
    <w:rsid w:val="009450D8"/>
    <w:rsid w:val="00945A44"/>
    <w:rsid w:val="009524AD"/>
    <w:rsid w:val="00957098"/>
    <w:rsid w:val="009708D0"/>
    <w:rsid w:val="00972D26"/>
    <w:rsid w:val="00973C4C"/>
    <w:rsid w:val="009814D6"/>
    <w:rsid w:val="0099102E"/>
    <w:rsid w:val="009968CF"/>
    <w:rsid w:val="009A2A15"/>
    <w:rsid w:val="009A5118"/>
    <w:rsid w:val="009B7C4C"/>
    <w:rsid w:val="009C4E39"/>
    <w:rsid w:val="009C5BBA"/>
    <w:rsid w:val="009C6CB9"/>
    <w:rsid w:val="009C6FD7"/>
    <w:rsid w:val="009C7D5E"/>
    <w:rsid w:val="009D03C6"/>
    <w:rsid w:val="009D1A47"/>
    <w:rsid w:val="009D2942"/>
    <w:rsid w:val="009D325A"/>
    <w:rsid w:val="009D4189"/>
    <w:rsid w:val="009D75DF"/>
    <w:rsid w:val="009E6763"/>
    <w:rsid w:val="009E6DC8"/>
    <w:rsid w:val="009F27C7"/>
    <w:rsid w:val="009F7F10"/>
    <w:rsid w:val="00A0093B"/>
    <w:rsid w:val="00A1597D"/>
    <w:rsid w:val="00A22790"/>
    <w:rsid w:val="00A26AB0"/>
    <w:rsid w:val="00A34913"/>
    <w:rsid w:val="00A35F07"/>
    <w:rsid w:val="00A36D03"/>
    <w:rsid w:val="00A42E3A"/>
    <w:rsid w:val="00A57A22"/>
    <w:rsid w:val="00A63AF5"/>
    <w:rsid w:val="00A657C7"/>
    <w:rsid w:val="00A7739E"/>
    <w:rsid w:val="00A848D0"/>
    <w:rsid w:val="00A87084"/>
    <w:rsid w:val="00A93E0D"/>
    <w:rsid w:val="00AC2317"/>
    <w:rsid w:val="00AC2C97"/>
    <w:rsid w:val="00AC2CD4"/>
    <w:rsid w:val="00AC7A7B"/>
    <w:rsid w:val="00AC7DF5"/>
    <w:rsid w:val="00AD65F4"/>
    <w:rsid w:val="00AD69AA"/>
    <w:rsid w:val="00AE1773"/>
    <w:rsid w:val="00AE3383"/>
    <w:rsid w:val="00AE384C"/>
    <w:rsid w:val="00AE67DF"/>
    <w:rsid w:val="00AE6BE0"/>
    <w:rsid w:val="00AF02CB"/>
    <w:rsid w:val="00AF0930"/>
    <w:rsid w:val="00AF5966"/>
    <w:rsid w:val="00B00B79"/>
    <w:rsid w:val="00B02A13"/>
    <w:rsid w:val="00B07979"/>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4E08"/>
    <w:rsid w:val="00B87A6F"/>
    <w:rsid w:val="00BA4C0A"/>
    <w:rsid w:val="00BA5DCF"/>
    <w:rsid w:val="00BB2A32"/>
    <w:rsid w:val="00BB6484"/>
    <w:rsid w:val="00BB7A6F"/>
    <w:rsid w:val="00BC24F8"/>
    <w:rsid w:val="00BC3920"/>
    <w:rsid w:val="00BC47AB"/>
    <w:rsid w:val="00BD0D7C"/>
    <w:rsid w:val="00BD2AB1"/>
    <w:rsid w:val="00BE09C1"/>
    <w:rsid w:val="00BE194F"/>
    <w:rsid w:val="00BE1FD4"/>
    <w:rsid w:val="00BE677A"/>
    <w:rsid w:val="00BE6A2E"/>
    <w:rsid w:val="00BF00A7"/>
    <w:rsid w:val="00BF33D9"/>
    <w:rsid w:val="00C075BD"/>
    <w:rsid w:val="00C11B10"/>
    <w:rsid w:val="00C15E40"/>
    <w:rsid w:val="00C338CA"/>
    <w:rsid w:val="00C355C2"/>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DFC"/>
    <w:rsid w:val="00CF2856"/>
    <w:rsid w:val="00CF5CE7"/>
    <w:rsid w:val="00CF5EF5"/>
    <w:rsid w:val="00CF7481"/>
    <w:rsid w:val="00CF7EE3"/>
    <w:rsid w:val="00D13FC8"/>
    <w:rsid w:val="00D3442D"/>
    <w:rsid w:val="00D34F1B"/>
    <w:rsid w:val="00D36F4F"/>
    <w:rsid w:val="00D41D2D"/>
    <w:rsid w:val="00D41FE3"/>
    <w:rsid w:val="00D463A3"/>
    <w:rsid w:val="00D51833"/>
    <w:rsid w:val="00D548A9"/>
    <w:rsid w:val="00D57BE5"/>
    <w:rsid w:val="00D67ABE"/>
    <w:rsid w:val="00D73373"/>
    <w:rsid w:val="00D828E1"/>
    <w:rsid w:val="00D8441F"/>
    <w:rsid w:val="00D94E39"/>
    <w:rsid w:val="00D9789C"/>
    <w:rsid w:val="00DB10D2"/>
    <w:rsid w:val="00DB1DD4"/>
    <w:rsid w:val="00DB61B3"/>
    <w:rsid w:val="00DD0915"/>
    <w:rsid w:val="00DD1DFF"/>
    <w:rsid w:val="00DE3896"/>
    <w:rsid w:val="00DF0231"/>
    <w:rsid w:val="00DF6E96"/>
    <w:rsid w:val="00E04C43"/>
    <w:rsid w:val="00E11FA9"/>
    <w:rsid w:val="00E13E91"/>
    <w:rsid w:val="00E15627"/>
    <w:rsid w:val="00E16040"/>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65CEF"/>
    <w:rsid w:val="00F76B81"/>
    <w:rsid w:val="00F94748"/>
    <w:rsid w:val="00FA4943"/>
    <w:rsid w:val="00FB5E99"/>
    <w:rsid w:val="00FB6BD9"/>
    <w:rsid w:val="00FC0544"/>
    <w:rsid w:val="00FC0F9D"/>
    <w:rsid w:val="00FC3492"/>
    <w:rsid w:val="00FD518E"/>
    <w:rsid w:val="00FE1A35"/>
    <w:rsid w:val="00FE736A"/>
    <w:rsid w:val="00FF02AA"/>
    <w:rsid w:val="00FF0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9492683">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0151112">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77527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596598">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8FB74-60F1-4B4A-995E-9BFD512DE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11811</TotalTime>
  <Pages>6</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192</cp:revision>
  <dcterms:created xsi:type="dcterms:W3CDTF">2019-09-18T02:52:00Z</dcterms:created>
  <dcterms:modified xsi:type="dcterms:W3CDTF">2022-01-10T13:42:00Z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(3)Gx9PhR5luX1yjXqkTBjf+76r5YSAIBA4CSfDcmFUmMR1dV9gp2/qESa7pT/nBIE6jeCsLd0E
okkw2yMKZGns5mb3M+19MQDGYBSCeLedE3avQQT6L2EEbfCl0jnMorgaZ+bdqnCL2h0ytJ8P
WuJknA7Oo8SMIm8v7b5RilUOs7jRmEztNRQKc4s7ODKY1sKbkapNk85+7bnsBQB0c+HRGQpt
6yJ3WngzeixvLyyh8D</vt:lpwstr>
  </property>
  <property fmtid="{D5CDD505-2E9C-101B-9397-08002B2CF9AE}" pid="3" name="_2015_ms_pID_7253431">
    <vt:lpwstr>3YCvEH6846999Kl3O3NDbADfddpWWx7PMsj3/WDyCaOCyYDB+jjqnK
gvAnITk3nY5YAfXm+qT397GTzoO8rgOyWMey7Yz6+zIq1U4rivovrXf99D1q6SciB7c9SxUW
0ggvOXQgQq8bKZXj4860WPqlK+ylG0B/UlF3NskvwTrad2oH7zBh8s40Nazd4pyqfcyAEvEy
Tbcoc1yC/FPLvYayGKcmt9PDUCro7h0yXM5u</vt:lpwstr>
  </property>
  <property fmtid="{D5CDD505-2E9C-101B-9397-08002B2CF9AE}" pid="4" name="_2015_ms_pID_7253432">
    <vt:lpwstr>jQgvqvZjNojuq0boJ8hm6EA=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