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593C0E42"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1C282D">
        <w:rPr>
          <w:rFonts w:ascii="Arial" w:hAnsi="Arial" w:cs="Arial"/>
          <w:sz w:val="24"/>
          <w:szCs w:val="24"/>
        </w:rPr>
        <w:t>1</w:t>
      </w:r>
      <w:r w:rsidR="00DE60FC">
        <w:rPr>
          <w:rFonts w:ascii="Arial" w:hAnsi="Arial" w:cs="Arial"/>
          <w:sz w:val="24"/>
          <w:szCs w:val="24"/>
        </w:rPr>
        <w:t>-</w:t>
      </w:r>
      <w:r w:rsidR="00913C76">
        <w:rPr>
          <w:rFonts w:ascii="Arial" w:hAnsi="Arial" w:cs="Arial"/>
          <w:sz w:val="24"/>
          <w:szCs w:val="24"/>
        </w:rPr>
        <w:t>bis-</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72ECB">
        <w:rPr>
          <w:rFonts w:ascii="Arial" w:hAnsi="Arial" w:cs="Arial"/>
          <w:sz w:val="24"/>
          <w:szCs w:val="24"/>
        </w:rPr>
        <w:t>200995</w:t>
      </w:r>
      <w:bookmarkStart w:id="4" w:name="_GoBack"/>
      <w:bookmarkEnd w:id="4"/>
    </w:p>
    <w:p w14:paraId="1F48B862" w14:textId="09E1B721"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E22344">
        <w:rPr>
          <w:rFonts w:ascii="Arial" w:hAnsi="Arial" w:cs="Arial"/>
          <w:sz w:val="24"/>
          <w:szCs w:val="24"/>
        </w:rPr>
        <w:t>Jan.17-25,2022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5E477220"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57371E" w:rsidRPr="0057371E">
        <w:rPr>
          <w:rFonts w:ascii="Arial" w:hAnsi="Arial" w:cs="Arial"/>
          <w:sz w:val="24"/>
          <w:lang w:val="en-US"/>
        </w:rPr>
        <w:t>Discussion on UE demodulation requirements for additional enhancements of NB-I</w:t>
      </w:r>
      <w:r w:rsidR="00852997">
        <w:rPr>
          <w:rFonts w:ascii="Arial" w:hAnsi="Arial" w:cs="Arial"/>
          <w:sz w:val="24"/>
          <w:lang w:val="en-US"/>
        </w:rPr>
        <w:t>O</w:t>
      </w:r>
      <w:r w:rsidR="0057371E" w:rsidRPr="0057371E">
        <w:rPr>
          <w:rFonts w:ascii="Arial" w:hAnsi="Arial" w:cs="Arial"/>
          <w:sz w:val="24"/>
          <w:lang w:val="en-US"/>
        </w:rPr>
        <w:t>T</w:t>
      </w:r>
      <w:r w:rsidR="00B54738">
        <w:rPr>
          <w:rFonts w:ascii="Arial" w:hAnsi="Arial" w:cs="Arial"/>
          <w:sz w:val="24"/>
          <w:lang w:val="en-US"/>
        </w:rPr>
        <w:t xml:space="preserve">. </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5B1B2676"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57371E">
        <w:rPr>
          <w:rFonts w:ascii="Arial" w:hAnsi="Arial" w:cs="Arial"/>
          <w:sz w:val="24"/>
          <w:lang w:val="pt-BR"/>
        </w:rPr>
        <w:t>8.9.6.2.1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664D2B9A" w:rsidR="00C452C0" w:rsidRPr="006A1B31" w:rsidRDefault="00B54738" w:rsidP="00E022EF">
      <w:pPr>
        <w:spacing w:after="0"/>
        <w:rPr>
          <w:rFonts w:eastAsiaTheme="minorEastAsia"/>
          <w:lang w:eastAsia="zh-CN"/>
        </w:rPr>
      </w:pPr>
      <w:r>
        <w:rPr>
          <w:rFonts w:eastAsiaTheme="minorEastAsia"/>
          <w:lang w:eastAsia="zh-CN"/>
        </w:rPr>
        <w:t xml:space="preserve">WI of </w:t>
      </w:r>
      <w:r>
        <w:rPr>
          <w:rFonts w:eastAsiaTheme="minorEastAsia" w:hint="eastAsia"/>
          <w:lang w:eastAsia="zh-CN"/>
        </w:rPr>
        <w:t>R</w:t>
      </w:r>
      <w:r>
        <w:rPr>
          <w:rFonts w:eastAsiaTheme="minorEastAsia"/>
          <w:lang w:eastAsia="zh-CN"/>
        </w:rPr>
        <w:t xml:space="preserve">el-17 </w:t>
      </w:r>
      <w:r w:rsidRPr="00B54738">
        <w:rPr>
          <w:rFonts w:eastAsiaTheme="minorEastAsia"/>
          <w:lang w:eastAsia="zh-CN"/>
        </w:rPr>
        <w:t>additional enhancements of NB-I</w:t>
      </w:r>
      <w:r w:rsidR="00852997">
        <w:rPr>
          <w:rFonts w:eastAsiaTheme="minorEastAsia"/>
          <w:lang w:eastAsia="zh-CN"/>
        </w:rPr>
        <w:t>O</w:t>
      </w:r>
      <w:r w:rsidRPr="00B54738">
        <w:rPr>
          <w:rFonts w:eastAsiaTheme="minorEastAsia"/>
          <w:lang w:eastAsia="zh-CN"/>
        </w:rPr>
        <w:t>T</w:t>
      </w:r>
      <w:r>
        <w:rPr>
          <w:rFonts w:eastAsiaTheme="minorEastAsia"/>
          <w:lang w:eastAsia="zh-CN"/>
        </w:rPr>
        <w:t xml:space="preserve"> has been almost closed from RAN 1’s part and it’s time for RAN 4 to define the corresponding performance requirements. In this paper, we give our summary of RAN 1’s feature on additional enhancements of NB-IOT firstly and provide our discussions on how to define the corresponding UE performance requirements.</w:t>
      </w:r>
    </w:p>
    <w:p w14:paraId="3156277A" w14:textId="7BFB504B" w:rsidR="0057371E" w:rsidRPr="0057371E" w:rsidRDefault="0057371E" w:rsidP="0057371E">
      <w:pPr>
        <w:pStyle w:val="1"/>
        <w:spacing w:after="0"/>
        <w:rPr>
          <w:rFonts w:ascii="Arial" w:eastAsia="Calibri" w:hAnsi="Arial" w:cs="Arial"/>
          <w:lang w:eastAsia="zh-CN"/>
        </w:rPr>
      </w:pPr>
      <w:r>
        <w:rPr>
          <w:rFonts w:ascii="Arial" w:eastAsia="Calibri" w:hAnsi="Arial" w:cs="Arial"/>
          <w:lang w:eastAsia="zh-CN"/>
        </w:rPr>
        <w:t>Summary of RAN 1’s feature</w:t>
      </w:r>
    </w:p>
    <w:p w14:paraId="3793E1FD" w14:textId="73C4BEAD" w:rsidR="00A34027" w:rsidRDefault="00A34027" w:rsidP="00CE22FD">
      <w:pPr>
        <w:overflowPunct w:val="0"/>
        <w:autoSpaceDE w:val="0"/>
        <w:autoSpaceDN w:val="0"/>
        <w:adjustRightInd w:val="0"/>
        <w:spacing w:before="120" w:after="120"/>
        <w:textAlignment w:val="baseline"/>
        <w:rPr>
          <w:rFonts w:eastAsiaTheme="minorEastAsia"/>
          <w:lang w:eastAsia="zh-CN"/>
        </w:rPr>
      </w:pPr>
      <w:bookmarkStart w:id="6" w:name="OLE_LINK66"/>
      <w:bookmarkStart w:id="7" w:name="OLE_LINK67"/>
      <w:bookmarkStart w:id="8" w:name="OLE_LINK29"/>
      <w:bookmarkStart w:id="9" w:name="OLE_LINK103"/>
      <w:bookmarkStart w:id="10" w:name="OLE_LINK19"/>
      <w:bookmarkEnd w:id="2"/>
      <w:r>
        <w:rPr>
          <w:rFonts w:eastAsiaTheme="minorEastAsia" w:hint="eastAsia"/>
          <w:lang w:eastAsia="zh-CN"/>
        </w:rPr>
        <w:t>T</w:t>
      </w:r>
      <w:r>
        <w:rPr>
          <w:rFonts w:eastAsiaTheme="minorEastAsia"/>
          <w:lang w:eastAsia="zh-CN"/>
        </w:rPr>
        <w:t xml:space="preserve">he summary of RAN 1’s feature of additional enhancement of NB-IOT </w:t>
      </w:r>
      <w:r w:rsidR="00FF079F">
        <w:rPr>
          <w:rFonts w:eastAsiaTheme="minorEastAsia"/>
          <w:lang w:eastAsia="zh-CN"/>
        </w:rPr>
        <w:t xml:space="preserve">has been </w:t>
      </w:r>
      <w:r>
        <w:rPr>
          <w:rFonts w:eastAsiaTheme="minorEastAsia"/>
          <w:lang w:eastAsia="zh-CN"/>
        </w:rPr>
        <w:t>included in Table 1:</w:t>
      </w:r>
    </w:p>
    <w:p w14:paraId="22D21308" w14:textId="68B5B541" w:rsidR="00E22344" w:rsidRPr="00A34027" w:rsidRDefault="00A34027" w:rsidP="00A34027">
      <w:pPr>
        <w:overflowPunct w:val="0"/>
        <w:autoSpaceDE w:val="0"/>
        <w:autoSpaceDN w:val="0"/>
        <w:adjustRightInd w:val="0"/>
        <w:spacing w:before="120" w:after="120"/>
        <w:jc w:val="center"/>
        <w:textAlignment w:val="baseline"/>
        <w:rPr>
          <w:rFonts w:eastAsiaTheme="minorEastAsia"/>
          <w:b/>
          <w:lang w:eastAsia="zh-CN"/>
        </w:rPr>
      </w:pPr>
      <w:r w:rsidRPr="00A34027">
        <w:rPr>
          <w:rFonts w:eastAsiaTheme="minorEastAsia"/>
          <w:b/>
          <w:lang w:eastAsia="zh-CN"/>
        </w:rPr>
        <w:t>Table 1: Summary of RAN 1’s feature of additional enhancement of NB-IOT</w:t>
      </w:r>
    </w:p>
    <w:tbl>
      <w:tblPr>
        <w:tblStyle w:val="af4"/>
        <w:tblW w:w="10768" w:type="dxa"/>
        <w:tblLook w:val="04A0" w:firstRow="1" w:lastRow="0" w:firstColumn="1" w:lastColumn="0" w:noHBand="0" w:noVBand="1"/>
      </w:tblPr>
      <w:tblGrid>
        <w:gridCol w:w="1838"/>
        <w:gridCol w:w="1418"/>
        <w:gridCol w:w="4586"/>
        <w:gridCol w:w="2926"/>
      </w:tblGrid>
      <w:tr w:rsidR="00A34027" w14:paraId="6105DA91" w14:textId="77777777" w:rsidTr="00813D25">
        <w:tc>
          <w:tcPr>
            <w:tcW w:w="1838" w:type="dxa"/>
          </w:tcPr>
          <w:p w14:paraId="04A2ED2E" w14:textId="20BF009A" w:rsidR="00A34027" w:rsidRDefault="00A34027"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R</w:t>
            </w:r>
            <w:r>
              <w:rPr>
                <w:rFonts w:eastAsiaTheme="minorEastAsia"/>
                <w:lang w:eastAsia="zh-CN"/>
              </w:rPr>
              <w:t xml:space="preserve">AN 1 feature </w:t>
            </w:r>
          </w:p>
        </w:tc>
        <w:tc>
          <w:tcPr>
            <w:tcW w:w="1418" w:type="dxa"/>
          </w:tcPr>
          <w:p w14:paraId="7971A8CB" w14:textId="0696BE08" w:rsidR="00A34027" w:rsidRDefault="00A34027" w:rsidP="00CE22FD">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 xml:space="preserve">RAN 1 sub-feature </w:t>
            </w:r>
          </w:p>
        </w:tc>
        <w:tc>
          <w:tcPr>
            <w:tcW w:w="4586" w:type="dxa"/>
          </w:tcPr>
          <w:p w14:paraId="18655E99" w14:textId="2448C218" w:rsidR="00A34027" w:rsidRDefault="00A34027"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D</w:t>
            </w:r>
            <w:r>
              <w:rPr>
                <w:rFonts w:eastAsiaTheme="minorEastAsia"/>
                <w:lang w:eastAsia="zh-CN"/>
              </w:rPr>
              <w:t xml:space="preserve">escription </w:t>
            </w:r>
          </w:p>
        </w:tc>
        <w:tc>
          <w:tcPr>
            <w:tcW w:w="2926" w:type="dxa"/>
          </w:tcPr>
          <w:p w14:paraId="03EAC7F6" w14:textId="3052E6CE" w:rsidR="00A34027" w:rsidRDefault="00A34027"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I</w:t>
            </w:r>
            <w:r>
              <w:rPr>
                <w:rFonts w:eastAsiaTheme="minorEastAsia"/>
                <w:lang w:eastAsia="zh-CN"/>
              </w:rPr>
              <w:t>mpact on RAN 4 performance requirements</w:t>
            </w:r>
          </w:p>
        </w:tc>
      </w:tr>
      <w:tr w:rsidR="00AF2774" w14:paraId="27593D38" w14:textId="77777777" w:rsidTr="00813D25">
        <w:tc>
          <w:tcPr>
            <w:tcW w:w="1838" w:type="dxa"/>
            <w:vMerge w:val="restart"/>
          </w:tcPr>
          <w:p w14:paraId="721D6242" w14:textId="70AE2C37" w:rsidR="00AF2774" w:rsidRDefault="00AF2774" w:rsidP="00CE22FD">
            <w:pPr>
              <w:overflowPunct w:val="0"/>
              <w:autoSpaceDE w:val="0"/>
              <w:autoSpaceDN w:val="0"/>
              <w:adjustRightInd w:val="0"/>
              <w:spacing w:before="120" w:after="120"/>
              <w:textAlignment w:val="baseline"/>
              <w:rPr>
                <w:rFonts w:eastAsiaTheme="minorEastAsia"/>
                <w:lang w:eastAsia="zh-CN"/>
              </w:rPr>
            </w:pPr>
            <w:r w:rsidRPr="00A34027">
              <w:rPr>
                <w:rFonts w:eastAsiaTheme="minorEastAsia"/>
                <w:lang w:eastAsia="zh-CN"/>
              </w:rPr>
              <w:t xml:space="preserve">Introduce </w:t>
            </w:r>
            <w:r w:rsidRPr="00A34027">
              <w:rPr>
                <w:rFonts w:eastAsiaTheme="minorEastAsia" w:hint="eastAsia"/>
                <w:lang w:eastAsia="zh-CN"/>
              </w:rPr>
              <w:t>1</w:t>
            </w:r>
            <w:r w:rsidRPr="00A34027">
              <w:rPr>
                <w:rFonts w:eastAsiaTheme="minorEastAsia"/>
                <w:lang w:eastAsia="zh-CN"/>
              </w:rPr>
              <w:t xml:space="preserve">6 QAM for unicast </w:t>
            </w:r>
            <w:r>
              <w:rPr>
                <w:rFonts w:eastAsiaTheme="minorEastAsia"/>
                <w:lang w:eastAsia="zh-CN"/>
              </w:rPr>
              <w:t>in DL for NB-IOT</w:t>
            </w:r>
          </w:p>
        </w:tc>
        <w:tc>
          <w:tcPr>
            <w:tcW w:w="1418" w:type="dxa"/>
          </w:tcPr>
          <w:p w14:paraId="6C4F6CCB" w14:textId="6FED42E9" w:rsidR="00AF2774" w:rsidRDefault="00AF2774"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N</w:t>
            </w:r>
            <w:r>
              <w:rPr>
                <w:rFonts w:eastAsiaTheme="minorEastAsia"/>
                <w:lang w:eastAsia="zh-CN"/>
              </w:rPr>
              <w:t>ew modulation order</w:t>
            </w:r>
          </w:p>
        </w:tc>
        <w:tc>
          <w:tcPr>
            <w:tcW w:w="4586" w:type="dxa"/>
          </w:tcPr>
          <w:p w14:paraId="3E0D9A76" w14:textId="34E838F8" w:rsidR="00AF2774" w:rsidRDefault="00AF2774"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ntroduce 16QAM for unicast DL </w:t>
            </w:r>
          </w:p>
        </w:tc>
        <w:tc>
          <w:tcPr>
            <w:tcW w:w="2926" w:type="dxa"/>
          </w:tcPr>
          <w:p w14:paraId="2AEB7E4E" w14:textId="7E6ED091" w:rsidR="00AF2774" w:rsidRDefault="00AF2774" w:rsidP="00AF2774">
            <w:pPr>
              <w:pStyle w:val="afa"/>
              <w:numPr>
                <w:ilvl w:val="0"/>
                <w:numId w:val="27"/>
              </w:numPr>
              <w:overflowPunct w:val="0"/>
              <w:spacing w:before="120" w:after="120"/>
              <w:contextualSpacing w:val="0"/>
              <w:textAlignment w:val="baseline"/>
              <w:rPr>
                <w:rFonts w:eastAsiaTheme="minorEastAsia"/>
              </w:rPr>
            </w:pPr>
            <w:r>
              <w:rPr>
                <w:rFonts w:eastAsiaTheme="minorEastAsia"/>
              </w:rPr>
              <w:t xml:space="preserve">UE reception with16QAM should be verified </w:t>
            </w:r>
          </w:p>
        </w:tc>
      </w:tr>
      <w:tr w:rsidR="00AF2774" w14:paraId="7340AA90" w14:textId="77777777" w:rsidTr="00813D25">
        <w:tc>
          <w:tcPr>
            <w:tcW w:w="1838" w:type="dxa"/>
            <w:vMerge/>
          </w:tcPr>
          <w:p w14:paraId="389EE157" w14:textId="18FE5922" w:rsidR="00AF2774" w:rsidRPr="00A34027" w:rsidRDefault="00AF2774" w:rsidP="00CE22FD">
            <w:pPr>
              <w:overflowPunct w:val="0"/>
              <w:autoSpaceDE w:val="0"/>
              <w:autoSpaceDN w:val="0"/>
              <w:adjustRightInd w:val="0"/>
              <w:spacing w:before="120" w:after="120"/>
              <w:textAlignment w:val="baseline"/>
              <w:rPr>
                <w:rFonts w:eastAsiaTheme="minorEastAsia"/>
                <w:i/>
                <w:lang w:eastAsia="zh-CN"/>
              </w:rPr>
            </w:pPr>
          </w:p>
        </w:tc>
        <w:tc>
          <w:tcPr>
            <w:tcW w:w="1418" w:type="dxa"/>
          </w:tcPr>
          <w:p w14:paraId="42379954" w14:textId="0E65804E" w:rsidR="00AF2774" w:rsidRDefault="00AF2774"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T</w:t>
            </w:r>
            <w:r>
              <w:rPr>
                <w:rFonts w:eastAsiaTheme="minorEastAsia"/>
                <w:lang w:eastAsia="zh-CN"/>
              </w:rPr>
              <w:t>BS design</w:t>
            </w:r>
          </w:p>
        </w:tc>
        <w:tc>
          <w:tcPr>
            <w:tcW w:w="4586" w:type="dxa"/>
          </w:tcPr>
          <w:p w14:paraId="76E18469" w14:textId="77777777" w:rsidR="00AF2774" w:rsidRPr="00A34027" w:rsidRDefault="00AF2774" w:rsidP="00A34027">
            <w:pPr>
              <w:pStyle w:val="afa"/>
              <w:numPr>
                <w:ilvl w:val="0"/>
                <w:numId w:val="27"/>
              </w:numPr>
              <w:overflowPunct w:val="0"/>
              <w:spacing w:before="120" w:after="120"/>
              <w:textAlignment w:val="baseline"/>
              <w:rPr>
                <w:rFonts w:eastAsiaTheme="minorEastAsia"/>
              </w:rPr>
            </w:pPr>
            <w:r w:rsidRPr="00A34027">
              <w:rPr>
                <w:rFonts w:eastAsiaTheme="minorEastAsia"/>
              </w:rPr>
              <w:t>TBS table defined in clause 16.4.1.5.1 of TS 36.213 is extended from maximum I</w:t>
            </w:r>
            <w:r w:rsidRPr="00A34027">
              <w:rPr>
                <w:rFonts w:eastAsiaTheme="minorEastAsia"/>
                <w:vertAlign w:val="subscript"/>
              </w:rPr>
              <w:t>TBS</w:t>
            </w:r>
            <w:r w:rsidRPr="00A34027">
              <w:rPr>
                <w:rFonts w:eastAsiaTheme="minorEastAsia"/>
              </w:rPr>
              <w:t>=13 to maximum I</w:t>
            </w:r>
            <w:r w:rsidRPr="00A34027">
              <w:rPr>
                <w:rFonts w:eastAsiaTheme="minorEastAsia"/>
                <w:vertAlign w:val="subscript"/>
              </w:rPr>
              <w:t>TBS</w:t>
            </w:r>
            <w:r w:rsidRPr="00A34027">
              <w:rPr>
                <w:rFonts w:eastAsiaTheme="minorEastAsia"/>
              </w:rPr>
              <w:t>=21</w:t>
            </w:r>
          </w:p>
          <w:p w14:paraId="44A1B3F2" w14:textId="14977261" w:rsidR="00AF2774" w:rsidRPr="00634AF0" w:rsidRDefault="00AF2774" w:rsidP="00A34027">
            <w:pPr>
              <w:pStyle w:val="afa"/>
              <w:widowControl/>
              <w:numPr>
                <w:ilvl w:val="0"/>
                <w:numId w:val="25"/>
              </w:numPr>
              <w:overflowPunct w:val="0"/>
              <w:spacing w:afterLines="50" w:after="120"/>
              <w:contextualSpacing w:val="0"/>
              <w:jc w:val="both"/>
              <w:rPr>
                <w:rFonts w:cs="Times"/>
                <w:bCs/>
              </w:rPr>
            </w:pPr>
            <w:r>
              <w:rPr>
                <w:rFonts w:cs="Times"/>
                <w:bCs/>
              </w:rPr>
              <w:t>F</w:t>
            </w:r>
            <w:r w:rsidRPr="00634AF0">
              <w:rPr>
                <w:rFonts w:cs="Times"/>
                <w:bCs/>
              </w:rPr>
              <w:t>or standalone and guardband deployments, the downlink TBS entries between 14 (TBS of 2856 for I_SF=7) and 21 are used for 16QAM.</w:t>
            </w:r>
          </w:p>
          <w:p w14:paraId="6A01F35F" w14:textId="0858D862" w:rsidR="00AF2774" w:rsidRPr="00A34027" w:rsidRDefault="00AF2774" w:rsidP="00A34027">
            <w:pPr>
              <w:pStyle w:val="afa"/>
              <w:widowControl/>
              <w:numPr>
                <w:ilvl w:val="0"/>
                <w:numId w:val="25"/>
              </w:numPr>
              <w:overflowPunct w:val="0"/>
              <w:spacing w:afterLines="50" w:after="120"/>
              <w:contextualSpacing w:val="0"/>
              <w:jc w:val="both"/>
            </w:pPr>
            <w:r>
              <w:rPr>
                <w:rFonts w:hint="eastAsia"/>
              </w:rPr>
              <w:t>F</w:t>
            </w:r>
            <w:r>
              <w:t xml:space="preserve">or inband </w:t>
            </w:r>
            <w:r w:rsidRPr="00634AF0">
              <w:rPr>
                <w:rFonts w:cs="Times"/>
                <w:bCs/>
              </w:rPr>
              <w:t>deployment</w:t>
            </w:r>
            <w:r>
              <w:t>, the downlink TBS entries between 11~17 are used for 16 QAM.</w:t>
            </w:r>
            <w:r w:rsidRPr="00A34027">
              <w:rPr>
                <w:rFonts w:eastAsiaTheme="minorEastAsia"/>
              </w:rPr>
              <w:t xml:space="preserve"> </w:t>
            </w:r>
          </w:p>
        </w:tc>
        <w:tc>
          <w:tcPr>
            <w:tcW w:w="2926" w:type="dxa"/>
          </w:tcPr>
          <w:p w14:paraId="67E264C4" w14:textId="0F7A4712" w:rsidR="00AF2774" w:rsidRDefault="00AF2774" w:rsidP="00813D25">
            <w:pPr>
              <w:pStyle w:val="afa"/>
              <w:numPr>
                <w:ilvl w:val="0"/>
                <w:numId w:val="27"/>
              </w:numPr>
              <w:overflowPunct w:val="0"/>
              <w:spacing w:before="120" w:after="120"/>
              <w:contextualSpacing w:val="0"/>
              <w:textAlignment w:val="baseline"/>
              <w:rPr>
                <w:rFonts w:eastAsiaTheme="minorEastAsia"/>
              </w:rPr>
            </w:pPr>
            <w:r>
              <w:rPr>
                <w:rFonts w:eastAsiaTheme="minorEastAsia"/>
              </w:rPr>
              <w:t xml:space="preserve">UE supporting new TBS should be verified  </w:t>
            </w:r>
          </w:p>
        </w:tc>
      </w:tr>
      <w:tr w:rsidR="00AF2774" w14:paraId="3331EEDF" w14:textId="77777777" w:rsidTr="00813D25">
        <w:tc>
          <w:tcPr>
            <w:tcW w:w="1838" w:type="dxa"/>
            <w:vMerge/>
          </w:tcPr>
          <w:p w14:paraId="587456F7" w14:textId="77777777" w:rsidR="00AF2774" w:rsidRPr="00A34027" w:rsidRDefault="00AF2774" w:rsidP="00CE22FD">
            <w:pPr>
              <w:overflowPunct w:val="0"/>
              <w:autoSpaceDE w:val="0"/>
              <w:autoSpaceDN w:val="0"/>
              <w:adjustRightInd w:val="0"/>
              <w:spacing w:before="120" w:after="120"/>
              <w:textAlignment w:val="baseline"/>
              <w:rPr>
                <w:rFonts w:eastAsiaTheme="minorEastAsia"/>
                <w:lang w:eastAsia="zh-CN"/>
              </w:rPr>
            </w:pPr>
          </w:p>
        </w:tc>
        <w:tc>
          <w:tcPr>
            <w:tcW w:w="1418" w:type="dxa"/>
          </w:tcPr>
          <w:p w14:paraId="0239168E" w14:textId="7410E740" w:rsidR="00AF2774" w:rsidRDefault="00AF2774"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B</w:t>
            </w:r>
            <w:r>
              <w:rPr>
                <w:rFonts w:eastAsiaTheme="minorEastAsia"/>
                <w:lang w:eastAsia="zh-CN"/>
              </w:rPr>
              <w:t xml:space="preserve">uffer size </w:t>
            </w:r>
          </w:p>
        </w:tc>
        <w:tc>
          <w:tcPr>
            <w:tcW w:w="4586" w:type="dxa"/>
          </w:tcPr>
          <w:p w14:paraId="6322EA60" w14:textId="065B8CDE" w:rsidR="00AF2774" w:rsidRPr="00A34027" w:rsidRDefault="00AF2774" w:rsidP="00A34027">
            <w:pPr>
              <w:pStyle w:val="afa"/>
              <w:numPr>
                <w:ilvl w:val="0"/>
                <w:numId w:val="27"/>
              </w:numPr>
              <w:autoSpaceDE/>
              <w:autoSpaceDN/>
              <w:adjustRightInd/>
              <w:spacing w:beforeLines="50" w:before="120" w:afterLines="50" w:after="120"/>
              <w:contextualSpacing w:val="0"/>
              <w:jc w:val="both"/>
            </w:pPr>
            <w:r>
              <w:t>The soft buffer size for Cat. NB2 UEs supporting 16QAM for downlink is 12800 bits.</w:t>
            </w:r>
          </w:p>
        </w:tc>
        <w:tc>
          <w:tcPr>
            <w:tcW w:w="2926" w:type="dxa"/>
          </w:tcPr>
          <w:p w14:paraId="4D8645D6" w14:textId="0F30B413" w:rsidR="00AF2774" w:rsidRDefault="00AF2774" w:rsidP="00B048F4">
            <w:pPr>
              <w:pStyle w:val="afa"/>
              <w:numPr>
                <w:ilvl w:val="0"/>
                <w:numId w:val="27"/>
              </w:numPr>
              <w:overflowPunct w:val="0"/>
              <w:spacing w:before="120" w:after="120"/>
              <w:contextualSpacing w:val="0"/>
              <w:textAlignment w:val="baseline"/>
              <w:rPr>
                <w:rFonts w:eastAsiaTheme="minorEastAsia"/>
              </w:rPr>
            </w:pPr>
            <w:r>
              <w:rPr>
                <w:rFonts w:eastAsiaTheme="minorEastAsia"/>
              </w:rPr>
              <w:t>The maximum supported buffer size for Cat. NB2 should be verified</w:t>
            </w:r>
          </w:p>
        </w:tc>
      </w:tr>
      <w:tr w:rsidR="00AF2774" w14:paraId="0D8F9554" w14:textId="77777777" w:rsidTr="00813D25">
        <w:tc>
          <w:tcPr>
            <w:tcW w:w="1838" w:type="dxa"/>
            <w:vMerge/>
          </w:tcPr>
          <w:p w14:paraId="12DC3DB7" w14:textId="77777777" w:rsidR="00AF2774" w:rsidRDefault="00AF2774" w:rsidP="00CE22FD">
            <w:pPr>
              <w:overflowPunct w:val="0"/>
              <w:autoSpaceDE w:val="0"/>
              <w:autoSpaceDN w:val="0"/>
              <w:adjustRightInd w:val="0"/>
              <w:spacing w:before="120" w:after="120"/>
              <w:textAlignment w:val="baseline"/>
              <w:rPr>
                <w:rFonts w:eastAsiaTheme="minorEastAsia"/>
                <w:lang w:eastAsia="zh-CN"/>
              </w:rPr>
            </w:pPr>
          </w:p>
        </w:tc>
        <w:tc>
          <w:tcPr>
            <w:tcW w:w="1418" w:type="dxa"/>
          </w:tcPr>
          <w:p w14:paraId="2638626F" w14:textId="1C555AF2" w:rsidR="00AF2774" w:rsidRDefault="00AF2774"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C</w:t>
            </w:r>
            <w:r>
              <w:rPr>
                <w:rFonts w:eastAsiaTheme="minorEastAsia"/>
                <w:lang w:eastAsia="zh-CN"/>
              </w:rPr>
              <w:t>QI reporting enhancement</w:t>
            </w:r>
          </w:p>
        </w:tc>
        <w:tc>
          <w:tcPr>
            <w:tcW w:w="4586" w:type="dxa"/>
          </w:tcPr>
          <w:p w14:paraId="5371DD53" w14:textId="77777777" w:rsidR="00AF2774" w:rsidRPr="00A34027" w:rsidRDefault="00AF2774" w:rsidP="00A34027">
            <w:pPr>
              <w:pStyle w:val="afa"/>
              <w:numPr>
                <w:ilvl w:val="0"/>
                <w:numId w:val="27"/>
              </w:numPr>
              <w:overflowPunct w:val="0"/>
              <w:spacing w:before="120" w:after="120"/>
              <w:textAlignment w:val="baseline"/>
              <w:rPr>
                <w:rFonts w:eastAsiaTheme="minorEastAsia"/>
              </w:rPr>
            </w:pPr>
            <w:r w:rsidRPr="00A34027">
              <w:rPr>
                <w:rFonts w:eastAsiaTheme="minorEastAsia"/>
              </w:rPr>
              <w:t>If 16-QAM is configured for NPDSCH, the channel quality report for 16-QAM is based on NPDSCH transport block that achieves an error probability not exceeding 10% BLER.</w:t>
            </w:r>
          </w:p>
          <w:p w14:paraId="52449C0F" w14:textId="77777777" w:rsidR="00AF2774" w:rsidRDefault="00AF2774" w:rsidP="00A34027">
            <w:pPr>
              <w:pStyle w:val="afa"/>
              <w:widowControl/>
              <w:numPr>
                <w:ilvl w:val="0"/>
                <w:numId w:val="25"/>
              </w:numPr>
              <w:overflowPunct w:val="0"/>
              <w:spacing w:beforeLines="50" w:before="120" w:afterLines="50" w:after="120"/>
              <w:contextualSpacing w:val="0"/>
            </w:pPr>
            <w:r w:rsidRPr="00042660">
              <w:t xml:space="preserve">When configured with downlink 16-QAM, </w:t>
            </w:r>
            <w:r>
              <w:t>CQI</w:t>
            </w:r>
            <w:r w:rsidRPr="00042660">
              <w:t xml:space="preserve"> can be reported in MAC CE</w:t>
            </w:r>
          </w:p>
          <w:p w14:paraId="5C2504B4" w14:textId="4863379D" w:rsidR="00AF2774" w:rsidRDefault="00AF2774" w:rsidP="00A34027">
            <w:pPr>
              <w:pStyle w:val="afa"/>
              <w:widowControl/>
              <w:numPr>
                <w:ilvl w:val="0"/>
                <w:numId w:val="25"/>
              </w:numPr>
              <w:overflowPunct w:val="0"/>
              <w:spacing w:beforeLines="50" w:before="120" w:afterLines="50" w:after="120"/>
              <w:contextualSpacing w:val="0"/>
              <w:rPr>
                <w:rFonts w:eastAsiaTheme="minorEastAsia"/>
              </w:rPr>
            </w:pPr>
            <w:r>
              <w:rPr>
                <w:rFonts w:eastAsiaTheme="minorEastAsia" w:hint="eastAsia"/>
              </w:rPr>
              <w:t>N</w:t>
            </w:r>
            <w:r>
              <w:rPr>
                <w:rFonts w:eastAsiaTheme="minorEastAsia"/>
              </w:rPr>
              <w:t>ew CQI has been designed</w:t>
            </w:r>
          </w:p>
        </w:tc>
        <w:tc>
          <w:tcPr>
            <w:tcW w:w="2926" w:type="dxa"/>
          </w:tcPr>
          <w:p w14:paraId="13325911" w14:textId="4A70DE99" w:rsidR="00AF2774" w:rsidRPr="00340AAE" w:rsidRDefault="00AF2774" w:rsidP="00340AAE">
            <w:pPr>
              <w:pStyle w:val="afa"/>
              <w:numPr>
                <w:ilvl w:val="0"/>
                <w:numId w:val="27"/>
              </w:numPr>
              <w:overflowPunct w:val="0"/>
              <w:spacing w:before="120" w:after="120"/>
              <w:contextualSpacing w:val="0"/>
              <w:textAlignment w:val="baseline"/>
              <w:rPr>
                <w:rFonts w:eastAsiaTheme="minorEastAsia"/>
              </w:rPr>
            </w:pPr>
            <w:r w:rsidRPr="00340AAE">
              <w:rPr>
                <w:rFonts w:eastAsiaTheme="minorEastAsia" w:hint="eastAsia"/>
              </w:rPr>
              <w:t>No</w:t>
            </w:r>
            <w:r w:rsidRPr="00340AAE">
              <w:rPr>
                <w:rFonts w:eastAsiaTheme="minorEastAsia"/>
              </w:rPr>
              <w:t xml:space="preserve"> impact since the CQI is reported by MAC CE rather than physical layer and in previous release, it was defined in RRM part.</w:t>
            </w:r>
          </w:p>
        </w:tc>
      </w:tr>
      <w:tr w:rsidR="00AF2774" w14:paraId="588D91C4" w14:textId="77777777" w:rsidTr="00813D25">
        <w:tc>
          <w:tcPr>
            <w:tcW w:w="1838" w:type="dxa"/>
            <w:vMerge/>
          </w:tcPr>
          <w:p w14:paraId="58607B2D" w14:textId="77777777" w:rsidR="00AF2774" w:rsidRDefault="00AF2774" w:rsidP="00CE22FD">
            <w:pPr>
              <w:overflowPunct w:val="0"/>
              <w:autoSpaceDE w:val="0"/>
              <w:autoSpaceDN w:val="0"/>
              <w:adjustRightInd w:val="0"/>
              <w:spacing w:before="120" w:after="120"/>
              <w:textAlignment w:val="baseline"/>
              <w:rPr>
                <w:rFonts w:eastAsiaTheme="minorEastAsia"/>
                <w:lang w:eastAsia="zh-CN"/>
              </w:rPr>
            </w:pPr>
          </w:p>
        </w:tc>
        <w:tc>
          <w:tcPr>
            <w:tcW w:w="1418" w:type="dxa"/>
          </w:tcPr>
          <w:p w14:paraId="08624804" w14:textId="5E9169C0" w:rsidR="00AF2774" w:rsidRDefault="00AF2774"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D</w:t>
            </w:r>
            <w:r>
              <w:rPr>
                <w:rFonts w:eastAsiaTheme="minorEastAsia"/>
                <w:lang w:eastAsia="zh-CN"/>
              </w:rPr>
              <w:t>CI design</w:t>
            </w:r>
          </w:p>
        </w:tc>
        <w:tc>
          <w:tcPr>
            <w:tcW w:w="4586" w:type="dxa"/>
          </w:tcPr>
          <w:p w14:paraId="73BCC902" w14:textId="77777777" w:rsidR="00AF2774" w:rsidRDefault="00AF2774" w:rsidP="00A34027">
            <w:pPr>
              <w:pStyle w:val="afa"/>
              <w:numPr>
                <w:ilvl w:val="0"/>
                <w:numId w:val="26"/>
              </w:numPr>
              <w:autoSpaceDE/>
              <w:autoSpaceDN/>
              <w:adjustRightInd/>
              <w:spacing w:beforeLines="50" w:before="120" w:afterLines="50" w:after="120"/>
              <w:contextualSpacing w:val="0"/>
              <w:jc w:val="both"/>
            </w:pPr>
            <w:r>
              <w:t>DL 16-QAM is applicable for NPDSCH scheduled from a DCI with CRC scrambled by C-RNTI.</w:t>
            </w:r>
          </w:p>
          <w:p w14:paraId="07EC830F" w14:textId="77777777" w:rsidR="00AF2774" w:rsidRDefault="00AF2774" w:rsidP="00A34027">
            <w:pPr>
              <w:pStyle w:val="afa"/>
              <w:numPr>
                <w:ilvl w:val="0"/>
                <w:numId w:val="26"/>
              </w:numPr>
              <w:autoSpaceDE/>
              <w:autoSpaceDN/>
              <w:adjustRightInd/>
              <w:spacing w:beforeLines="50" w:before="120" w:afterLines="50" w:after="120"/>
              <w:contextualSpacing w:val="0"/>
              <w:jc w:val="both"/>
              <w:rPr>
                <w:rFonts w:eastAsiaTheme="minorEastAsia"/>
              </w:rPr>
            </w:pPr>
            <w:r w:rsidRPr="00A34027">
              <w:rPr>
                <w:rFonts w:eastAsiaTheme="minorEastAsia"/>
              </w:rPr>
              <w:t xml:space="preserve">Reserved state “1111” in the “Modulation and </w:t>
            </w:r>
            <w:r w:rsidRPr="00A34027">
              <w:rPr>
                <w:rFonts w:eastAsiaTheme="minorEastAsia"/>
              </w:rPr>
              <w:lastRenderedPageBreak/>
              <w:t>coding scheme” field in DCI Format N1 is utilized to indicate the use of 16QAM.</w:t>
            </w:r>
          </w:p>
          <w:p w14:paraId="3D716CB0" w14:textId="0828E3FF" w:rsidR="00AF2774" w:rsidRPr="00A34027" w:rsidRDefault="00AF2774" w:rsidP="00A34027">
            <w:pPr>
              <w:pStyle w:val="afa"/>
              <w:widowControl/>
              <w:numPr>
                <w:ilvl w:val="0"/>
                <w:numId w:val="26"/>
              </w:numPr>
              <w:overflowPunct w:val="0"/>
              <w:spacing w:after="180"/>
            </w:pPr>
            <w:r>
              <w:t>The “Repetition number” field in DCI Format N1 is utilized to indicate the TBS indices for 16-QAM in DL when the reserved state in MCS field is indicated.</w:t>
            </w:r>
          </w:p>
        </w:tc>
        <w:tc>
          <w:tcPr>
            <w:tcW w:w="2926" w:type="dxa"/>
          </w:tcPr>
          <w:p w14:paraId="43636E5C" w14:textId="5A36EF6A" w:rsidR="00AF2774" w:rsidRDefault="00AF2774" w:rsidP="00340AAE">
            <w:pPr>
              <w:pStyle w:val="afa"/>
              <w:numPr>
                <w:ilvl w:val="0"/>
                <w:numId w:val="27"/>
              </w:numPr>
              <w:overflowPunct w:val="0"/>
              <w:spacing w:before="120" w:after="120"/>
              <w:contextualSpacing w:val="0"/>
              <w:textAlignment w:val="baseline"/>
              <w:rPr>
                <w:rFonts w:eastAsiaTheme="minorEastAsia"/>
              </w:rPr>
            </w:pPr>
            <w:r>
              <w:rPr>
                <w:rFonts w:eastAsiaTheme="minorEastAsia" w:hint="eastAsia"/>
              </w:rPr>
              <w:lastRenderedPageBreak/>
              <w:t xml:space="preserve"> </w:t>
            </w:r>
            <w:r>
              <w:rPr>
                <w:rFonts w:eastAsiaTheme="minorEastAsia"/>
              </w:rPr>
              <w:t>No impact since there is no change of  NPDCCH physical structure</w:t>
            </w:r>
          </w:p>
        </w:tc>
      </w:tr>
      <w:tr w:rsidR="00AF2774" w14:paraId="3B97E963" w14:textId="77777777" w:rsidTr="00813D25">
        <w:tc>
          <w:tcPr>
            <w:tcW w:w="1838" w:type="dxa"/>
            <w:vMerge/>
          </w:tcPr>
          <w:p w14:paraId="4A1DFDF2" w14:textId="77777777" w:rsidR="00AF2774" w:rsidRDefault="00AF2774" w:rsidP="00CE22FD">
            <w:pPr>
              <w:overflowPunct w:val="0"/>
              <w:autoSpaceDE w:val="0"/>
              <w:autoSpaceDN w:val="0"/>
              <w:adjustRightInd w:val="0"/>
              <w:spacing w:before="120" w:after="120"/>
              <w:textAlignment w:val="baseline"/>
              <w:rPr>
                <w:rFonts w:eastAsiaTheme="minorEastAsia"/>
                <w:lang w:eastAsia="zh-CN"/>
              </w:rPr>
            </w:pPr>
          </w:p>
        </w:tc>
        <w:tc>
          <w:tcPr>
            <w:tcW w:w="1418" w:type="dxa"/>
          </w:tcPr>
          <w:p w14:paraId="7BA3FC69" w14:textId="22366DB9" w:rsidR="00AF2774" w:rsidRDefault="00AF2774"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P</w:t>
            </w:r>
            <w:r>
              <w:rPr>
                <w:rFonts w:eastAsiaTheme="minorEastAsia"/>
                <w:lang w:eastAsia="zh-CN"/>
              </w:rPr>
              <w:t xml:space="preserve">ower allocation </w:t>
            </w:r>
          </w:p>
        </w:tc>
        <w:tc>
          <w:tcPr>
            <w:tcW w:w="4586" w:type="dxa"/>
          </w:tcPr>
          <w:p w14:paraId="144D180A" w14:textId="77777777" w:rsidR="00AF2774" w:rsidRDefault="00AF2774" w:rsidP="00FF079F">
            <w:pPr>
              <w:pStyle w:val="afa"/>
              <w:numPr>
                <w:ilvl w:val="0"/>
                <w:numId w:val="26"/>
              </w:numPr>
              <w:autoSpaceDE/>
              <w:autoSpaceDN/>
              <w:adjustRightInd/>
              <w:spacing w:beforeLines="50" w:before="120" w:afterLines="50" w:after="120"/>
              <w:contextualSpacing w:val="0"/>
              <w:jc w:val="both"/>
              <w:rPr>
                <w:rFonts w:eastAsiaTheme="minorEastAsia"/>
              </w:rPr>
            </w:pPr>
            <w:r>
              <w:rPr>
                <w:rFonts w:eastAsiaTheme="minorEastAsia"/>
              </w:rPr>
              <w:t xml:space="preserve">Network inform UE the actual power ratio of NRS EPRE to NPDSCH EPRE by UE specific signalling </w:t>
            </w:r>
          </w:p>
          <w:p w14:paraId="54E8B45E" w14:textId="77777777" w:rsidR="00AF2774" w:rsidRDefault="00AF2774" w:rsidP="00FF079F">
            <w:pPr>
              <w:pStyle w:val="afa"/>
              <w:widowControl/>
              <w:numPr>
                <w:ilvl w:val="0"/>
                <w:numId w:val="29"/>
              </w:numPr>
              <w:overflowPunct w:val="0"/>
              <w:spacing w:after="180"/>
            </w:pPr>
            <w:r>
              <w:t>For standalone and guard-band deployments:</w:t>
            </w:r>
          </w:p>
          <w:p w14:paraId="7E5C4C0B" w14:textId="77777777" w:rsidR="00AF2774" w:rsidRPr="00AC14E7" w:rsidRDefault="00AF2774" w:rsidP="00FF079F">
            <w:pPr>
              <w:pStyle w:val="afa"/>
              <w:widowControl/>
              <w:numPr>
                <w:ilvl w:val="2"/>
                <w:numId w:val="26"/>
              </w:numPr>
              <w:overflowPunct w:val="0"/>
              <w:spacing w:after="180"/>
              <w:rPr>
                <w:highlight w:val="yellow"/>
              </w:rPr>
            </w:pPr>
            <w:r w:rsidRPr="00AC14E7">
              <w:rPr>
                <w:highlight w:val="yellow"/>
              </w:rPr>
              <w:t>One power ratio is signalled optionally</w:t>
            </w:r>
          </w:p>
          <w:p w14:paraId="35DE304B" w14:textId="77777777" w:rsidR="00AF2774" w:rsidRDefault="00AF2774" w:rsidP="00FF079F">
            <w:pPr>
              <w:pStyle w:val="afa"/>
              <w:widowControl/>
              <w:numPr>
                <w:ilvl w:val="3"/>
                <w:numId w:val="26"/>
              </w:numPr>
              <w:overflowPunct w:val="0"/>
              <w:spacing w:after="180"/>
            </w:pPr>
            <w:r>
              <w:t>NPDSCH EPRE to NRS EPRE in symbols without NRS</w:t>
            </w:r>
            <w:r>
              <w:rPr>
                <w:rFonts w:hint="eastAsia"/>
              </w:rPr>
              <w:t>.</w:t>
            </w:r>
            <w:r>
              <w:t xml:space="preserve"> The value </w:t>
            </w:r>
            <w:r w:rsidRPr="00BD4CD1">
              <w:rPr>
                <w:rFonts w:hint="eastAsia"/>
              </w:rPr>
              <w:t>range for the following RRC parameters is {-6, -4.77, -3, -1.77, 0, 1, 2, 3} dB</w:t>
            </w:r>
          </w:p>
          <w:p w14:paraId="27EF6F1C" w14:textId="77777777" w:rsidR="00AF2774" w:rsidRDefault="00AF2774" w:rsidP="00FF079F">
            <w:pPr>
              <w:pStyle w:val="afa"/>
              <w:widowControl/>
              <w:numPr>
                <w:ilvl w:val="2"/>
                <w:numId w:val="26"/>
              </w:numPr>
              <w:overflowPunct w:val="0"/>
              <w:spacing w:after="180"/>
            </w:pPr>
            <w:r>
              <w:t>The same transmit power is assumed across different symbols.</w:t>
            </w:r>
          </w:p>
          <w:p w14:paraId="2786520D" w14:textId="77777777" w:rsidR="00AF2774" w:rsidRDefault="00AF2774" w:rsidP="00FF079F">
            <w:pPr>
              <w:pStyle w:val="afa"/>
              <w:widowControl/>
              <w:numPr>
                <w:ilvl w:val="2"/>
                <w:numId w:val="26"/>
              </w:numPr>
              <w:overflowPunct w:val="0"/>
              <w:spacing w:after="180"/>
            </w:pPr>
            <w:r>
              <w:t>If the signalling is not indicated, the legacy power allocation is used.</w:t>
            </w:r>
          </w:p>
          <w:p w14:paraId="67067E22" w14:textId="77777777" w:rsidR="00AF2774" w:rsidRDefault="00AF2774" w:rsidP="00FF079F">
            <w:pPr>
              <w:pStyle w:val="afa"/>
              <w:widowControl/>
              <w:numPr>
                <w:ilvl w:val="3"/>
                <w:numId w:val="26"/>
              </w:numPr>
              <w:overflowPunct w:val="0"/>
              <w:spacing w:after="180"/>
            </w:pPr>
            <w:r>
              <w:t>i.e., the ratio of NPDSCH EPRE to NRS EPRE is 0dB for one NRS antenna port, and -3dB for two NRS antenna ports</w:t>
            </w:r>
          </w:p>
          <w:p w14:paraId="70740CDF" w14:textId="304AC662" w:rsidR="00AF2774" w:rsidRDefault="00AF2774" w:rsidP="00FF079F">
            <w:pPr>
              <w:pStyle w:val="afa"/>
              <w:widowControl/>
              <w:numPr>
                <w:ilvl w:val="2"/>
                <w:numId w:val="26"/>
              </w:numPr>
              <w:overflowPunct w:val="0"/>
              <w:spacing w:after="180"/>
            </w:pPr>
            <w:r>
              <w:t>UE specific signalling is used</w:t>
            </w:r>
          </w:p>
          <w:p w14:paraId="420A83E3" w14:textId="77777777" w:rsidR="00AF2774" w:rsidRDefault="00AF2774" w:rsidP="00FF079F">
            <w:pPr>
              <w:pStyle w:val="afa"/>
              <w:widowControl/>
              <w:numPr>
                <w:ilvl w:val="0"/>
                <w:numId w:val="29"/>
              </w:numPr>
              <w:overflowPunct w:val="0"/>
              <w:spacing w:after="180"/>
              <w:rPr>
                <w:rFonts w:cs="Times"/>
                <w:lang w:eastAsia="ja-JP"/>
              </w:rPr>
            </w:pPr>
            <w:r>
              <w:rPr>
                <w:rFonts w:cs="Times"/>
                <w:lang w:eastAsia="ja-JP"/>
              </w:rPr>
              <w:t xml:space="preserve">For </w:t>
            </w:r>
            <w:r w:rsidRPr="00FF079F">
              <w:t>inband</w:t>
            </w:r>
            <w:r>
              <w:rPr>
                <w:rFonts w:cs="Times"/>
                <w:lang w:eastAsia="ja-JP"/>
              </w:rPr>
              <w:t xml:space="preserve"> deployments, a </w:t>
            </w:r>
            <w:r w:rsidRPr="005068B3">
              <w:t>power</w:t>
            </w:r>
            <w:r>
              <w:rPr>
                <w:rFonts w:cs="Times"/>
                <w:lang w:eastAsia="ja-JP"/>
              </w:rPr>
              <w:t xml:space="preserve"> ratio is signaled in </w:t>
            </w:r>
            <w:r w:rsidRPr="00FF079F">
              <w:t>addition</w:t>
            </w:r>
            <w:r>
              <w:rPr>
                <w:rFonts w:cs="Times"/>
                <w:lang w:eastAsia="ja-JP"/>
              </w:rPr>
              <w:t xml:space="preserve"> to the signalling for standalone and guard-band deployments which in this case applies to “symbols with NRS” and “symbols without NRS nor CRS”. </w:t>
            </w:r>
          </w:p>
          <w:p w14:paraId="287272AF" w14:textId="77777777" w:rsidR="00AF2774" w:rsidRPr="005068B3" w:rsidRDefault="00AF2774" w:rsidP="00FF079F">
            <w:pPr>
              <w:pStyle w:val="afa"/>
              <w:widowControl/>
              <w:numPr>
                <w:ilvl w:val="3"/>
                <w:numId w:val="26"/>
              </w:numPr>
              <w:overflowPunct w:val="0"/>
              <w:spacing w:after="180"/>
            </w:pPr>
            <w:r w:rsidRPr="005068B3">
              <w:t xml:space="preserve">the power ratio between NPDSCH EPRE and NRS EPRE in symbols with CRS is </w:t>
            </w:r>
            <w:r>
              <w:t>signaled.</w:t>
            </w:r>
            <w:r w:rsidRPr="00AC14E7">
              <w:t xml:space="preserve"> </w:t>
            </w:r>
            <w:r>
              <w:t xml:space="preserve">The value </w:t>
            </w:r>
            <w:r w:rsidRPr="00BD4CD1">
              <w:rPr>
                <w:rFonts w:hint="eastAsia"/>
              </w:rPr>
              <w:t>range for the following RRC parameters is {-6, -4.77, -3, -1.77, 0, 1, 2, 3} dB</w:t>
            </w:r>
          </w:p>
          <w:p w14:paraId="49A66789" w14:textId="77777777" w:rsidR="00AF2774" w:rsidRDefault="00AF2774" w:rsidP="00FF079F">
            <w:pPr>
              <w:pStyle w:val="afa"/>
              <w:widowControl/>
              <w:numPr>
                <w:ilvl w:val="3"/>
                <w:numId w:val="26"/>
              </w:numPr>
              <w:overflowPunct w:val="0"/>
              <w:spacing w:after="180"/>
              <w:rPr>
                <w:rFonts w:cs="Times"/>
                <w:lang w:eastAsia="ja-JP"/>
              </w:rPr>
            </w:pPr>
            <w:r>
              <w:rPr>
                <w:rFonts w:cs="Times"/>
                <w:lang w:eastAsia="ja-JP"/>
              </w:rPr>
              <w:t xml:space="preserve">the </w:t>
            </w:r>
            <w:r w:rsidRPr="005068B3">
              <w:t>signalling</w:t>
            </w:r>
            <w:r>
              <w:rPr>
                <w:rFonts w:cs="Times"/>
                <w:lang w:eastAsia="ja-JP"/>
              </w:rPr>
              <w:t xml:space="preserve"> is UE specific</w:t>
            </w:r>
          </w:p>
          <w:p w14:paraId="5D173DA1" w14:textId="05F8C56C" w:rsidR="00AF2774" w:rsidRPr="00FF079F" w:rsidRDefault="00AF2774" w:rsidP="00FF079F">
            <w:pPr>
              <w:pStyle w:val="afa"/>
              <w:widowControl/>
              <w:numPr>
                <w:ilvl w:val="2"/>
                <w:numId w:val="26"/>
              </w:numPr>
              <w:overflowPunct w:val="0"/>
              <w:spacing w:after="180"/>
              <w:ind w:left="1259"/>
              <w:contextualSpacing w:val="0"/>
              <w:rPr>
                <w:lang w:eastAsia="ar-SA"/>
              </w:rPr>
            </w:pPr>
            <w:r>
              <w:rPr>
                <w:lang w:eastAsia="ar-SA"/>
              </w:rPr>
              <w:t xml:space="preserve">Note: </w:t>
            </w:r>
            <w:r>
              <w:rPr>
                <w:rFonts w:cs="Times"/>
                <w:lang w:eastAsia="ja-JP"/>
              </w:rPr>
              <w:t>“symbols with NRS” and “</w:t>
            </w:r>
            <w:r w:rsidRPr="005068B3">
              <w:t>symbols</w:t>
            </w:r>
            <w:r>
              <w:rPr>
                <w:rFonts w:cs="Times"/>
                <w:lang w:eastAsia="ja-JP"/>
              </w:rPr>
              <w:t xml:space="preserve"> without NRS nor CRS” have the same power.</w:t>
            </w:r>
          </w:p>
        </w:tc>
        <w:tc>
          <w:tcPr>
            <w:tcW w:w="2926" w:type="dxa"/>
          </w:tcPr>
          <w:p w14:paraId="5FA4427F" w14:textId="169547AF" w:rsidR="00AF2774" w:rsidRDefault="00AF2774" w:rsidP="00AD191C">
            <w:pPr>
              <w:pStyle w:val="afa"/>
              <w:numPr>
                <w:ilvl w:val="0"/>
                <w:numId w:val="27"/>
              </w:numPr>
              <w:overflowPunct w:val="0"/>
              <w:spacing w:before="120" w:after="120"/>
              <w:contextualSpacing w:val="0"/>
              <w:textAlignment w:val="baseline"/>
              <w:rPr>
                <w:rFonts w:eastAsiaTheme="minorEastAsia"/>
              </w:rPr>
            </w:pPr>
            <w:r>
              <w:rPr>
                <w:rFonts w:eastAsiaTheme="minorEastAsia"/>
              </w:rPr>
              <w:t xml:space="preserve">EPRE difference between NRS and NPDSCH </w:t>
            </w:r>
            <w:r w:rsidR="00AD191C">
              <w:rPr>
                <w:rFonts w:eastAsiaTheme="minorEastAsia"/>
              </w:rPr>
              <w:t>needs to be configured</w:t>
            </w:r>
          </w:p>
        </w:tc>
      </w:tr>
      <w:tr w:rsidR="00AF2774" w14:paraId="2BEAFBDB" w14:textId="77777777" w:rsidTr="00813D25">
        <w:tc>
          <w:tcPr>
            <w:tcW w:w="1838" w:type="dxa"/>
            <w:vMerge/>
          </w:tcPr>
          <w:p w14:paraId="4DE16058" w14:textId="77777777" w:rsidR="00AF2774" w:rsidRDefault="00AF2774" w:rsidP="00CE22FD">
            <w:pPr>
              <w:overflowPunct w:val="0"/>
              <w:autoSpaceDE w:val="0"/>
              <w:autoSpaceDN w:val="0"/>
              <w:adjustRightInd w:val="0"/>
              <w:spacing w:before="120" w:after="120"/>
              <w:textAlignment w:val="baseline"/>
              <w:rPr>
                <w:rFonts w:eastAsiaTheme="minorEastAsia"/>
                <w:lang w:eastAsia="zh-CN"/>
              </w:rPr>
            </w:pPr>
          </w:p>
        </w:tc>
        <w:tc>
          <w:tcPr>
            <w:tcW w:w="1418" w:type="dxa"/>
          </w:tcPr>
          <w:p w14:paraId="5A39E097" w14:textId="60F8D6F5" w:rsidR="00AF2774" w:rsidRDefault="00AF2774" w:rsidP="00CE22FD">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Signalling design</w:t>
            </w:r>
          </w:p>
        </w:tc>
        <w:tc>
          <w:tcPr>
            <w:tcW w:w="4586" w:type="dxa"/>
          </w:tcPr>
          <w:p w14:paraId="2616C4B3" w14:textId="77777777" w:rsidR="00AF2774" w:rsidRPr="00E577A9" w:rsidRDefault="00AF2774" w:rsidP="00FF079F">
            <w:pPr>
              <w:pStyle w:val="afa"/>
              <w:widowControl/>
              <w:numPr>
                <w:ilvl w:val="0"/>
                <w:numId w:val="26"/>
              </w:numPr>
              <w:overflowPunct w:val="0"/>
              <w:spacing w:beforeLines="50" w:before="120"/>
              <w:contextualSpacing w:val="0"/>
            </w:pPr>
            <w:r w:rsidRPr="00E577A9">
              <w:t>For 16-QAM in NB-IoT, separate optional UE capabilities for UL and DL are supported:</w:t>
            </w:r>
          </w:p>
          <w:p w14:paraId="5284CC1C" w14:textId="77777777" w:rsidR="00AF2774" w:rsidRDefault="00AF2774" w:rsidP="00FF079F">
            <w:pPr>
              <w:pStyle w:val="afa"/>
              <w:widowControl/>
              <w:numPr>
                <w:ilvl w:val="0"/>
                <w:numId w:val="28"/>
              </w:numPr>
              <w:overflowPunct w:val="0"/>
              <w:spacing w:after="180"/>
            </w:pPr>
            <w:r w:rsidRPr="00E577A9">
              <w:t xml:space="preserve">The support of 16QAM in DL is indicated by an optional UE capability signaling. </w:t>
            </w:r>
          </w:p>
          <w:p w14:paraId="039E6D78" w14:textId="77777777" w:rsidR="00AF2774" w:rsidRPr="00F90E3B" w:rsidRDefault="00AF2774" w:rsidP="00FF079F">
            <w:pPr>
              <w:pStyle w:val="afa"/>
              <w:widowControl/>
              <w:numPr>
                <w:ilvl w:val="0"/>
                <w:numId w:val="26"/>
              </w:numPr>
              <w:overflowPunct w:val="0"/>
              <w:spacing w:beforeLines="50" w:before="120"/>
              <w:contextualSpacing w:val="0"/>
            </w:pPr>
            <w:r w:rsidRPr="00F90E3B">
              <w:t>For 16-QAM in NB-IoT, separate UE-specific RRC signaling for UL and DL are supported:</w:t>
            </w:r>
          </w:p>
          <w:p w14:paraId="7969EBC6" w14:textId="6FB596E5" w:rsidR="00AF2774" w:rsidRPr="00FF079F" w:rsidRDefault="00AF2774" w:rsidP="00340AAE">
            <w:pPr>
              <w:pStyle w:val="afa"/>
              <w:widowControl/>
              <w:numPr>
                <w:ilvl w:val="0"/>
                <w:numId w:val="28"/>
              </w:numPr>
              <w:overflowPunct w:val="0"/>
              <w:spacing w:after="180"/>
            </w:pPr>
            <w:r w:rsidRPr="00F90E3B">
              <w:t>16QAM for DL is configured by UE-specific RRC signaling.</w:t>
            </w:r>
          </w:p>
        </w:tc>
        <w:tc>
          <w:tcPr>
            <w:tcW w:w="2926" w:type="dxa"/>
          </w:tcPr>
          <w:p w14:paraId="6F8712D9" w14:textId="309CCCD9" w:rsidR="00AF2774" w:rsidRDefault="00AF2774" w:rsidP="00340AAE">
            <w:pPr>
              <w:pStyle w:val="afa"/>
              <w:numPr>
                <w:ilvl w:val="0"/>
                <w:numId w:val="27"/>
              </w:numPr>
              <w:overflowPunct w:val="0"/>
              <w:spacing w:before="120" w:after="120"/>
              <w:contextualSpacing w:val="0"/>
              <w:textAlignment w:val="baseline"/>
              <w:rPr>
                <w:rFonts w:eastAsiaTheme="minorEastAsia"/>
              </w:rPr>
            </w:pPr>
            <w:r>
              <w:rPr>
                <w:rFonts w:eastAsiaTheme="minorEastAsia" w:hint="eastAsia"/>
              </w:rPr>
              <w:t>R</w:t>
            </w:r>
            <w:r>
              <w:rPr>
                <w:rFonts w:eastAsiaTheme="minorEastAsia"/>
              </w:rPr>
              <w:t xml:space="preserve">AN 4 should define the corresponding requirements with UE capability signalling </w:t>
            </w:r>
          </w:p>
        </w:tc>
      </w:tr>
      <w:tr w:rsidR="00AF2774" w:rsidRPr="00340AAE" w14:paraId="6D39A5F3" w14:textId="77777777" w:rsidTr="00813D25">
        <w:tc>
          <w:tcPr>
            <w:tcW w:w="1838" w:type="dxa"/>
            <w:vMerge/>
          </w:tcPr>
          <w:p w14:paraId="3EBFB584" w14:textId="77777777" w:rsidR="00AF2774" w:rsidRDefault="00AF2774" w:rsidP="00CE22FD">
            <w:pPr>
              <w:overflowPunct w:val="0"/>
              <w:autoSpaceDE w:val="0"/>
              <w:autoSpaceDN w:val="0"/>
              <w:adjustRightInd w:val="0"/>
              <w:spacing w:before="120" w:after="120"/>
              <w:textAlignment w:val="baseline"/>
              <w:rPr>
                <w:rFonts w:eastAsiaTheme="minorEastAsia"/>
                <w:lang w:eastAsia="zh-CN"/>
              </w:rPr>
            </w:pPr>
          </w:p>
        </w:tc>
        <w:tc>
          <w:tcPr>
            <w:tcW w:w="1418" w:type="dxa"/>
          </w:tcPr>
          <w:p w14:paraId="5BA34CC3" w14:textId="628A8327" w:rsidR="00AF2774" w:rsidRDefault="00AF2774"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O</w:t>
            </w:r>
            <w:r>
              <w:rPr>
                <w:rFonts w:eastAsiaTheme="minorEastAsia"/>
                <w:lang w:eastAsia="zh-CN"/>
              </w:rPr>
              <w:t>thers</w:t>
            </w:r>
          </w:p>
        </w:tc>
        <w:tc>
          <w:tcPr>
            <w:tcW w:w="4586" w:type="dxa"/>
          </w:tcPr>
          <w:p w14:paraId="4D31B455" w14:textId="77777777" w:rsidR="00AF2774" w:rsidRPr="00EB0727" w:rsidRDefault="00AF2774" w:rsidP="00FF079F">
            <w:pPr>
              <w:pStyle w:val="afa"/>
              <w:numPr>
                <w:ilvl w:val="0"/>
                <w:numId w:val="26"/>
              </w:numPr>
              <w:autoSpaceDE/>
              <w:autoSpaceDN/>
              <w:adjustRightInd/>
              <w:spacing w:beforeLines="50" w:before="120" w:afterLines="50" w:after="120"/>
              <w:contextualSpacing w:val="0"/>
              <w:jc w:val="both"/>
            </w:pPr>
            <w:r w:rsidRPr="00EB0727">
              <w:t>Support 16-QAM for multi-TB scheduling.</w:t>
            </w:r>
          </w:p>
          <w:p w14:paraId="06E00B5B" w14:textId="77777777" w:rsidR="00AF2774" w:rsidRPr="009E5A66" w:rsidRDefault="00AF2774" w:rsidP="00FF079F">
            <w:pPr>
              <w:pStyle w:val="afa"/>
              <w:numPr>
                <w:ilvl w:val="0"/>
                <w:numId w:val="26"/>
              </w:numPr>
              <w:autoSpaceDE/>
              <w:autoSpaceDN/>
              <w:adjustRightInd/>
              <w:spacing w:beforeLines="50" w:before="120" w:afterLines="50" w:after="120"/>
              <w:contextualSpacing w:val="0"/>
              <w:jc w:val="both"/>
              <w:rPr>
                <w:rFonts w:cs="Times"/>
                <w:bCs/>
              </w:rPr>
            </w:pPr>
            <w:r w:rsidRPr="00EB0727">
              <w:t>Support 16-QAM for NPDSCH and NPUSCH in PUR procedure,</w:t>
            </w:r>
          </w:p>
          <w:p w14:paraId="22C4BD71" w14:textId="2A71D360" w:rsidR="00AF2774" w:rsidRPr="00FF079F" w:rsidRDefault="00AF2774" w:rsidP="00FF079F">
            <w:pPr>
              <w:pStyle w:val="afa"/>
              <w:widowControl/>
              <w:numPr>
                <w:ilvl w:val="0"/>
                <w:numId w:val="26"/>
              </w:numPr>
              <w:overflowPunct w:val="0"/>
              <w:spacing w:beforeLines="50" w:before="120" w:afterLines="50" w:after="120"/>
              <w:contextualSpacing w:val="0"/>
            </w:pPr>
            <w:r w:rsidRPr="002D4B87">
              <w:t>Repetitions larger than 2 are not supported in case of 16QAM for downlink</w:t>
            </w:r>
            <w:r>
              <w:t xml:space="preserve"> (Only support 1 repetition and no repetition)</w:t>
            </w:r>
          </w:p>
        </w:tc>
        <w:tc>
          <w:tcPr>
            <w:tcW w:w="2926" w:type="dxa"/>
          </w:tcPr>
          <w:p w14:paraId="741BA694" w14:textId="7E778651" w:rsidR="00AD191C" w:rsidRDefault="00AD191C" w:rsidP="00340AAE">
            <w:pPr>
              <w:pStyle w:val="afa"/>
              <w:numPr>
                <w:ilvl w:val="0"/>
                <w:numId w:val="27"/>
              </w:numPr>
              <w:overflowPunct w:val="0"/>
              <w:spacing w:before="120" w:after="120"/>
              <w:contextualSpacing w:val="0"/>
              <w:textAlignment w:val="baseline"/>
              <w:rPr>
                <w:rFonts w:eastAsiaTheme="minorEastAsia"/>
              </w:rPr>
            </w:pPr>
            <w:r>
              <w:rPr>
                <w:rFonts w:eastAsiaTheme="minorEastAsia"/>
              </w:rPr>
              <w:t>Multi-TB scheduling is covered in Rel-16</w:t>
            </w:r>
          </w:p>
          <w:p w14:paraId="4A68C9C3" w14:textId="6DC88DC2" w:rsidR="00AD191C" w:rsidRDefault="00AD191C" w:rsidP="00340AAE">
            <w:pPr>
              <w:pStyle w:val="afa"/>
              <w:numPr>
                <w:ilvl w:val="0"/>
                <w:numId w:val="27"/>
              </w:numPr>
              <w:overflowPunct w:val="0"/>
              <w:spacing w:before="120" w:after="120"/>
              <w:contextualSpacing w:val="0"/>
              <w:textAlignment w:val="baseline"/>
              <w:rPr>
                <w:rFonts w:eastAsiaTheme="minorEastAsia"/>
              </w:rPr>
            </w:pPr>
            <w:r>
              <w:rPr>
                <w:rFonts w:eastAsiaTheme="minorEastAsia" w:hint="eastAsia"/>
              </w:rPr>
              <w:t>P</w:t>
            </w:r>
            <w:r>
              <w:rPr>
                <w:rFonts w:eastAsiaTheme="minorEastAsia"/>
              </w:rPr>
              <w:t>UR has no impact on demodulation performance</w:t>
            </w:r>
          </w:p>
          <w:p w14:paraId="70A46167" w14:textId="7C21808B" w:rsidR="00AF2774" w:rsidRDefault="00AF2774" w:rsidP="00AD191C">
            <w:pPr>
              <w:pStyle w:val="afa"/>
              <w:numPr>
                <w:ilvl w:val="0"/>
                <w:numId w:val="27"/>
              </w:numPr>
              <w:overflowPunct w:val="0"/>
              <w:spacing w:before="120" w:after="120"/>
              <w:contextualSpacing w:val="0"/>
              <w:textAlignment w:val="baseline"/>
              <w:rPr>
                <w:rFonts w:eastAsiaTheme="minorEastAsia"/>
              </w:rPr>
            </w:pPr>
          </w:p>
        </w:tc>
      </w:tr>
    </w:tbl>
    <w:p w14:paraId="477A3BD9" w14:textId="2610D973" w:rsidR="00B048F4" w:rsidRDefault="00AD191C" w:rsidP="00CE22FD">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As analysed in Table 1 shown above</w:t>
      </w:r>
      <w:r w:rsidR="009B65E5">
        <w:rPr>
          <w:rFonts w:eastAsiaTheme="minorEastAsia"/>
          <w:lang w:eastAsia="zh-CN"/>
        </w:rPr>
        <w:t>,</w:t>
      </w:r>
      <w:r w:rsidR="00262322">
        <w:rPr>
          <w:rFonts w:eastAsiaTheme="minorEastAsia"/>
          <w:lang w:eastAsia="zh-CN"/>
        </w:rPr>
        <w:t xml:space="preserve"> two main features introduced in Rel-17 WI additional enhancement NB-IOT </w:t>
      </w:r>
      <w:r w:rsidR="0076780C">
        <w:rPr>
          <w:rFonts w:eastAsiaTheme="minorEastAsia"/>
          <w:lang w:eastAsia="zh-CN"/>
        </w:rPr>
        <w:t xml:space="preserve">for UE side </w:t>
      </w:r>
      <w:r w:rsidR="00262322">
        <w:rPr>
          <w:rFonts w:eastAsiaTheme="minorEastAsia"/>
          <w:lang w:eastAsia="zh-CN"/>
        </w:rPr>
        <w:t xml:space="preserve">are 16QAM and larger TBS, the intention of the design of these features is to increase the peak date rate which is twice of that of </w:t>
      </w:r>
      <w:r w:rsidR="00262322">
        <w:rPr>
          <w:rFonts w:eastAsiaTheme="minorEastAsia"/>
          <w:lang w:eastAsia="zh-CN"/>
        </w:rPr>
        <w:lastRenderedPageBreak/>
        <w:t>legacy NB UE, therefore, the maximum TB</w:t>
      </w:r>
      <w:r w:rsidR="0076780C">
        <w:rPr>
          <w:rFonts w:eastAsiaTheme="minorEastAsia"/>
          <w:lang w:eastAsia="zh-CN"/>
        </w:rPr>
        <w:t>S</w:t>
      </w:r>
      <w:r w:rsidR="00262322">
        <w:rPr>
          <w:rFonts w:eastAsiaTheme="minorEastAsia"/>
          <w:lang w:eastAsia="zh-CN"/>
        </w:rPr>
        <w:t xml:space="preserve"> is almost doubled and maximum </w:t>
      </w:r>
      <w:r w:rsidR="0076780C">
        <w:rPr>
          <w:rFonts w:eastAsiaTheme="minorEastAsia"/>
          <w:lang w:eastAsia="zh-CN"/>
        </w:rPr>
        <w:t>buffer size is defined. It is noted that all these features are only applicable for Cat NB2.</w:t>
      </w:r>
    </w:p>
    <w:p w14:paraId="28361524" w14:textId="232FE8A5" w:rsidR="0076780C" w:rsidRPr="0076780C" w:rsidRDefault="0076780C" w:rsidP="00CE22FD">
      <w:pPr>
        <w:overflowPunct w:val="0"/>
        <w:autoSpaceDE w:val="0"/>
        <w:autoSpaceDN w:val="0"/>
        <w:adjustRightInd w:val="0"/>
        <w:spacing w:before="120" w:after="120"/>
        <w:textAlignment w:val="baseline"/>
        <w:rPr>
          <w:rFonts w:eastAsiaTheme="minorEastAsia"/>
          <w:b/>
          <w:i/>
          <w:lang w:eastAsia="zh-CN"/>
        </w:rPr>
      </w:pPr>
      <w:r w:rsidRPr="0076780C">
        <w:rPr>
          <w:rFonts w:eastAsiaTheme="minorEastAsia" w:hint="eastAsia"/>
          <w:b/>
          <w:i/>
          <w:lang w:eastAsia="zh-CN"/>
        </w:rPr>
        <w:t>O</w:t>
      </w:r>
      <w:r w:rsidRPr="0076780C">
        <w:rPr>
          <w:rFonts w:eastAsiaTheme="minorEastAsia"/>
          <w:b/>
          <w:i/>
          <w:lang w:eastAsia="zh-CN"/>
        </w:rPr>
        <w:t xml:space="preserve">bservation 1: Two main </w:t>
      </w:r>
      <w:r>
        <w:rPr>
          <w:rFonts w:eastAsiaTheme="minorEastAsia"/>
          <w:b/>
          <w:i/>
          <w:lang w:eastAsia="zh-CN"/>
        </w:rPr>
        <w:t xml:space="preserve">new </w:t>
      </w:r>
      <w:r w:rsidRPr="0076780C">
        <w:rPr>
          <w:rFonts w:eastAsiaTheme="minorEastAsia"/>
          <w:b/>
          <w:i/>
          <w:lang w:eastAsia="zh-CN"/>
        </w:rPr>
        <w:t>features</w:t>
      </w:r>
      <w:r>
        <w:rPr>
          <w:rFonts w:eastAsiaTheme="minorEastAsia"/>
          <w:b/>
          <w:i/>
          <w:lang w:eastAsia="zh-CN"/>
        </w:rPr>
        <w:t xml:space="preserve"> </w:t>
      </w:r>
      <w:r w:rsidR="00AD191C">
        <w:rPr>
          <w:rFonts w:eastAsiaTheme="minorEastAsia"/>
          <w:b/>
          <w:i/>
          <w:lang w:eastAsia="zh-CN"/>
        </w:rPr>
        <w:t xml:space="preserve">of </w:t>
      </w:r>
      <w:r w:rsidR="00AD191C" w:rsidRPr="0076780C">
        <w:rPr>
          <w:rFonts w:eastAsiaTheme="minorEastAsia"/>
          <w:b/>
          <w:i/>
          <w:lang w:eastAsia="zh-CN"/>
        </w:rPr>
        <w:t>16QAM and larger TBS</w:t>
      </w:r>
      <w:r w:rsidR="00AD191C">
        <w:rPr>
          <w:rFonts w:eastAsiaTheme="minorEastAsia"/>
          <w:b/>
          <w:i/>
          <w:lang w:eastAsia="zh-CN"/>
        </w:rPr>
        <w:t xml:space="preserve"> </w:t>
      </w:r>
      <w:r>
        <w:rPr>
          <w:rFonts w:eastAsiaTheme="minorEastAsia"/>
          <w:b/>
          <w:i/>
          <w:lang w:eastAsia="zh-CN"/>
        </w:rPr>
        <w:t>specified for Cat NB2 UE</w:t>
      </w:r>
      <w:r w:rsidRPr="0076780C">
        <w:rPr>
          <w:rFonts w:eastAsiaTheme="minorEastAsia"/>
          <w:b/>
          <w:i/>
          <w:lang w:eastAsia="zh-CN"/>
        </w:rPr>
        <w:t xml:space="preserve"> </w:t>
      </w:r>
      <w:r w:rsidR="00AD191C">
        <w:rPr>
          <w:rFonts w:eastAsiaTheme="minorEastAsia"/>
          <w:b/>
          <w:i/>
          <w:lang w:eastAsia="zh-CN"/>
        </w:rPr>
        <w:t xml:space="preserve">are </w:t>
      </w:r>
      <w:r w:rsidRPr="0076780C">
        <w:rPr>
          <w:rFonts w:eastAsiaTheme="minorEastAsia"/>
          <w:b/>
          <w:i/>
          <w:lang w:eastAsia="zh-CN"/>
        </w:rPr>
        <w:t>introduced in Rel-17 WI additional enhancement NB-IOT.</w:t>
      </w:r>
    </w:p>
    <w:p w14:paraId="5A9AF3A8" w14:textId="7FFCD662" w:rsidR="00E22344" w:rsidRDefault="0057371E" w:rsidP="00E22344">
      <w:pPr>
        <w:pStyle w:val="1"/>
        <w:spacing w:after="0"/>
        <w:rPr>
          <w:rFonts w:ascii="Arial" w:eastAsia="Calibri" w:hAnsi="Arial" w:cs="Arial"/>
          <w:lang w:eastAsia="zh-CN"/>
        </w:rPr>
      </w:pPr>
      <w:r>
        <w:rPr>
          <w:rFonts w:ascii="Arial" w:eastAsia="Calibri" w:hAnsi="Arial" w:cs="Arial"/>
          <w:lang w:eastAsia="zh-CN"/>
        </w:rPr>
        <w:t>Discussion on UE performance requirements</w:t>
      </w:r>
    </w:p>
    <w:p w14:paraId="672EC3E5" w14:textId="32535B4E" w:rsidR="001537CA" w:rsidRDefault="0076780C"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B</w:t>
      </w:r>
      <w:r>
        <w:rPr>
          <w:rFonts w:eastAsiaTheme="minorEastAsia"/>
          <w:lang w:eastAsia="zh-CN"/>
        </w:rPr>
        <w:t>ased from our understanding, both 16QAM and new TBS should be verified. Our preference is</w:t>
      </w:r>
      <w:r w:rsidR="001537CA">
        <w:rPr>
          <w:rFonts w:eastAsiaTheme="minorEastAsia"/>
          <w:lang w:eastAsia="zh-CN"/>
        </w:rPr>
        <w:t xml:space="preserve"> to</w:t>
      </w:r>
      <w:r>
        <w:rPr>
          <w:rFonts w:eastAsiaTheme="minorEastAsia"/>
          <w:lang w:eastAsia="zh-CN"/>
        </w:rPr>
        <w:t xml:space="preserve"> define one test case </w:t>
      </w:r>
      <w:r w:rsidR="00AD191C">
        <w:rPr>
          <w:rFonts w:eastAsiaTheme="minorEastAsia"/>
          <w:lang w:eastAsia="zh-CN"/>
        </w:rPr>
        <w:t xml:space="preserve">for </w:t>
      </w:r>
      <w:r w:rsidR="001537CA">
        <w:rPr>
          <w:rFonts w:eastAsiaTheme="minorEastAsia"/>
          <w:lang w:eastAsia="zh-CN"/>
        </w:rPr>
        <w:t xml:space="preserve">UE supporting </w:t>
      </w:r>
      <w:r w:rsidR="00AD191C">
        <w:rPr>
          <w:rFonts w:eastAsiaTheme="minorEastAsia"/>
          <w:lang w:eastAsia="zh-CN"/>
        </w:rPr>
        <w:t xml:space="preserve">both </w:t>
      </w:r>
      <w:r>
        <w:rPr>
          <w:rFonts w:eastAsiaTheme="minorEastAsia"/>
          <w:lang w:eastAsia="zh-CN"/>
        </w:rPr>
        <w:t xml:space="preserve">16QAM and all new TBS in </w:t>
      </w:r>
      <w:r w:rsidR="001537CA">
        <w:rPr>
          <w:rFonts w:eastAsiaTheme="minorEastAsia"/>
          <w:lang w:eastAsia="zh-CN"/>
        </w:rPr>
        <w:t>extended TBS table</w:t>
      </w:r>
      <w:r>
        <w:rPr>
          <w:rFonts w:eastAsiaTheme="minorEastAsia"/>
          <w:lang w:eastAsia="zh-CN"/>
        </w:rPr>
        <w:t xml:space="preserve"> </w:t>
      </w:r>
      <w:r w:rsidR="001537CA">
        <w:rPr>
          <w:rFonts w:eastAsiaTheme="minorEastAsia"/>
          <w:lang w:eastAsia="zh-CN"/>
        </w:rPr>
        <w:t>can be verified. Therefore, we propose to introduce the soft buffer test with maximum TBS</w:t>
      </w:r>
      <w:r w:rsidR="00AD191C">
        <w:rPr>
          <w:rFonts w:eastAsiaTheme="minorEastAsia"/>
          <w:lang w:eastAsia="zh-CN"/>
        </w:rPr>
        <w:t xml:space="preserve">, </w:t>
      </w:r>
      <w:r w:rsidR="001537CA">
        <w:rPr>
          <w:rFonts w:eastAsiaTheme="minorEastAsia"/>
          <w:lang w:eastAsia="zh-CN"/>
        </w:rPr>
        <w:t xml:space="preserve">i.e.4968 bits and 16QAM. If UE </w:t>
      </w:r>
      <w:r w:rsidR="00AD191C">
        <w:rPr>
          <w:rFonts w:eastAsiaTheme="minorEastAsia"/>
          <w:lang w:eastAsia="zh-CN"/>
        </w:rPr>
        <w:t xml:space="preserve">can </w:t>
      </w:r>
      <w:r w:rsidR="001537CA">
        <w:rPr>
          <w:rFonts w:eastAsiaTheme="minorEastAsia"/>
          <w:lang w:eastAsia="zh-CN"/>
        </w:rPr>
        <w:t>pass the test with maximum TBS, all remain</w:t>
      </w:r>
      <w:r w:rsidR="00AD191C">
        <w:rPr>
          <w:rFonts w:eastAsiaTheme="minorEastAsia"/>
          <w:lang w:eastAsia="zh-CN"/>
        </w:rPr>
        <w:t>ing</w:t>
      </w:r>
      <w:r w:rsidR="001537CA">
        <w:rPr>
          <w:rFonts w:eastAsiaTheme="minorEastAsia"/>
          <w:lang w:eastAsia="zh-CN"/>
        </w:rPr>
        <w:t xml:space="preserve"> TBS will be supported. </w:t>
      </w:r>
      <w:r w:rsidR="001537CA">
        <w:rPr>
          <w:rFonts w:eastAsiaTheme="minorEastAsia" w:hint="eastAsia"/>
          <w:lang w:eastAsia="zh-CN"/>
        </w:rPr>
        <w:t>T</w:t>
      </w:r>
      <w:r w:rsidR="001537CA">
        <w:rPr>
          <w:rFonts w:eastAsiaTheme="minorEastAsia"/>
          <w:lang w:eastAsia="zh-CN"/>
        </w:rPr>
        <w:t xml:space="preserve">he test purpose is also align with </w:t>
      </w:r>
      <w:r w:rsidR="00293414">
        <w:rPr>
          <w:rFonts w:eastAsiaTheme="minorEastAsia"/>
          <w:lang w:eastAsia="zh-CN"/>
        </w:rPr>
        <w:t>requirement</w:t>
      </w:r>
      <w:r w:rsidR="001537CA">
        <w:rPr>
          <w:rFonts w:eastAsiaTheme="minorEastAsia"/>
          <w:lang w:eastAsia="zh-CN"/>
        </w:rPr>
        <w:t xml:space="preserve"> of WI that </w:t>
      </w:r>
      <w:r w:rsidR="00AD191C">
        <w:rPr>
          <w:rFonts w:eastAsiaTheme="minorEastAsia"/>
          <w:lang w:eastAsia="zh-CN"/>
        </w:rPr>
        <w:t>increases</w:t>
      </w:r>
      <w:r w:rsidR="001537CA">
        <w:rPr>
          <w:rFonts w:eastAsiaTheme="minorEastAsia"/>
          <w:lang w:eastAsia="zh-CN"/>
        </w:rPr>
        <w:t xml:space="preserve"> the maximum date rate.</w:t>
      </w:r>
    </w:p>
    <w:p w14:paraId="6F7D28A8" w14:textId="6B313150" w:rsidR="001537CA" w:rsidRPr="00293414" w:rsidRDefault="001537CA" w:rsidP="00520C5D">
      <w:pPr>
        <w:overflowPunct w:val="0"/>
        <w:autoSpaceDE w:val="0"/>
        <w:autoSpaceDN w:val="0"/>
        <w:adjustRightInd w:val="0"/>
        <w:spacing w:before="120" w:after="0"/>
        <w:textAlignment w:val="baseline"/>
        <w:rPr>
          <w:rFonts w:eastAsiaTheme="minorEastAsia"/>
          <w:b/>
          <w:i/>
          <w:lang w:eastAsia="zh-CN"/>
        </w:rPr>
      </w:pPr>
      <w:r w:rsidRPr="00293414">
        <w:rPr>
          <w:rFonts w:eastAsiaTheme="minorEastAsia"/>
          <w:b/>
          <w:i/>
          <w:lang w:eastAsia="zh-CN"/>
        </w:rPr>
        <w:t>Proposal 1: Introduce the soft buffer test with maximum TBS and 16QA</w:t>
      </w:r>
      <w:r w:rsidR="00293414" w:rsidRPr="00293414">
        <w:rPr>
          <w:rFonts w:eastAsiaTheme="minorEastAsia"/>
          <w:b/>
          <w:i/>
          <w:lang w:eastAsia="zh-CN"/>
        </w:rPr>
        <w:t xml:space="preserve">M </w:t>
      </w:r>
      <w:r w:rsidRPr="00293414">
        <w:rPr>
          <w:rFonts w:eastAsiaTheme="minorEastAsia"/>
          <w:b/>
          <w:i/>
          <w:lang w:eastAsia="zh-CN"/>
        </w:rPr>
        <w:t>for Cat NB2 UE to verify:</w:t>
      </w:r>
    </w:p>
    <w:p w14:paraId="78558DEC" w14:textId="3B4007D4" w:rsidR="00293414" w:rsidRPr="00293414" w:rsidRDefault="00293414" w:rsidP="00293414">
      <w:pPr>
        <w:pStyle w:val="afa"/>
        <w:numPr>
          <w:ilvl w:val="0"/>
          <w:numId w:val="30"/>
        </w:numPr>
        <w:overflowPunct w:val="0"/>
        <w:spacing w:before="120" w:after="120"/>
        <w:textAlignment w:val="baseline"/>
        <w:rPr>
          <w:rFonts w:eastAsiaTheme="minorEastAsia"/>
          <w:b/>
          <w:i/>
        </w:rPr>
      </w:pPr>
      <w:r w:rsidRPr="00293414">
        <w:rPr>
          <w:rFonts w:eastAsiaTheme="minorEastAsia"/>
          <w:b/>
          <w:i/>
        </w:rPr>
        <w:t xml:space="preserve">16 QAM reception </w:t>
      </w:r>
    </w:p>
    <w:p w14:paraId="2279176D" w14:textId="0448DE31" w:rsidR="00293414" w:rsidRPr="00293414" w:rsidRDefault="00293414" w:rsidP="00293414">
      <w:pPr>
        <w:pStyle w:val="afa"/>
        <w:numPr>
          <w:ilvl w:val="0"/>
          <w:numId w:val="30"/>
        </w:numPr>
        <w:overflowPunct w:val="0"/>
        <w:spacing w:before="120" w:after="120"/>
        <w:textAlignment w:val="baseline"/>
        <w:rPr>
          <w:rFonts w:eastAsiaTheme="minorEastAsia"/>
          <w:b/>
          <w:i/>
        </w:rPr>
      </w:pPr>
      <w:r>
        <w:rPr>
          <w:rFonts w:eastAsiaTheme="minorEastAsia"/>
          <w:b/>
          <w:i/>
        </w:rPr>
        <w:t>N</w:t>
      </w:r>
      <w:r w:rsidRPr="00293414">
        <w:rPr>
          <w:rFonts w:eastAsiaTheme="minorEastAsia"/>
          <w:b/>
          <w:i/>
        </w:rPr>
        <w:t xml:space="preserve">ew TBSs </w:t>
      </w:r>
    </w:p>
    <w:p w14:paraId="57B73EC3" w14:textId="68148B1E" w:rsidR="00293414" w:rsidRPr="00293414" w:rsidRDefault="00293414" w:rsidP="00293414">
      <w:pPr>
        <w:pStyle w:val="afa"/>
        <w:numPr>
          <w:ilvl w:val="0"/>
          <w:numId w:val="30"/>
        </w:numPr>
        <w:overflowPunct w:val="0"/>
        <w:spacing w:before="120" w:after="120"/>
        <w:textAlignment w:val="baseline"/>
        <w:rPr>
          <w:rFonts w:eastAsiaTheme="minorEastAsia"/>
          <w:b/>
          <w:i/>
        </w:rPr>
      </w:pPr>
      <w:r w:rsidRPr="00293414">
        <w:rPr>
          <w:rFonts w:eastAsiaTheme="minorEastAsia"/>
          <w:b/>
          <w:i/>
        </w:rPr>
        <w:t>Maximum soft buffer size</w:t>
      </w:r>
    </w:p>
    <w:p w14:paraId="4B059152" w14:textId="0D0DEFCD" w:rsidR="001537CA" w:rsidRPr="00293414" w:rsidRDefault="00293414" w:rsidP="00CE22FD">
      <w:pPr>
        <w:overflowPunct w:val="0"/>
        <w:autoSpaceDE w:val="0"/>
        <w:autoSpaceDN w:val="0"/>
        <w:adjustRightInd w:val="0"/>
        <w:spacing w:before="120" w:after="120"/>
        <w:textAlignment w:val="baseline"/>
        <w:rPr>
          <w:rFonts w:eastAsiaTheme="minorEastAsia"/>
          <w:b/>
          <w:u w:val="single"/>
          <w:lang w:eastAsia="zh-CN"/>
        </w:rPr>
      </w:pPr>
      <w:r w:rsidRPr="00293414">
        <w:rPr>
          <w:rFonts w:eastAsiaTheme="minorEastAsia"/>
          <w:b/>
          <w:u w:val="single"/>
          <w:lang w:eastAsia="zh-CN"/>
        </w:rPr>
        <w:t>Deployment</w:t>
      </w:r>
    </w:p>
    <w:p w14:paraId="4517702D" w14:textId="2A2D799B" w:rsidR="00293414" w:rsidRDefault="00293414" w:rsidP="00CE22FD">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Maximum soft buffer size is defined for standalone/guard band scenario, hence, we propose to only consider standalone/guard band scenario.</w:t>
      </w:r>
    </w:p>
    <w:p w14:paraId="1A0B4EE6" w14:textId="3FC1BE7C" w:rsidR="00293414" w:rsidRPr="00293414" w:rsidRDefault="00293414" w:rsidP="00CE22FD">
      <w:pPr>
        <w:overflowPunct w:val="0"/>
        <w:autoSpaceDE w:val="0"/>
        <w:autoSpaceDN w:val="0"/>
        <w:adjustRightInd w:val="0"/>
        <w:spacing w:before="120" w:after="120"/>
        <w:textAlignment w:val="baseline"/>
        <w:rPr>
          <w:rFonts w:eastAsiaTheme="minorEastAsia"/>
          <w:b/>
          <w:u w:val="single"/>
          <w:lang w:eastAsia="zh-CN"/>
        </w:rPr>
      </w:pPr>
      <w:r w:rsidRPr="00293414">
        <w:rPr>
          <w:rFonts w:eastAsiaTheme="minorEastAsia"/>
          <w:b/>
          <w:u w:val="single"/>
          <w:lang w:eastAsia="zh-CN"/>
        </w:rPr>
        <w:t>Propagation conditions</w:t>
      </w:r>
    </w:p>
    <w:p w14:paraId="65457F40" w14:textId="2EE52193" w:rsidR="003672C6" w:rsidRDefault="00293414" w:rsidP="00CE22FD">
      <w:pPr>
        <w:overflowPunct w:val="0"/>
        <w:autoSpaceDE w:val="0"/>
        <w:autoSpaceDN w:val="0"/>
        <w:adjustRightInd w:val="0"/>
        <w:spacing w:before="120" w:after="120"/>
        <w:textAlignment w:val="baseline"/>
        <w:rPr>
          <w:rFonts w:eastAsiaTheme="minorEastAsia"/>
          <w:lang w:eastAsia="zh-CN"/>
        </w:rPr>
      </w:pPr>
      <w:r w:rsidRPr="00293414">
        <w:rPr>
          <w:rFonts w:eastAsiaTheme="minorEastAsia"/>
          <w:lang w:eastAsia="zh-CN"/>
        </w:rPr>
        <w:t xml:space="preserve">Considering the test purpose </w:t>
      </w:r>
      <w:r>
        <w:rPr>
          <w:rFonts w:eastAsiaTheme="minorEastAsia"/>
          <w:lang w:eastAsia="zh-CN"/>
        </w:rPr>
        <w:t xml:space="preserve">is to verify the new modulation order and larger TBS, we think AWGN is more feasible since only LLR calculation, decoding and HARQ buffer size are key processes </w:t>
      </w:r>
      <w:r w:rsidR="003672C6">
        <w:rPr>
          <w:rFonts w:eastAsiaTheme="minorEastAsia"/>
          <w:lang w:eastAsia="zh-CN"/>
        </w:rPr>
        <w:t>associated with these new features while reference signals used for channel estimation is not changed which is more sensitive with fading channel.</w:t>
      </w:r>
    </w:p>
    <w:p w14:paraId="7514486D" w14:textId="0E30578F" w:rsidR="00520C5D" w:rsidRDefault="00520C5D" w:rsidP="00520C5D">
      <w:pPr>
        <w:overflowPunct w:val="0"/>
        <w:autoSpaceDE w:val="0"/>
        <w:autoSpaceDN w:val="0"/>
        <w:adjustRightInd w:val="0"/>
        <w:spacing w:before="120" w:after="120"/>
        <w:textAlignment w:val="baseline"/>
        <w:rPr>
          <w:rFonts w:eastAsiaTheme="minorEastAsia"/>
          <w:b/>
          <w:u w:val="single"/>
          <w:lang w:eastAsia="zh-CN"/>
        </w:rPr>
      </w:pPr>
      <w:r>
        <w:rPr>
          <w:rFonts w:eastAsiaTheme="minorEastAsia"/>
          <w:b/>
          <w:u w:val="single"/>
          <w:lang w:eastAsia="zh-CN"/>
        </w:rPr>
        <w:t>Number of NRS port</w:t>
      </w:r>
    </w:p>
    <w:p w14:paraId="0484C8B4" w14:textId="71F362DD" w:rsidR="00520C5D" w:rsidRPr="00520C5D" w:rsidRDefault="00520C5D"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I</w:t>
      </w:r>
      <w:r>
        <w:rPr>
          <w:rFonts w:eastAsiaTheme="minorEastAsia"/>
          <w:lang w:eastAsia="zh-CN"/>
        </w:rPr>
        <w:t>n order to verify the maximum soft buffer size, 1 NRS port with minimum overhead can be used.</w:t>
      </w:r>
    </w:p>
    <w:p w14:paraId="61015E67" w14:textId="5042C33D" w:rsidR="003672C6" w:rsidRDefault="003672C6" w:rsidP="00CE22FD">
      <w:pPr>
        <w:overflowPunct w:val="0"/>
        <w:autoSpaceDE w:val="0"/>
        <w:autoSpaceDN w:val="0"/>
        <w:adjustRightInd w:val="0"/>
        <w:spacing w:before="120" w:after="120"/>
        <w:textAlignment w:val="baseline"/>
        <w:rPr>
          <w:rFonts w:eastAsiaTheme="minorEastAsia"/>
          <w:b/>
          <w:u w:val="single"/>
          <w:lang w:eastAsia="zh-CN"/>
        </w:rPr>
      </w:pPr>
      <w:r w:rsidRPr="003672C6">
        <w:rPr>
          <w:rFonts w:eastAsiaTheme="minorEastAsia"/>
          <w:b/>
          <w:u w:val="single"/>
          <w:lang w:eastAsia="zh-CN"/>
        </w:rPr>
        <w:t>PDSCH</w:t>
      </w:r>
      <w:r>
        <w:rPr>
          <w:rFonts w:eastAsiaTheme="minorEastAsia"/>
          <w:b/>
          <w:u w:val="single"/>
          <w:lang w:eastAsia="zh-CN"/>
        </w:rPr>
        <w:t>/PDCCH</w:t>
      </w:r>
      <w:r w:rsidRPr="003672C6">
        <w:rPr>
          <w:rFonts w:eastAsiaTheme="minorEastAsia"/>
          <w:b/>
          <w:u w:val="single"/>
          <w:lang w:eastAsia="zh-CN"/>
        </w:rPr>
        <w:t xml:space="preserve"> repetition</w:t>
      </w:r>
    </w:p>
    <w:p w14:paraId="6EC6112B" w14:textId="5FA01C60" w:rsidR="00520C5D" w:rsidRPr="003672C6" w:rsidRDefault="003672C6" w:rsidP="00CE22FD">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 xml:space="preserve">RAN 1 has specified that maximum </w:t>
      </w:r>
      <w:r w:rsidR="005D7713">
        <w:rPr>
          <w:rFonts w:eastAsiaTheme="minorEastAsia"/>
          <w:lang w:eastAsia="zh-CN"/>
        </w:rPr>
        <w:t xml:space="preserve">repetition </w:t>
      </w:r>
      <w:r>
        <w:rPr>
          <w:rFonts w:eastAsiaTheme="minorEastAsia"/>
          <w:lang w:eastAsia="zh-CN"/>
        </w:rPr>
        <w:t>number of PDSCH transmission is 2, based on our understanding, for soft buffer test there is no need t</w:t>
      </w:r>
      <w:r w:rsidR="00520C5D">
        <w:rPr>
          <w:rFonts w:eastAsiaTheme="minorEastAsia"/>
          <w:lang w:eastAsia="zh-CN"/>
        </w:rPr>
        <w:t>o configure</w:t>
      </w:r>
      <w:r>
        <w:rPr>
          <w:rFonts w:eastAsiaTheme="minorEastAsia"/>
          <w:lang w:eastAsia="zh-CN"/>
        </w:rPr>
        <w:t xml:space="preserve"> repetition which will reduce the data rate. Meanwhile, considering the robust of NPDCCH and high SNR point </w:t>
      </w:r>
      <w:r w:rsidR="00520C5D">
        <w:rPr>
          <w:rFonts w:eastAsiaTheme="minorEastAsia"/>
          <w:lang w:eastAsia="zh-CN"/>
        </w:rPr>
        <w:t xml:space="preserve">due to high code rate of NPDSCH, </w:t>
      </w:r>
      <w:r w:rsidR="005D7713">
        <w:rPr>
          <w:rFonts w:eastAsiaTheme="minorEastAsia"/>
          <w:lang w:eastAsia="zh-CN"/>
        </w:rPr>
        <w:t>NPDCCH performance can be guaranteed and then</w:t>
      </w:r>
      <w:r w:rsidR="00520C5D">
        <w:rPr>
          <w:rFonts w:eastAsiaTheme="minorEastAsia"/>
          <w:lang w:eastAsia="zh-CN"/>
        </w:rPr>
        <w:t xml:space="preserve"> no need to configure NPDCCH repetition</w:t>
      </w:r>
      <w:r w:rsidR="005D7713">
        <w:rPr>
          <w:rFonts w:eastAsiaTheme="minorEastAsia"/>
          <w:lang w:eastAsia="zh-CN"/>
        </w:rPr>
        <w:t xml:space="preserve"> for the test</w:t>
      </w:r>
      <w:r w:rsidR="00520C5D">
        <w:rPr>
          <w:rFonts w:eastAsiaTheme="minorEastAsia"/>
          <w:lang w:eastAsia="zh-CN"/>
        </w:rPr>
        <w:t>.</w:t>
      </w:r>
      <w:r>
        <w:rPr>
          <w:rFonts w:eastAsiaTheme="minorEastAsia"/>
          <w:lang w:eastAsia="zh-CN"/>
        </w:rPr>
        <w:t xml:space="preserve"> </w:t>
      </w:r>
    </w:p>
    <w:p w14:paraId="12695C87" w14:textId="1620386F" w:rsidR="003672C6" w:rsidRDefault="00520C5D" w:rsidP="00CE22FD">
      <w:pPr>
        <w:overflowPunct w:val="0"/>
        <w:autoSpaceDE w:val="0"/>
        <w:autoSpaceDN w:val="0"/>
        <w:adjustRightInd w:val="0"/>
        <w:spacing w:before="120" w:after="120"/>
        <w:textAlignment w:val="baseline"/>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ower allocation</w:t>
      </w:r>
    </w:p>
    <w:p w14:paraId="6D21AE2C" w14:textId="7AF8356F" w:rsidR="00520C5D" w:rsidRPr="00CC0640" w:rsidRDefault="00520C5D" w:rsidP="00520C5D">
      <w:pPr>
        <w:overflowPunct w:val="0"/>
        <w:autoSpaceDE w:val="0"/>
        <w:autoSpaceDN w:val="0"/>
        <w:adjustRightInd w:val="0"/>
        <w:spacing w:before="120" w:after="120"/>
        <w:textAlignment w:val="baseline"/>
      </w:pPr>
      <w:r w:rsidRPr="00520C5D">
        <w:rPr>
          <w:rFonts w:eastAsiaTheme="minorEastAsia"/>
          <w:lang w:eastAsia="zh-CN"/>
        </w:rPr>
        <w:t xml:space="preserve">Based on </w:t>
      </w:r>
      <w:r>
        <w:rPr>
          <w:rFonts w:eastAsiaTheme="minorEastAsia"/>
          <w:lang w:eastAsia="zh-CN"/>
        </w:rPr>
        <w:t xml:space="preserve">our understanding, in previous release, the EPRE of NPDSCH is up to BS’s implementation and only EPRE of NRS is informed to UE by UE dedicated RRC signalling. It is no problem for QPSK, but the performance will be degraded for 16QAM. </w:t>
      </w:r>
      <w:r w:rsidR="00CC0640">
        <w:rPr>
          <w:rFonts w:eastAsiaTheme="minorEastAsia"/>
          <w:lang w:eastAsia="zh-CN"/>
        </w:rPr>
        <w:t>Therefore</w:t>
      </w:r>
      <w:r>
        <w:rPr>
          <w:rFonts w:eastAsiaTheme="minorEastAsia"/>
          <w:lang w:eastAsia="zh-CN"/>
        </w:rPr>
        <w:t xml:space="preserve">, </w:t>
      </w:r>
      <w:r w:rsidR="00CC0640">
        <w:rPr>
          <w:rFonts w:eastAsiaTheme="minorEastAsia"/>
          <w:lang w:eastAsia="zh-CN"/>
        </w:rPr>
        <w:t>RAN1 agree</w:t>
      </w:r>
      <w:r w:rsidR="005D7713">
        <w:rPr>
          <w:rFonts w:eastAsiaTheme="minorEastAsia"/>
          <w:lang w:eastAsia="zh-CN"/>
        </w:rPr>
        <w:t>d</w:t>
      </w:r>
      <w:r w:rsidR="00CC0640">
        <w:rPr>
          <w:rFonts w:eastAsiaTheme="minorEastAsia"/>
          <w:lang w:eastAsia="zh-CN"/>
        </w:rPr>
        <w:t xml:space="preserve"> to introduce one new signalling indicating the EPRE ratio between NPDSCH and NRS. </w:t>
      </w:r>
      <w:r>
        <w:t>If the signalling is not indicated, the legacy power allocation is used. i.e., the ratio of NPDSCH EPRE to NRS EPRE i</w:t>
      </w:r>
      <w:r w:rsidR="00CC0640">
        <w:t xml:space="preserve">s 0dB for one NRS antenna port, therefore, for simplicity, we prefer to not introduce the signalling in this test and set EPRE </w:t>
      </w:r>
      <w:r w:rsidR="00CC0640" w:rsidRPr="00CC0640">
        <w:t xml:space="preserve">ratio of NPDSCH EPRE to NRS EPRE </w:t>
      </w:r>
      <w:r w:rsidR="00CC0640">
        <w:t xml:space="preserve">to </w:t>
      </w:r>
      <w:r w:rsidR="00CC0640" w:rsidRPr="00CC0640">
        <w:t>0dB</w:t>
      </w:r>
      <w:r w:rsidR="00CC0640">
        <w:t xml:space="preserve"> for one NRS port.</w:t>
      </w:r>
    </w:p>
    <w:p w14:paraId="1BFC5530" w14:textId="589DA877" w:rsidR="003672C6" w:rsidRPr="003672C6" w:rsidRDefault="003672C6" w:rsidP="00CE22FD">
      <w:pPr>
        <w:overflowPunct w:val="0"/>
        <w:autoSpaceDE w:val="0"/>
        <w:autoSpaceDN w:val="0"/>
        <w:adjustRightInd w:val="0"/>
        <w:spacing w:before="120" w:after="120"/>
        <w:textAlignment w:val="baseline"/>
        <w:rPr>
          <w:rFonts w:eastAsiaTheme="minorEastAsia"/>
          <w:b/>
          <w:u w:val="single"/>
          <w:lang w:eastAsia="zh-CN"/>
        </w:rPr>
      </w:pPr>
      <w:r w:rsidRPr="003672C6">
        <w:rPr>
          <w:rFonts w:eastAsiaTheme="minorEastAsia" w:hint="eastAsia"/>
          <w:b/>
          <w:u w:val="single"/>
          <w:lang w:eastAsia="zh-CN"/>
        </w:rPr>
        <w:t>O</w:t>
      </w:r>
      <w:r w:rsidRPr="003672C6">
        <w:rPr>
          <w:rFonts w:eastAsiaTheme="minorEastAsia"/>
          <w:b/>
          <w:u w:val="single"/>
          <w:lang w:eastAsia="zh-CN"/>
        </w:rPr>
        <w:t>thers</w:t>
      </w:r>
    </w:p>
    <w:p w14:paraId="2D6D1114" w14:textId="342F1DB5" w:rsidR="00A34027" w:rsidRDefault="00520C5D" w:rsidP="00CE22FD">
      <w:pPr>
        <w:overflowPunct w:val="0"/>
        <w:autoSpaceDE w:val="0"/>
        <w:autoSpaceDN w:val="0"/>
        <w:adjustRightInd w:val="0"/>
        <w:spacing w:before="120" w:after="120"/>
        <w:textAlignment w:val="baseline"/>
        <w:rPr>
          <w:rFonts w:eastAsiaTheme="minorEastAsia"/>
          <w:lang w:eastAsia="zh-CN"/>
        </w:rPr>
      </w:pPr>
      <w:r w:rsidRPr="00520C5D">
        <w:rPr>
          <w:rFonts w:eastAsiaTheme="minorEastAsia"/>
          <w:lang w:eastAsia="zh-CN"/>
        </w:rPr>
        <w:t>For other parameters we propose to reuse Rel-16 Cat NB2 test</w:t>
      </w:r>
    </w:p>
    <w:p w14:paraId="7199779F" w14:textId="45DF8B47" w:rsidR="00CC0640" w:rsidRPr="00CC0640" w:rsidRDefault="00CC0640" w:rsidP="00CC0640">
      <w:pPr>
        <w:overflowPunct w:val="0"/>
        <w:autoSpaceDE w:val="0"/>
        <w:autoSpaceDN w:val="0"/>
        <w:adjustRightInd w:val="0"/>
        <w:spacing w:before="120" w:after="120"/>
        <w:jc w:val="center"/>
        <w:textAlignment w:val="baseline"/>
        <w:rPr>
          <w:rFonts w:eastAsiaTheme="minorEastAsia"/>
          <w:b/>
          <w:lang w:eastAsia="zh-CN"/>
        </w:rPr>
      </w:pPr>
      <w:r w:rsidRPr="00CC0640">
        <w:rPr>
          <w:rFonts w:eastAsiaTheme="minorEastAsia"/>
          <w:b/>
          <w:lang w:eastAsia="zh-CN"/>
        </w:rPr>
        <w:t xml:space="preserve">Table </w:t>
      </w:r>
      <w:r w:rsidR="005C3899">
        <w:rPr>
          <w:rFonts w:eastAsiaTheme="minorEastAsia"/>
          <w:b/>
          <w:lang w:eastAsia="zh-CN"/>
        </w:rPr>
        <w:t>2</w:t>
      </w:r>
      <w:r w:rsidRPr="00CC0640">
        <w:rPr>
          <w:rFonts w:eastAsiaTheme="minorEastAsia"/>
          <w:b/>
          <w:lang w:eastAsia="zh-CN"/>
        </w:rPr>
        <w:t>: Proposed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7"/>
        <w:gridCol w:w="3212"/>
      </w:tblGrid>
      <w:tr w:rsidR="00520C5D" w14:paraId="658304FE" w14:textId="77777777" w:rsidTr="005E3DB2">
        <w:trPr>
          <w:jc w:val="center"/>
        </w:trPr>
        <w:tc>
          <w:tcPr>
            <w:tcW w:w="0" w:type="auto"/>
            <w:shd w:val="clear" w:color="auto" w:fill="auto"/>
            <w:vAlign w:val="center"/>
          </w:tcPr>
          <w:p w14:paraId="123CFCA5" w14:textId="1C6D8258" w:rsidR="00520C5D" w:rsidRPr="00B533C6" w:rsidRDefault="005D7713" w:rsidP="005D7713">
            <w:pPr>
              <w:pStyle w:val="af9"/>
              <w:spacing w:before="0" w:beforeAutospacing="0" w:after="0" w:afterAutospacing="0"/>
              <w:jc w:val="center"/>
              <w:rPr>
                <w:rFonts w:ascii="Times New Roman" w:hAnsi="Times New Roman" w:cs="Times New Roman"/>
                <w:b/>
                <w:sz w:val="20"/>
                <w:szCs w:val="20"/>
                <w:lang w:val="en-GB"/>
              </w:rPr>
            </w:pPr>
            <w:r>
              <w:rPr>
                <w:rFonts w:ascii="Times New Roman" w:hAnsi="Times New Roman" w:cs="Times New Roman"/>
                <w:b/>
                <w:sz w:val="20"/>
                <w:szCs w:val="20"/>
                <w:lang w:val="en-GB"/>
              </w:rPr>
              <w:t xml:space="preserve">Test </w:t>
            </w:r>
            <w:r w:rsidR="00520C5D" w:rsidRPr="00B533C6">
              <w:rPr>
                <w:rFonts w:ascii="Times New Roman" w:hAnsi="Times New Roman" w:cs="Times New Roman"/>
                <w:b/>
                <w:sz w:val="20"/>
                <w:szCs w:val="20"/>
                <w:lang w:val="en-GB"/>
              </w:rPr>
              <w:t xml:space="preserve">Parameter </w:t>
            </w:r>
          </w:p>
        </w:tc>
        <w:tc>
          <w:tcPr>
            <w:tcW w:w="0" w:type="auto"/>
            <w:shd w:val="clear" w:color="auto" w:fill="auto"/>
            <w:vAlign w:val="center"/>
          </w:tcPr>
          <w:p w14:paraId="48B51211" w14:textId="77777777" w:rsidR="00520C5D" w:rsidRPr="00B533C6" w:rsidRDefault="00520C5D" w:rsidP="005E3DB2">
            <w:pPr>
              <w:pStyle w:val="af9"/>
              <w:spacing w:before="0" w:beforeAutospacing="0" w:after="0" w:afterAutospacing="0"/>
              <w:jc w:val="center"/>
              <w:rPr>
                <w:b/>
                <w:sz w:val="36"/>
                <w:szCs w:val="36"/>
              </w:rPr>
            </w:pPr>
            <w:r w:rsidRPr="00B533C6">
              <w:rPr>
                <w:rFonts w:ascii="Times New Roman" w:hAnsi="Times New Roman" w:cs="Times New Roman"/>
                <w:b/>
                <w:sz w:val="20"/>
                <w:szCs w:val="20"/>
              </w:rPr>
              <w:t>Value</w:t>
            </w:r>
          </w:p>
        </w:tc>
      </w:tr>
      <w:tr w:rsidR="00520C5D" w14:paraId="3C02C487" w14:textId="77777777" w:rsidTr="005E3DB2">
        <w:trPr>
          <w:jc w:val="center"/>
        </w:trPr>
        <w:tc>
          <w:tcPr>
            <w:tcW w:w="0" w:type="auto"/>
            <w:shd w:val="clear" w:color="auto" w:fill="auto"/>
          </w:tcPr>
          <w:p w14:paraId="6E6376E9"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System bandwidth</w:t>
            </w:r>
          </w:p>
        </w:tc>
        <w:tc>
          <w:tcPr>
            <w:tcW w:w="0" w:type="auto"/>
            <w:shd w:val="clear" w:color="auto" w:fill="auto"/>
            <w:vAlign w:val="center"/>
          </w:tcPr>
          <w:p w14:paraId="78D5C566"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200 kHz</w:t>
            </w:r>
          </w:p>
        </w:tc>
      </w:tr>
      <w:tr w:rsidR="00520C5D" w14:paraId="6AF89DFA" w14:textId="77777777" w:rsidTr="005E3DB2">
        <w:trPr>
          <w:jc w:val="center"/>
        </w:trPr>
        <w:tc>
          <w:tcPr>
            <w:tcW w:w="0" w:type="auto"/>
            <w:shd w:val="clear" w:color="auto" w:fill="auto"/>
          </w:tcPr>
          <w:p w14:paraId="513A4D3A"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Operation mode</w:t>
            </w:r>
          </w:p>
        </w:tc>
        <w:tc>
          <w:tcPr>
            <w:tcW w:w="0" w:type="auto"/>
            <w:shd w:val="clear" w:color="auto" w:fill="auto"/>
            <w:vAlign w:val="center"/>
          </w:tcPr>
          <w:p w14:paraId="44B19046" w14:textId="003EFBB0"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Stand alone</w:t>
            </w:r>
            <w:r w:rsidR="005D7713">
              <w:rPr>
                <w:rFonts w:ascii="Times New Roman" w:hAnsi="Times New Roman" w:cs="Times New Roman"/>
                <w:sz w:val="20"/>
                <w:szCs w:val="20"/>
                <w:lang w:val="en-GB"/>
              </w:rPr>
              <w:t xml:space="preserve"> / Guard band</w:t>
            </w:r>
          </w:p>
        </w:tc>
      </w:tr>
      <w:tr w:rsidR="00520C5D" w14:paraId="30A44E8C" w14:textId="77777777" w:rsidTr="005E3DB2">
        <w:trPr>
          <w:jc w:val="center"/>
        </w:trPr>
        <w:tc>
          <w:tcPr>
            <w:tcW w:w="0" w:type="auto"/>
            <w:shd w:val="clear" w:color="auto" w:fill="auto"/>
          </w:tcPr>
          <w:p w14:paraId="5ED163C6"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Antenna configuration</w:t>
            </w:r>
          </w:p>
        </w:tc>
        <w:tc>
          <w:tcPr>
            <w:tcW w:w="0" w:type="auto"/>
            <w:shd w:val="clear" w:color="auto" w:fill="auto"/>
            <w:vAlign w:val="center"/>
          </w:tcPr>
          <w:p w14:paraId="21ED88C2"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1T1R</w:t>
            </w:r>
          </w:p>
        </w:tc>
      </w:tr>
      <w:tr w:rsidR="00520C5D" w14:paraId="78110991" w14:textId="77777777" w:rsidTr="005E3DB2">
        <w:trPr>
          <w:jc w:val="center"/>
        </w:trPr>
        <w:tc>
          <w:tcPr>
            <w:tcW w:w="0" w:type="auto"/>
            <w:shd w:val="clear" w:color="auto" w:fill="auto"/>
          </w:tcPr>
          <w:p w14:paraId="2A66230F"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Channel model</w:t>
            </w:r>
          </w:p>
        </w:tc>
        <w:tc>
          <w:tcPr>
            <w:tcW w:w="0" w:type="auto"/>
            <w:shd w:val="clear" w:color="auto" w:fill="auto"/>
            <w:vAlign w:val="center"/>
          </w:tcPr>
          <w:p w14:paraId="2B5BB3E4"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B533C6">
              <w:rPr>
                <w:rFonts w:ascii="Times New Roman" w:hAnsi="Times New Roman" w:cs="Times New Roman"/>
                <w:sz w:val="20"/>
                <w:szCs w:val="20"/>
                <w:highlight w:val="yellow"/>
                <w:lang w:val="en-GB"/>
              </w:rPr>
              <w:t>AWGN</w:t>
            </w:r>
          </w:p>
        </w:tc>
      </w:tr>
      <w:tr w:rsidR="00520C5D" w14:paraId="453E0801" w14:textId="77777777" w:rsidTr="005E3DB2">
        <w:trPr>
          <w:jc w:val="center"/>
        </w:trPr>
        <w:tc>
          <w:tcPr>
            <w:tcW w:w="0" w:type="auto"/>
            <w:shd w:val="clear" w:color="auto" w:fill="auto"/>
          </w:tcPr>
          <w:p w14:paraId="40A8F46A"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M</w:t>
            </w:r>
            <w:r>
              <w:rPr>
                <w:rFonts w:ascii="Times New Roman" w:hAnsi="Times New Roman" w:cs="Times New Roman"/>
                <w:sz w:val="20"/>
                <w:szCs w:val="20"/>
                <w:lang w:val="en-GB"/>
              </w:rPr>
              <w:t xml:space="preserve">odulation </w:t>
            </w:r>
          </w:p>
        </w:tc>
        <w:tc>
          <w:tcPr>
            <w:tcW w:w="0" w:type="auto"/>
            <w:shd w:val="clear" w:color="auto" w:fill="auto"/>
            <w:vAlign w:val="center"/>
          </w:tcPr>
          <w:p w14:paraId="2CB56059" w14:textId="77777777" w:rsidR="00520C5D" w:rsidRPr="00B533C6" w:rsidRDefault="00520C5D" w:rsidP="005E3DB2">
            <w:pPr>
              <w:pStyle w:val="af9"/>
              <w:spacing w:before="0" w:beforeAutospacing="0" w:after="0" w:afterAutospacing="0"/>
              <w:jc w:val="center"/>
              <w:rPr>
                <w:rFonts w:ascii="Times New Roman" w:hAnsi="Times New Roman" w:cs="Times New Roman"/>
                <w:sz w:val="20"/>
                <w:szCs w:val="20"/>
                <w:highlight w:val="yellow"/>
                <w:lang w:val="en-GB"/>
              </w:rPr>
            </w:pPr>
            <w:r>
              <w:rPr>
                <w:rFonts w:ascii="Times New Roman" w:hAnsi="Times New Roman" w:cs="Times New Roman" w:hint="eastAsia"/>
                <w:sz w:val="20"/>
                <w:szCs w:val="20"/>
                <w:highlight w:val="yellow"/>
                <w:lang w:val="en-GB"/>
              </w:rPr>
              <w:t>1</w:t>
            </w:r>
            <w:r>
              <w:rPr>
                <w:rFonts w:ascii="Times New Roman" w:hAnsi="Times New Roman" w:cs="Times New Roman"/>
                <w:sz w:val="20"/>
                <w:szCs w:val="20"/>
                <w:highlight w:val="yellow"/>
                <w:lang w:val="en-GB"/>
              </w:rPr>
              <w:t>6QAM</w:t>
            </w:r>
          </w:p>
        </w:tc>
      </w:tr>
      <w:tr w:rsidR="00520C5D" w14:paraId="29CBC65C" w14:textId="77777777" w:rsidTr="005E3DB2">
        <w:trPr>
          <w:jc w:val="center"/>
        </w:trPr>
        <w:tc>
          <w:tcPr>
            <w:tcW w:w="0" w:type="auto"/>
            <w:shd w:val="clear" w:color="auto" w:fill="auto"/>
          </w:tcPr>
          <w:p w14:paraId="77C5E7C0"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Frequency error</w:t>
            </w:r>
          </w:p>
        </w:tc>
        <w:tc>
          <w:tcPr>
            <w:tcW w:w="0" w:type="auto"/>
            <w:shd w:val="clear" w:color="auto" w:fill="auto"/>
            <w:vAlign w:val="center"/>
          </w:tcPr>
          <w:p w14:paraId="7E58A556"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0 Hz</w:t>
            </w:r>
          </w:p>
        </w:tc>
      </w:tr>
      <w:tr w:rsidR="00520C5D" w14:paraId="5952F599" w14:textId="77777777" w:rsidTr="005E3DB2">
        <w:trPr>
          <w:jc w:val="center"/>
        </w:trPr>
        <w:tc>
          <w:tcPr>
            <w:tcW w:w="0" w:type="auto"/>
            <w:shd w:val="clear" w:color="auto" w:fill="auto"/>
          </w:tcPr>
          <w:p w14:paraId="0985837A"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Timing error</w:t>
            </w:r>
          </w:p>
        </w:tc>
        <w:tc>
          <w:tcPr>
            <w:tcW w:w="0" w:type="auto"/>
            <w:shd w:val="clear" w:color="auto" w:fill="auto"/>
            <w:vAlign w:val="center"/>
          </w:tcPr>
          <w:p w14:paraId="6211A0CE"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0μs</w:t>
            </w:r>
          </w:p>
        </w:tc>
      </w:tr>
      <w:tr w:rsidR="00520C5D" w14:paraId="79BA8D3E" w14:textId="77777777" w:rsidTr="005E3DB2">
        <w:trPr>
          <w:jc w:val="center"/>
        </w:trPr>
        <w:tc>
          <w:tcPr>
            <w:tcW w:w="0" w:type="auto"/>
            <w:shd w:val="clear" w:color="auto" w:fill="auto"/>
          </w:tcPr>
          <w:p w14:paraId="5EA4C499"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Performance target</w:t>
            </w:r>
          </w:p>
        </w:tc>
        <w:tc>
          <w:tcPr>
            <w:tcW w:w="0" w:type="auto"/>
            <w:shd w:val="clear" w:color="auto" w:fill="auto"/>
            <w:vAlign w:val="center"/>
          </w:tcPr>
          <w:p w14:paraId="72170F80"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 xml:space="preserve">SNR@70% of  maximum throughput </w:t>
            </w:r>
          </w:p>
        </w:tc>
      </w:tr>
      <w:tr w:rsidR="00520C5D" w14:paraId="14B1306A" w14:textId="77777777" w:rsidTr="005E3DB2">
        <w:trPr>
          <w:jc w:val="center"/>
        </w:trPr>
        <w:tc>
          <w:tcPr>
            <w:tcW w:w="0" w:type="auto"/>
            <w:shd w:val="clear" w:color="auto" w:fill="auto"/>
          </w:tcPr>
          <w:p w14:paraId="04C98B86" w14:textId="302E19ED"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lastRenderedPageBreak/>
              <w:t>N</w:t>
            </w:r>
            <w:r w:rsidR="005D7713">
              <w:rPr>
                <w:rFonts w:ascii="Times New Roman" w:hAnsi="Times New Roman" w:cs="Times New Roman"/>
                <w:sz w:val="20"/>
                <w:szCs w:val="20"/>
                <w:vertAlign w:val="subscript"/>
                <w:lang w:val="en-GB"/>
              </w:rPr>
              <w:t>SF</w:t>
            </w:r>
          </w:p>
        </w:tc>
        <w:tc>
          <w:tcPr>
            <w:tcW w:w="0" w:type="auto"/>
            <w:shd w:val="clear" w:color="auto" w:fill="auto"/>
            <w:vAlign w:val="center"/>
          </w:tcPr>
          <w:p w14:paraId="42FA3ADE"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10</w:t>
            </w:r>
          </w:p>
        </w:tc>
      </w:tr>
      <w:tr w:rsidR="00520C5D" w14:paraId="7B3F85D6" w14:textId="77777777" w:rsidTr="005E3DB2">
        <w:trPr>
          <w:jc w:val="center"/>
        </w:trPr>
        <w:tc>
          <w:tcPr>
            <w:tcW w:w="0" w:type="auto"/>
            <w:shd w:val="clear" w:color="auto" w:fill="auto"/>
          </w:tcPr>
          <w:p w14:paraId="6C9B1D35"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NPDSCH </w:t>
            </w:r>
            <w:r w:rsidRPr="00084C6A">
              <w:rPr>
                <w:rFonts w:ascii="Times New Roman" w:hAnsi="Times New Roman" w:cs="Times New Roman"/>
                <w:sz w:val="20"/>
                <w:szCs w:val="20"/>
                <w:lang w:val="en-GB"/>
              </w:rPr>
              <w:t xml:space="preserve">Repetition number </w:t>
            </w:r>
          </w:p>
        </w:tc>
        <w:tc>
          <w:tcPr>
            <w:tcW w:w="0" w:type="auto"/>
            <w:shd w:val="clear" w:color="auto" w:fill="auto"/>
            <w:vAlign w:val="center"/>
          </w:tcPr>
          <w:p w14:paraId="15BC7E21" w14:textId="73A55629" w:rsidR="00520C5D" w:rsidRPr="00084C6A" w:rsidRDefault="005D7713"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sz w:val="20"/>
                <w:szCs w:val="20"/>
                <w:lang w:val="en-GB"/>
              </w:rPr>
              <w:t>Not configured</w:t>
            </w:r>
          </w:p>
        </w:tc>
      </w:tr>
      <w:tr w:rsidR="00520C5D" w14:paraId="7A685409" w14:textId="77777777" w:rsidTr="005E3DB2">
        <w:trPr>
          <w:jc w:val="center"/>
        </w:trPr>
        <w:tc>
          <w:tcPr>
            <w:tcW w:w="0" w:type="auto"/>
            <w:shd w:val="clear" w:color="auto" w:fill="auto"/>
          </w:tcPr>
          <w:p w14:paraId="4EFE5861" w14:textId="77777777" w:rsidR="00520C5D" w:rsidRDefault="00520C5D"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PDCCH repetition number</w:t>
            </w:r>
          </w:p>
        </w:tc>
        <w:tc>
          <w:tcPr>
            <w:tcW w:w="0" w:type="auto"/>
            <w:shd w:val="clear" w:color="auto" w:fill="auto"/>
            <w:vAlign w:val="center"/>
          </w:tcPr>
          <w:p w14:paraId="0E9161F9" w14:textId="28E76486" w:rsidR="00520C5D" w:rsidRDefault="005D7713"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sz w:val="20"/>
                <w:szCs w:val="20"/>
                <w:lang w:val="en-GB"/>
              </w:rPr>
              <w:t>Not configured</w:t>
            </w:r>
          </w:p>
        </w:tc>
      </w:tr>
      <w:tr w:rsidR="00520C5D" w14:paraId="2EF4FBD8" w14:textId="77777777" w:rsidTr="005E3DB2">
        <w:trPr>
          <w:jc w:val="center"/>
        </w:trPr>
        <w:tc>
          <w:tcPr>
            <w:tcW w:w="0" w:type="auto"/>
            <w:shd w:val="clear" w:color="auto" w:fill="auto"/>
          </w:tcPr>
          <w:p w14:paraId="0F6CE185" w14:textId="77777777" w:rsidR="00520C5D" w:rsidRDefault="00520C5D"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RS port number</w:t>
            </w:r>
          </w:p>
        </w:tc>
        <w:tc>
          <w:tcPr>
            <w:tcW w:w="0" w:type="auto"/>
            <w:shd w:val="clear" w:color="auto" w:fill="auto"/>
            <w:vAlign w:val="center"/>
          </w:tcPr>
          <w:p w14:paraId="5F1475B8" w14:textId="77777777" w:rsidR="00520C5D" w:rsidRDefault="00520C5D"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1</w:t>
            </w:r>
          </w:p>
        </w:tc>
      </w:tr>
      <w:tr w:rsidR="00520C5D" w14:paraId="253ACE58" w14:textId="77777777" w:rsidTr="005E3DB2">
        <w:trPr>
          <w:jc w:val="center"/>
        </w:trPr>
        <w:tc>
          <w:tcPr>
            <w:tcW w:w="0" w:type="auto"/>
            <w:shd w:val="clear" w:color="auto" w:fill="auto"/>
          </w:tcPr>
          <w:p w14:paraId="076E6BCF"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HARQ process</w:t>
            </w:r>
          </w:p>
        </w:tc>
        <w:tc>
          <w:tcPr>
            <w:tcW w:w="0" w:type="auto"/>
            <w:shd w:val="clear" w:color="auto" w:fill="auto"/>
            <w:vAlign w:val="center"/>
          </w:tcPr>
          <w:p w14:paraId="322A8B9D"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2</w:t>
            </w:r>
          </w:p>
        </w:tc>
      </w:tr>
      <w:tr w:rsidR="00520C5D" w14:paraId="11194B88" w14:textId="77777777" w:rsidTr="005E3DB2">
        <w:trPr>
          <w:jc w:val="center"/>
        </w:trPr>
        <w:tc>
          <w:tcPr>
            <w:tcW w:w="0" w:type="auto"/>
            <w:shd w:val="clear" w:color="auto" w:fill="auto"/>
          </w:tcPr>
          <w:p w14:paraId="5C0AC44F"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Carrier Type</w:t>
            </w:r>
          </w:p>
        </w:tc>
        <w:tc>
          <w:tcPr>
            <w:tcW w:w="0" w:type="auto"/>
            <w:shd w:val="clear" w:color="auto" w:fill="auto"/>
            <w:vAlign w:val="center"/>
          </w:tcPr>
          <w:p w14:paraId="2419E956"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Non-anchor</w:t>
            </w:r>
          </w:p>
        </w:tc>
      </w:tr>
      <w:tr w:rsidR="00520C5D" w14:paraId="72E140FA" w14:textId="77777777" w:rsidTr="005E3DB2">
        <w:trPr>
          <w:jc w:val="center"/>
        </w:trPr>
        <w:tc>
          <w:tcPr>
            <w:tcW w:w="0" w:type="auto"/>
            <w:shd w:val="clear" w:color="auto" w:fill="auto"/>
          </w:tcPr>
          <w:p w14:paraId="1273583B"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sz w:val="20"/>
                <w:szCs w:val="20"/>
                <w:lang w:val="en-GB"/>
              </w:rPr>
              <w:t>TB</w:t>
            </w:r>
            <w:r w:rsidRPr="00084C6A">
              <w:rPr>
                <w:rFonts w:ascii="Times New Roman" w:hAnsi="Times New Roman" w:cs="Times New Roman"/>
                <w:sz w:val="20"/>
                <w:szCs w:val="20"/>
                <w:lang w:val="en-GB"/>
              </w:rPr>
              <w:t>size</w:t>
            </w:r>
          </w:p>
        </w:tc>
        <w:tc>
          <w:tcPr>
            <w:tcW w:w="0" w:type="auto"/>
            <w:shd w:val="clear" w:color="auto" w:fill="auto"/>
            <w:vAlign w:val="center"/>
          </w:tcPr>
          <w:p w14:paraId="6E0C8F45"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4968 </w:t>
            </w:r>
          </w:p>
        </w:tc>
      </w:tr>
      <w:tr w:rsidR="00520C5D" w14:paraId="5ECB0791" w14:textId="77777777" w:rsidTr="005E3DB2">
        <w:trPr>
          <w:jc w:val="center"/>
        </w:trPr>
        <w:tc>
          <w:tcPr>
            <w:tcW w:w="0" w:type="auto"/>
            <w:shd w:val="clear" w:color="auto" w:fill="auto"/>
          </w:tcPr>
          <w:p w14:paraId="46869AD9"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sz w:val="20"/>
                <w:szCs w:val="20"/>
                <w:lang w:val="en-GB"/>
              </w:rPr>
              <w:t>Soft buffer size</w:t>
            </w:r>
          </w:p>
        </w:tc>
        <w:tc>
          <w:tcPr>
            <w:tcW w:w="0" w:type="auto"/>
            <w:shd w:val="clear" w:color="auto" w:fill="auto"/>
            <w:vAlign w:val="center"/>
          </w:tcPr>
          <w:p w14:paraId="34EF638E" w14:textId="77777777" w:rsidR="00520C5D" w:rsidRDefault="00520C5D"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 xml:space="preserve">2800 </w:t>
            </w:r>
          </w:p>
        </w:tc>
      </w:tr>
      <w:tr w:rsidR="00520C5D" w14:paraId="32FE601C" w14:textId="77777777" w:rsidTr="005E3DB2">
        <w:trPr>
          <w:jc w:val="center"/>
        </w:trPr>
        <w:tc>
          <w:tcPr>
            <w:tcW w:w="0" w:type="auto"/>
            <w:shd w:val="clear" w:color="auto" w:fill="auto"/>
          </w:tcPr>
          <w:p w14:paraId="2DEE1C5F"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Duplex mode</w:t>
            </w:r>
          </w:p>
        </w:tc>
        <w:tc>
          <w:tcPr>
            <w:tcW w:w="0" w:type="auto"/>
            <w:shd w:val="clear" w:color="auto" w:fill="auto"/>
            <w:vAlign w:val="center"/>
          </w:tcPr>
          <w:p w14:paraId="22C3220F"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HD-FDD</w:t>
            </w:r>
            <w:r>
              <w:rPr>
                <w:rFonts w:ascii="Times New Roman" w:hAnsi="Times New Roman" w:cs="Times New Roman"/>
                <w:sz w:val="20"/>
                <w:szCs w:val="20"/>
                <w:lang w:val="en-GB"/>
              </w:rPr>
              <w:t>,TDD</w:t>
            </w:r>
          </w:p>
        </w:tc>
      </w:tr>
      <w:tr w:rsidR="00520C5D" w14:paraId="50E51823" w14:textId="77777777" w:rsidTr="005E3DB2">
        <w:trPr>
          <w:jc w:val="center"/>
        </w:trPr>
        <w:tc>
          <w:tcPr>
            <w:tcW w:w="0" w:type="auto"/>
            <w:shd w:val="clear" w:color="auto" w:fill="auto"/>
          </w:tcPr>
          <w:p w14:paraId="63B9D0A9"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he ratio of EPRE of NPDSCH in symbols with and without NRS to NRS</w:t>
            </w:r>
          </w:p>
        </w:tc>
        <w:tc>
          <w:tcPr>
            <w:tcW w:w="0" w:type="auto"/>
            <w:shd w:val="clear" w:color="auto" w:fill="auto"/>
            <w:vAlign w:val="center"/>
          </w:tcPr>
          <w:p w14:paraId="6A86CFF7" w14:textId="77777777" w:rsidR="00520C5D" w:rsidRPr="00084C6A" w:rsidRDefault="00520C5D"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0</w:t>
            </w:r>
            <w:r>
              <w:rPr>
                <w:rFonts w:ascii="Times New Roman" w:hAnsi="Times New Roman" w:cs="Times New Roman"/>
                <w:sz w:val="20"/>
                <w:szCs w:val="20"/>
                <w:lang w:val="en-GB"/>
              </w:rPr>
              <w:t>dB</w:t>
            </w:r>
          </w:p>
        </w:tc>
      </w:tr>
    </w:tbl>
    <w:p w14:paraId="626E9C0D" w14:textId="77777777" w:rsidR="00A34027" w:rsidRDefault="00A34027" w:rsidP="00CE22FD">
      <w:pPr>
        <w:overflowPunct w:val="0"/>
        <w:autoSpaceDE w:val="0"/>
        <w:autoSpaceDN w:val="0"/>
        <w:adjustRightInd w:val="0"/>
        <w:spacing w:before="120" w:after="120"/>
        <w:textAlignment w:val="baseline"/>
        <w:rPr>
          <w:rFonts w:eastAsiaTheme="minorEastAsia"/>
          <w:b/>
          <w:i/>
          <w:lang w:eastAsia="zh-CN"/>
        </w:rPr>
      </w:pPr>
    </w:p>
    <w:p w14:paraId="6FAC2909" w14:textId="50082572" w:rsidR="00CC0640" w:rsidRPr="00CC0640" w:rsidRDefault="00CC0640" w:rsidP="00CE22FD">
      <w:pPr>
        <w:overflowPunct w:val="0"/>
        <w:autoSpaceDE w:val="0"/>
        <w:autoSpaceDN w:val="0"/>
        <w:adjustRightInd w:val="0"/>
        <w:spacing w:before="120" w:after="120"/>
        <w:textAlignment w:val="baseline"/>
        <w:rPr>
          <w:rFonts w:eastAsiaTheme="minorEastAsia"/>
          <w:b/>
          <w:i/>
          <w:lang w:eastAsia="zh-CN"/>
        </w:rPr>
      </w:pPr>
      <w:r>
        <w:rPr>
          <w:rFonts w:eastAsiaTheme="minorEastAsia" w:hint="eastAsia"/>
          <w:b/>
          <w:i/>
          <w:lang w:eastAsia="zh-CN"/>
        </w:rPr>
        <w:t>P</w:t>
      </w:r>
      <w:r>
        <w:rPr>
          <w:rFonts w:eastAsiaTheme="minorEastAsia"/>
          <w:b/>
          <w:i/>
          <w:lang w:eastAsia="zh-CN"/>
        </w:rPr>
        <w:t xml:space="preserve">roposal 2: Use </w:t>
      </w:r>
      <w:r w:rsidR="005D7713">
        <w:rPr>
          <w:rFonts w:eastAsiaTheme="minorEastAsia"/>
          <w:b/>
          <w:i/>
          <w:lang w:eastAsia="zh-CN"/>
        </w:rPr>
        <w:t xml:space="preserve">the </w:t>
      </w:r>
      <w:r>
        <w:rPr>
          <w:rFonts w:eastAsiaTheme="minorEastAsia"/>
          <w:b/>
          <w:i/>
          <w:lang w:eastAsia="zh-CN"/>
        </w:rPr>
        <w:t>test parameters</w:t>
      </w:r>
      <w:r w:rsidR="005D7713">
        <w:rPr>
          <w:rFonts w:eastAsiaTheme="minorEastAsia"/>
          <w:b/>
          <w:i/>
          <w:lang w:eastAsia="zh-CN"/>
        </w:rPr>
        <w:t xml:space="preserve"> in Table 2 for NPDSCH soft buffer test definition for 16QAM and larger TBS</w:t>
      </w:r>
      <w:r>
        <w:rPr>
          <w:rFonts w:eastAsiaTheme="minorEastAsia"/>
          <w:b/>
          <w:i/>
          <w:lang w:eastAsia="zh-CN"/>
        </w:rPr>
        <w:t>:</w:t>
      </w:r>
    </w:p>
    <w:bookmarkEnd w:id="6"/>
    <w:bookmarkEnd w:id="7"/>
    <w:bookmarkEnd w:id="8"/>
    <w:bookmarkEnd w:id="9"/>
    <w:bookmarkEnd w:id="10"/>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6CE2B20A" w14:textId="77777777" w:rsidR="00CC0640" w:rsidRPr="00293414" w:rsidRDefault="00CC0640" w:rsidP="00CC0640">
      <w:pPr>
        <w:overflowPunct w:val="0"/>
        <w:autoSpaceDE w:val="0"/>
        <w:autoSpaceDN w:val="0"/>
        <w:adjustRightInd w:val="0"/>
        <w:spacing w:before="120" w:after="0"/>
        <w:textAlignment w:val="baseline"/>
        <w:rPr>
          <w:rFonts w:eastAsiaTheme="minorEastAsia"/>
          <w:b/>
          <w:i/>
          <w:lang w:eastAsia="zh-CN"/>
        </w:rPr>
      </w:pPr>
      <w:r w:rsidRPr="00293414">
        <w:rPr>
          <w:rFonts w:eastAsiaTheme="minorEastAsia"/>
          <w:b/>
          <w:i/>
          <w:lang w:eastAsia="zh-CN"/>
        </w:rPr>
        <w:t>Proposal 1: Introduce the soft buffer test with maximum TBS and 16QAM for Cat NB2 UE to verify:</w:t>
      </w:r>
    </w:p>
    <w:p w14:paraId="4FD521F8" w14:textId="77777777" w:rsidR="00CC0640" w:rsidRPr="00293414" w:rsidRDefault="00CC0640" w:rsidP="00CC0640">
      <w:pPr>
        <w:pStyle w:val="afa"/>
        <w:numPr>
          <w:ilvl w:val="0"/>
          <w:numId w:val="30"/>
        </w:numPr>
        <w:overflowPunct w:val="0"/>
        <w:spacing w:before="120" w:after="120"/>
        <w:textAlignment w:val="baseline"/>
        <w:rPr>
          <w:rFonts w:eastAsiaTheme="minorEastAsia"/>
          <w:b/>
          <w:i/>
        </w:rPr>
      </w:pPr>
      <w:r w:rsidRPr="00293414">
        <w:rPr>
          <w:rFonts w:eastAsiaTheme="minorEastAsia"/>
          <w:b/>
          <w:i/>
        </w:rPr>
        <w:t xml:space="preserve">16 QAM reception </w:t>
      </w:r>
    </w:p>
    <w:p w14:paraId="3E84F625" w14:textId="77777777" w:rsidR="00CC0640" w:rsidRPr="00293414" w:rsidRDefault="00CC0640" w:rsidP="00CC0640">
      <w:pPr>
        <w:pStyle w:val="afa"/>
        <w:numPr>
          <w:ilvl w:val="0"/>
          <w:numId w:val="30"/>
        </w:numPr>
        <w:overflowPunct w:val="0"/>
        <w:spacing w:before="120" w:after="120"/>
        <w:textAlignment w:val="baseline"/>
        <w:rPr>
          <w:rFonts w:eastAsiaTheme="minorEastAsia"/>
          <w:b/>
          <w:i/>
        </w:rPr>
      </w:pPr>
      <w:r>
        <w:rPr>
          <w:rFonts w:eastAsiaTheme="minorEastAsia"/>
          <w:b/>
          <w:i/>
        </w:rPr>
        <w:t>N</w:t>
      </w:r>
      <w:r w:rsidRPr="00293414">
        <w:rPr>
          <w:rFonts w:eastAsiaTheme="minorEastAsia"/>
          <w:b/>
          <w:i/>
        </w:rPr>
        <w:t xml:space="preserve">ew TBSs </w:t>
      </w:r>
    </w:p>
    <w:p w14:paraId="0DE3B51F" w14:textId="77777777" w:rsidR="00CC0640" w:rsidRPr="00293414" w:rsidRDefault="00CC0640" w:rsidP="00CC0640">
      <w:pPr>
        <w:pStyle w:val="afa"/>
        <w:numPr>
          <w:ilvl w:val="0"/>
          <w:numId w:val="30"/>
        </w:numPr>
        <w:overflowPunct w:val="0"/>
        <w:spacing w:before="120" w:after="120"/>
        <w:textAlignment w:val="baseline"/>
        <w:rPr>
          <w:rFonts w:eastAsiaTheme="minorEastAsia"/>
          <w:b/>
          <w:i/>
        </w:rPr>
      </w:pPr>
      <w:r w:rsidRPr="00293414">
        <w:rPr>
          <w:rFonts w:eastAsiaTheme="minorEastAsia"/>
          <w:b/>
          <w:i/>
        </w:rPr>
        <w:t>Maximum soft buffer size</w:t>
      </w:r>
    </w:p>
    <w:p w14:paraId="09CD8884" w14:textId="77777777" w:rsidR="00852997" w:rsidRPr="00852997" w:rsidRDefault="00852997" w:rsidP="00852997">
      <w:pPr>
        <w:overflowPunct w:val="0"/>
        <w:autoSpaceDE w:val="0"/>
        <w:autoSpaceDN w:val="0"/>
        <w:adjustRightInd w:val="0"/>
        <w:spacing w:before="120" w:after="0"/>
        <w:textAlignment w:val="baseline"/>
        <w:rPr>
          <w:rFonts w:eastAsiaTheme="minorEastAsia"/>
          <w:b/>
          <w:i/>
          <w:lang w:eastAsia="zh-CN"/>
        </w:rPr>
      </w:pPr>
      <w:r w:rsidRPr="00852997">
        <w:rPr>
          <w:rFonts w:eastAsiaTheme="minorEastAsia" w:hint="eastAsia"/>
          <w:b/>
          <w:i/>
          <w:lang w:eastAsia="zh-CN"/>
        </w:rPr>
        <w:t>P</w:t>
      </w:r>
      <w:r w:rsidRPr="00852997">
        <w:rPr>
          <w:rFonts w:eastAsiaTheme="minorEastAsia"/>
          <w:b/>
          <w:i/>
          <w:lang w:eastAsia="zh-CN"/>
        </w:rPr>
        <w:t>roposal 2: Use the test parameters in Table 2 for NPDSCH soft buffer test definition for 16QAM and larger TBS:</w:t>
      </w:r>
    </w:p>
    <w:p w14:paraId="6BEFA449" w14:textId="77777777" w:rsidR="005C3899" w:rsidRPr="00CC0640" w:rsidRDefault="005C3899" w:rsidP="005C3899">
      <w:pPr>
        <w:overflowPunct w:val="0"/>
        <w:autoSpaceDE w:val="0"/>
        <w:autoSpaceDN w:val="0"/>
        <w:adjustRightInd w:val="0"/>
        <w:spacing w:before="120" w:after="120"/>
        <w:jc w:val="center"/>
        <w:textAlignment w:val="baseline"/>
        <w:rPr>
          <w:rFonts w:eastAsiaTheme="minorEastAsia"/>
          <w:b/>
          <w:lang w:eastAsia="zh-CN"/>
        </w:rPr>
      </w:pPr>
      <w:r w:rsidRPr="00CC0640">
        <w:rPr>
          <w:rFonts w:eastAsiaTheme="minorEastAsia"/>
          <w:b/>
          <w:lang w:eastAsia="zh-CN"/>
        </w:rPr>
        <w:t xml:space="preserve">Table </w:t>
      </w:r>
      <w:r>
        <w:rPr>
          <w:rFonts w:eastAsiaTheme="minorEastAsia"/>
          <w:b/>
          <w:lang w:eastAsia="zh-CN"/>
        </w:rPr>
        <w:t>2</w:t>
      </w:r>
      <w:r w:rsidRPr="00CC0640">
        <w:rPr>
          <w:rFonts w:eastAsiaTheme="minorEastAsia"/>
          <w:b/>
          <w:lang w:eastAsia="zh-CN"/>
        </w:rPr>
        <w:t>: Proposed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7"/>
        <w:gridCol w:w="3212"/>
      </w:tblGrid>
      <w:tr w:rsidR="005C3899" w14:paraId="1F14D54E" w14:textId="77777777" w:rsidTr="005E3DB2">
        <w:trPr>
          <w:jc w:val="center"/>
        </w:trPr>
        <w:tc>
          <w:tcPr>
            <w:tcW w:w="0" w:type="auto"/>
            <w:shd w:val="clear" w:color="auto" w:fill="auto"/>
            <w:vAlign w:val="center"/>
          </w:tcPr>
          <w:p w14:paraId="637E756F" w14:textId="77777777" w:rsidR="005C3899" w:rsidRPr="00B533C6" w:rsidRDefault="005C3899" w:rsidP="005E3DB2">
            <w:pPr>
              <w:pStyle w:val="af9"/>
              <w:spacing w:before="0" w:beforeAutospacing="0" w:after="0" w:afterAutospacing="0"/>
              <w:jc w:val="center"/>
              <w:rPr>
                <w:rFonts w:ascii="Times New Roman" w:hAnsi="Times New Roman" w:cs="Times New Roman"/>
                <w:b/>
                <w:sz w:val="20"/>
                <w:szCs w:val="20"/>
                <w:lang w:val="en-GB"/>
              </w:rPr>
            </w:pPr>
            <w:r w:rsidRPr="00B533C6">
              <w:rPr>
                <w:rFonts w:ascii="Times New Roman" w:hAnsi="Times New Roman" w:cs="Times New Roman"/>
                <w:b/>
                <w:sz w:val="20"/>
                <w:szCs w:val="20"/>
                <w:lang w:val="en-GB"/>
              </w:rPr>
              <w:t>Parameter Parameter</w:t>
            </w:r>
          </w:p>
        </w:tc>
        <w:tc>
          <w:tcPr>
            <w:tcW w:w="0" w:type="auto"/>
            <w:shd w:val="clear" w:color="auto" w:fill="auto"/>
            <w:vAlign w:val="center"/>
          </w:tcPr>
          <w:p w14:paraId="056C1957" w14:textId="77777777" w:rsidR="005C3899" w:rsidRPr="00B533C6" w:rsidRDefault="005C3899" w:rsidP="005E3DB2">
            <w:pPr>
              <w:pStyle w:val="af9"/>
              <w:spacing w:before="0" w:beforeAutospacing="0" w:after="0" w:afterAutospacing="0"/>
              <w:jc w:val="center"/>
              <w:rPr>
                <w:b/>
                <w:sz w:val="36"/>
                <w:szCs w:val="36"/>
              </w:rPr>
            </w:pPr>
            <w:r w:rsidRPr="00B533C6">
              <w:rPr>
                <w:rFonts w:ascii="Times New Roman" w:hAnsi="Times New Roman" w:cs="Times New Roman"/>
                <w:b/>
                <w:sz w:val="20"/>
                <w:szCs w:val="20"/>
              </w:rPr>
              <w:t>Value</w:t>
            </w:r>
          </w:p>
        </w:tc>
      </w:tr>
      <w:tr w:rsidR="005C3899" w14:paraId="66D636BA" w14:textId="77777777" w:rsidTr="005E3DB2">
        <w:trPr>
          <w:jc w:val="center"/>
        </w:trPr>
        <w:tc>
          <w:tcPr>
            <w:tcW w:w="0" w:type="auto"/>
            <w:shd w:val="clear" w:color="auto" w:fill="auto"/>
          </w:tcPr>
          <w:p w14:paraId="7D47DBBC"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System bandwidth</w:t>
            </w:r>
          </w:p>
        </w:tc>
        <w:tc>
          <w:tcPr>
            <w:tcW w:w="0" w:type="auto"/>
            <w:shd w:val="clear" w:color="auto" w:fill="auto"/>
            <w:vAlign w:val="center"/>
          </w:tcPr>
          <w:p w14:paraId="48C5C9A9"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200 kHz</w:t>
            </w:r>
          </w:p>
        </w:tc>
      </w:tr>
      <w:tr w:rsidR="005C3899" w14:paraId="2CF1E2F1" w14:textId="77777777" w:rsidTr="005E3DB2">
        <w:trPr>
          <w:jc w:val="center"/>
        </w:trPr>
        <w:tc>
          <w:tcPr>
            <w:tcW w:w="0" w:type="auto"/>
            <w:shd w:val="clear" w:color="auto" w:fill="auto"/>
          </w:tcPr>
          <w:p w14:paraId="42FE71B6"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Operation mode</w:t>
            </w:r>
          </w:p>
        </w:tc>
        <w:tc>
          <w:tcPr>
            <w:tcW w:w="0" w:type="auto"/>
            <w:shd w:val="clear" w:color="auto" w:fill="auto"/>
            <w:vAlign w:val="center"/>
          </w:tcPr>
          <w:p w14:paraId="365D1B6D"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Stand alone</w:t>
            </w:r>
          </w:p>
        </w:tc>
      </w:tr>
      <w:tr w:rsidR="005C3899" w14:paraId="0197B960" w14:textId="77777777" w:rsidTr="005E3DB2">
        <w:trPr>
          <w:jc w:val="center"/>
        </w:trPr>
        <w:tc>
          <w:tcPr>
            <w:tcW w:w="0" w:type="auto"/>
            <w:shd w:val="clear" w:color="auto" w:fill="auto"/>
          </w:tcPr>
          <w:p w14:paraId="569BEFD2"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Antenna configuration</w:t>
            </w:r>
          </w:p>
        </w:tc>
        <w:tc>
          <w:tcPr>
            <w:tcW w:w="0" w:type="auto"/>
            <w:shd w:val="clear" w:color="auto" w:fill="auto"/>
            <w:vAlign w:val="center"/>
          </w:tcPr>
          <w:p w14:paraId="374C34F0"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1T1R</w:t>
            </w:r>
          </w:p>
        </w:tc>
      </w:tr>
      <w:tr w:rsidR="005C3899" w14:paraId="2BA07400" w14:textId="77777777" w:rsidTr="005E3DB2">
        <w:trPr>
          <w:jc w:val="center"/>
        </w:trPr>
        <w:tc>
          <w:tcPr>
            <w:tcW w:w="0" w:type="auto"/>
            <w:shd w:val="clear" w:color="auto" w:fill="auto"/>
          </w:tcPr>
          <w:p w14:paraId="34AF57B7"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Channel model</w:t>
            </w:r>
          </w:p>
        </w:tc>
        <w:tc>
          <w:tcPr>
            <w:tcW w:w="0" w:type="auto"/>
            <w:shd w:val="clear" w:color="auto" w:fill="auto"/>
            <w:vAlign w:val="center"/>
          </w:tcPr>
          <w:p w14:paraId="45C4D808"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B533C6">
              <w:rPr>
                <w:rFonts w:ascii="Times New Roman" w:hAnsi="Times New Roman" w:cs="Times New Roman"/>
                <w:sz w:val="20"/>
                <w:szCs w:val="20"/>
                <w:highlight w:val="yellow"/>
                <w:lang w:val="en-GB"/>
              </w:rPr>
              <w:t>AWGN</w:t>
            </w:r>
          </w:p>
        </w:tc>
      </w:tr>
      <w:tr w:rsidR="005C3899" w14:paraId="1D2ED112" w14:textId="77777777" w:rsidTr="005E3DB2">
        <w:trPr>
          <w:jc w:val="center"/>
        </w:trPr>
        <w:tc>
          <w:tcPr>
            <w:tcW w:w="0" w:type="auto"/>
            <w:shd w:val="clear" w:color="auto" w:fill="auto"/>
          </w:tcPr>
          <w:p w14:paraId="458EF1ED"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M</w:t>
            </w:r>
            <w:r>
              <w:rPr>
                <w:rFonts w:ascii="Times New Roman" w:hAnsi="Times New Roman" w:cs="Times New Roman"/>
                <w:sz w:val="20"/>
                <w:szCs w:val="20"/>
                <w:lang w:val="en-GB"/>
              </w:rPr>
              <w:t xml:space="preserve">odulation </w:t>
            </w:r>
          </w:p>
        </w:tc>
        <w:tc>
          <w:tcPr>
            <w:tcW w:w="0" w:type="auto"/>
            <w:shd w:val="clear" w:color="auto" w:fill="auto"/>
            <w:vAlign w:val="center"/>
          </w:tcPr>
          <w:p w14:paraId="17E3E758" w14:textId="77777777" w:rsidR="005C3899" w:rsidRPr="00B533C6" w:rsidRDefault="005C3899" w:rsidP="005E3DB2">
            <w:pPr>
              <w:pStyle w:val="af9"/>
              <w:spacing w:before="0" w:beforeAutospacing="0" w:after="0" w:afterAutospacing="0"/>
              <w:jc w:val="center"/>
              <w:rPr>
                <w:rFonts w:ascii="Times New Roman" w:hAnsi="Times New Roman" w:cs="Times New Roman"/>
                <w:sz w:val="20"/>
                <w:szCs w:val="20"/>
                <w:highlight w:val="yellow"/>
                <w:lang w:val="en-GB"/>
              </w:rPr>
            </w:pPr>
            <w:r>
              <w:rPr>
                <w:rFonts w:ascii="Times New Roman" w:hAnsi="Times New Roman" w:cs="Times New Roman" w:hint="eastAsia"/>
                <w:sz w:val="20"/>
                <w:szCs w:val="20"/>
                <w:highlight w:val="yellow"/>
                <w:lang w:val="en-GB"/>
              </w:rPr>
              <w:t>1</w:t>
            </w:r>
            <w:r>
              <w:rPr>
                <w:rFonts w:ascii="Times New Roman" w:hAnsi="Times New Roman" w:cs="Times New Roman"/>
                <w:sz w:val="20"/>
                <w:szCs w:val="20"/>
                <w:highlight w:val="yellow"/>
                <w:lang w:val="en-GB"/>
              </w:rPr>
              <w:t>6QAM</w:t>
            </w:r>
          </w:p>
        </w:tc>
      </w:tr>
      <w:tr w:rsidR="005C3899" w14:paraId="6CC54AEC" w14:textId="77777777" w:rsidTr="005E3DB2">
        <w:trPr>
          <w:jc w:val="center"/>
        </w:trPr>
        <w:tc>
          <w:tcPr>
            <w:tcW w:w="0" w:type="auto"/>
            <w:shd w:val="clear" w:color="auto" w:fill="auto"/>
          </w:tcPr>
          <w:p w14:paraId="28175890"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Frequency error</w:t>
            </w:r>
          </w:p>
        </w:tc>
        <w:tc>
          <w:tcPr>
            <w:tcW w:w="0" w:type="auto"/>
            <w:shd w:val="clear" w:color="auto" w:fill="auto"/>
            <w:vAlign w:val="center"/>
          </w:tcPr>
          <w:p w14:paraId="22AD488F"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0 Hz</w:t>
            </w:r>
          </w:p>
        </w:tc>
      </w:tr>
      <w:tr w:rsidR="005C3899" w14:paraId="7A37D686" w14:textId="77777777" w:rsidTr="005E3DB2">
        <w:trPr>
          <w:jc w:val="center"/>
        </w:trPr>
        <w:tc>
          <w:tcPr>
            <w:tcW w:w="0" w:type="auto"/>
            <w:shd w:val="clear" w:color="auto" w:fill="auto"/>
          </w:tcPr>
          <w:p w14:paraId="67D829AE"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Timing error</w:t>
            </w:r>
          </w:p>
        </w:tc>
        <w:tc>
          <w:tcPr>
            <w:tcW w:w="0" w:type="auto"/>
            <w:shd w:val="clear" w:color="auto" w:fill="auto"/>
            <w:vAlign w:val="center"/>
          </w:tcPr>
          <w:p w14:paraId="6AC3F26B"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0μs</w:t>
            </w:r>
          </w:p>
        </w:tc>
      </w:tr>
      <w:tr w:rsidR="005C3899" w14:paraId="43445597" w14:textId="77777777" w:rsidTr="005E3DB2">
        <w:trPr>
          <w:jc w:val="center"/>
        </w:trPr>
        <w:tc>
          <w:tcPr>
            <w:tcW w:w="0" w:type="auto"/>
            <w:shd w:val="clear" w:color="auto" w:fill="auto"/>
          </w:tcPr>
          <w:p w14:paraId="4B2DC2D9"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Performance target</w:t>
            </w:r>
          </w:p>
        </w:tc>
        <w:tc>
          <w:tcPr>
            <w:tcW w:w="0" w:type="auto"/>
            <w:shd w:val="clear" w:color="auto" w:fill="auto"/>
            <w:vAlign w:val="center"/>
          </w:tcPr>
          <w:p w14:paraId="3598D586"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 xml:space="preserve">SNR@70% of  maximum throughput </w:t>
            </w:r>
          </w:p>
        </w:tc>
      </w:tr>
      <w:tr w:rsidR="005C3899" w14:paraId="5667119F" w14:textId="77777777" w:rsidTr="005E3DB2">
        <w:trPr>
          <w:jc w:val="center"/>
        </w:trPr>
        <w:tc>
          <w:tcPr>
            <w:tcW w:w="0" w:type="auto"/>
            <w:shd w:val="clear" w:color="auto" w:fill="auto"/>
          </w:tcPr>
          <w:p w14:paraId="2F944884"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NSF</w:t>
            </w:r>
          </w:p>
        </w:tc>
        <w:tc>
          <w:tcPr>
            <w:tcW w:w="0" w:type="auto"/>
            <w:shd w:val="clear" w:color="auto" w:fill="auto"/>
            <w:vAlign w:val="center"/>
          </w:tcPr>
          <w:p w14:paraId="66AEAE71"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10</w:t>
            </w:r>
          </w:p>
        </w:tc>
      </w:tr>
      <w:tr w:rsidR="005C3899" w14:paraId="7BC4A8BE" w14:textId="77777777" w:rsidTr="005E3DB2">
        <w:trPr>
          <w:jc w:val="center"/>
        </w:trPr>
        <w:tc>
          <w:tcPr>
            <w:tcW w:w="0" w:type="auto"/>
            <w:shd w:val="clear" w:color="auto" w:fill="auto"/>
          </w:tcPr>
          <w:p w14:paraId="4B1BE22B"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NPDSCH </w:t>
            </w:r>
            <w:r w:rsidRPr="00084C6A">
              <w:rPr>
                <w:rFonts w:ascii="Times New Roman" w:hAnsi="Times New Roman" w:cs="Times New Roman"/>
                <w:sz w:val="20"/>
                <w:szCs w:val="20"/>
                <w:lang w:val="en-GB"/>
              </w:rPr>
              <w:t xml:space="preserve">Repetition number </w:t>
            </w:r>
          </w:p>
        </w:tc>
        <w:tc>
          <w:tcPr>
            <w:tcW w:w="0" w:type="auto"/>
            <w:shd w:val="clear" w:color="auto" w:fill="auto"/>
            <w:vAlign w:val="center"/>
          </w:tcPr>
          <w:p w14:paraId="07C06A8F"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sz w:val="20"/>
                <w:szCs w:val="20"/>
                <w:lang w:val="en-GB"/>
              </w:rPr>
              <w:t>1</w:t>
            </w:r>
          </w:p>
        </w:tc>
      </w:tr>
      <w:tr w:rsidR="005C3899" w14:paraId="19B5B300" w14:textId="77777777" w:rsidTr="005E3DB2">
        <w:trPr>
          <w:jc w:val="center"/>
        </w:trPr>
        <w:tc>
          <w:tcPr>
            <w:tcW w:w="0" w:type="auto"/>
            <w:shd w:val="clear" w:color="auto" w:fill="auto"/>
          </w:tcPr>
          <w:p w14:paraId="428A7516" w14:textId="77777777" w:rsidR="005C3899" w:rsidRDefault="005C3899"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PDCCH repetition number</w:t>
            </w:r>
          </w:p>
        </w:tc>
        <w:tc>
          <w:tcPr>
            <w:tcW w:w="0" w:type="auto"/>
            <w:shd w:val="clear" w:color="auto" w:fill="auto"/>
            <w:vAlign w:val="center"/>
          </w:tcPr>
          <w:p w14:paraId="54BAB4C4" w14:textId="77777777" w:rsidR="005C3899" w:rsidRDefault="005C3899"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1</w:t>
            </w:r>
          </w:p>
        </w:tc>
      </w:tr>
      <w:tr w:rsidR="005C3899" w14:paraId="73D2B039" w14:textId="77777777" w:rsidTr="005E3DB2">
        <w:trPr>
          <w:jc w:val="center"/>
        </w:trPr>
        <w:tc>
          <w:tcPr>
            <w:tcW w:w="0" w:type="auto"/>
            <w:shd w:val="clear" w:color="auto" w:fill="auto"/>
          </w:tcPr>
          <w:p w14:paraId="6AA0BAC6" w14:textId="77777777" w:rsidR="005C3899" w:rsidRDefault="005C3899"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RS port number</w:t>
            </w:r>
          </w:p>
        </w:tc>
        <w:tc>
          <w:tcPr>
            <w:tcW w:w="0" w:type="auto"/>
            <w:shd w:val="clear" w:color="auto" w:fill="auto"/>
            <w:vAlign w:val="center"/>
          </w:tcPr>
          <w:p w14:paraId="332A2B7A" w14:textId="77777777" w:rsidR="005C3899" w:rsidRDefault="005C3899"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1</w:t>
            </w:r>
          </w:p>
        </w:tc>
      </w:tr>
      <w:tr w:rsidR="005C3899" w14:paraId="779F3BA6" w14:textId="77777777" w:rsidTr="005E3DB2">
        <w:trPr>
          <w:jc w:val="center"/>
        </w:trPr>
        <w:tc>
          <w:tcPr>
            <w:tcW w:w="0" w:type="auto"/>
            <w:shd w:val="clear" w:color="auto" w:fill="auto"/>
          </w:tcPr>
          <w:p w14:paraId="74BF70CB"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HARQ process</w:t>
            </w:r>
          </w:p>
        </w:tc>
        <w:tc>
          <w:tcPr>
            <w:tcW w:w="0" w:type="auto"/>
            <w:shd w:val="clear" w:color="auto" w:fill="auto"/>
            <w:vAlign w:val="center"/>
          </w:tcPr>
          <w:p w14:paraId="6F56FFC6"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2</w:t>
            </w:r>
          </w:p>
        </w:tc>
      </w:tr>
      <w:tr w:rsidR="005C3899" w14:paraId="07EA2C4F" w14:textId="77777777" w:rsidTr="005E3DB2">
        <w:trPr>
          <w:jc w:val="center"/>
        </w:trPr>
        <w:tc>
          <w:tcPr>
            <w:tcW w:w="0" w:type="auto"/>
            <w:shd w:val="clear" w:color="auto" w:fill="auto"/>
          </w:tcPr>
          <w:p w14:paraId="32C03EB9"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Carrier Type</w:t>
            </w:r>
          </w:p>
        </w:tc>
        <w:tc>
          <w:tcPr>
            <w:tcW w:w="0" w:type="auto"/>
            <w:shd w:val="clear" w:color="auto" w:fill="auto"/>
            <w:vAlign w:val="center"/>
          </w:tcPr>
          <w:p w14:paraId="14331CF2"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Non-anchor</w:t>
            </w:r>
          </w:p>
        </w:tc>
      </w:tr>
      <w:tr w:rsidR="005C3899" w14:paraId="4D4B54AF" w14:textId="77777777" w:rsidTr="005E3DB2">
        <w:trPr>
          <w:jc w:val="center"/>
        </w:trPr>
        <w:tc>
          <w:tcPr>
            <w:tcW w:w="0" w:type="auto"/>
            <w:shd w:val="clear" w:color="auto" w:fill="auto"/>
          </w:tcPr>
          <w:p w14:paraId="3DB2959C"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sz w:val="20"/>
                <w:szCs w:val="20"/>
                <w:lang w:val="en-GB"/>
              </w:rPr>
              <w:t>TB</w:t>
            </w:r>
            <w:r w:rsidRPr="00084C6A">
              <w:rPr>
                <w:rFonts w:ascii="Times New Roman" w:hAnsi="Times New Roman" w:cs="Times New Roman"/>
                <w:sz w:val="20"/>
                <w:szCs w:val="20"/>
                <w:lang w:val="en-GB"/>
              </w:rPr>
              <w:t>size</w:t>
            </w:r>
          </w:p>
        </w:tc>
        <w:tc>
          <w:tcPr>
            <w:tcW w:w="0" w:type="auto"/>
            <w:shd w:val="clear" w:color="auto" w:fill="auto"/>
            <w:vAlign w:val="center"/>
          </w:tcPr>
          <w:p w14:paraId="07226362"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4968 </w:t>
            </w:r>
          </w:p>
        </w:tc>
      </w:tr>
      <w:tr w:rsidR="005C3899" w14:paraId="780B0F63" w14:textId="77777777" w:rsidTr="005E3DB2">
        <w:trPr>
          <w:jc w:val="center"/>
        </w:trPr>
        <w:tc>
          <w:tcPr>
            <w:tcW w:w="0" w:type="auto"/>
            <w:shd w:val="clear" w:color="auto" w:fill="auto"/>
          </w:tcPr>
          <w:p w14:paraId="5DFC8C3F"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sz w:val="20"/>
                <w:szCs w:val="20"/>
                <w:lang w:val="en-GB"/>
              </w:rPr>
              <w:t>Soft buffer size</w:t>
            </w:r>
          </w:p>
        </w:tc>
        <w:tc>
          <w:tcPr>
            <w:tcW w:w="0" w:type="auto"/>
            <w:shd w:val="clear" w:color="auto" w:fill="auto"/>
            <w:vAlign w:val="center"/>
          </w:tcPr>
          <w:p w14:paraId="3C9D4273" w14:textId="77777777" w:rsidR="005C3899" w:rsidRDefault="005C3899"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1</w:t>
            </w:r>
            <w:r>
              <w:rPr>
                <w:rFonts w:ascii="Times New Roman" w:hAnsi="Times New Roman" w:cs="Times New Roman"/>
                <w:sz w:val="20"/>
                <w:szCs w:val="20"/>
                <w:lang w:val="en-GB"/>
              </w:rPr>
              <w:t xml:space="preserve">2800 </w:t>
            </w:r>
          </w:p>
        </w:tc>
      </w:tr>
      <w:tr w:rsidR="005C3899" w14:paraId="0FEFE8F4" w14:textId="77777777" w:rsidTr="005E3DB2">
        <w:trPr>
          <w:jc w:val="center"/>
        </w:trPr>
        <w:tc>
          <w:tcPr>
            <w:tcW w:w="0" w:type="auto"/>
            <w:shd w:val="clear" w:color="auto" w:fill="auto"/>
          </w:tcPr>
          <w:p w14:paraId="5B5A5275"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Duplex mode</w:t>
            </w:r>
          </w:p>
        </w:tc>
        <w:tc>
          <w:tcPr>
            <w:tcW w:w="0" w:type="auto"/>
            <w:shd w:val="clear" w:color="auto" w:fill="auto"/>
            <w:vAlign w:val="center"/>
          </w:tcPr>
          <w:p w14:paraId="331A3855"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sidRPr="00084C6A">
              <w:rPr>
                <w:rFonts w:ascii="Times New Roman" w:hAnsi="Times New Roman" w:cs="Times New Roman"/>
                <w:sz w:val="20"/>
                <w:szCs w:val="20"/>
                <w:lang w:val="en-GB"/>
              </w:rPr>
              <w:t>HD-FDD</w:t>
            </w:r>
            <w:r>
              <w:rPr>
                <w:rFonts w:ascii="Times New Roman" w:hAnsi="Times New Roman" w:cs="Times New Roman"/>
                <w:sz w:val="20"/>
                <w:szCs w:val="20"/>
                <w:lang w:val="en-GB"/>
              </w:rPr>
              <w:t>,TDD</w:t>
            </w:r>
          </w:p>
        </w:tc>
      </w:tr>
      <w:tr w:rsidR="005C3899" w14:paraId="7C108594" w14:textId="77777777" w:rsidTr="005E3DB2">
        <w:trPr>
          <w:jc w:val="center"/>
        </w:trPr>
        <w:tc>
          <w:tcPr>
            <w:tcW w:w="0" w:type="auto"/>
            <w:shd w:val="clear" w:color="auto" w:fill="auto"/>
          </w:tcPr>
          <w:p w14:paraId="01C8847A"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he ratio of EPRE of NPDSCH in symbols with and without NRS to NRS</w:t>
            </w:r>
          </w:p>
        </w:tc>
        <w:tc>
          <w:tcPr>
            <w:tcW w:w="0" w:type="auto"/>
            <w:shd w:val="clear" w:color="auto" w:fill="auto"/>
            <w:vAlign w:val="center"/>
          </w:tcPr>
          <w:p w14:paraId="048EF9C4" w14:textId="77777777" w:rsidR="005C3899" w:rsidRPr="00084C6A" w:rsidRDefault="005C3899" w:rsidP="005E3DB2">
            <w:pPr>
              <w:pStyle w:val="af9"/>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0</w:t>
            </w:r>
            <w:r>
              <w:rPr>
                <w:rFonts w:ascii="Times New Roman" w:hAnsi="Times New Roman" w:cs="Times New Roman"/>
                <w:sz w:val="20"/>
                <w:szCs w:val="20"/>
                <w:lang w:val="en-GB"/>
              </w:rPr>
              <w:t>dB</w:t>
            </w:r>
          </w:p>
        </w:tc>
      </w:tr>
    </w:tbl>
    <w:p w14:paraId="67F35CD7" w14:textId="040E8494" w:rsidR="00FB55C6" w:rsidRPr="005F6954" w:rsidRDefault="00FB55C6" w:rsidP="00722409">
      <w:pPr>
        <w:pStyle w:val="afa"/>
        <w:ind w:left="420"/>
        <w:rPr>
          <w:rFonts w:eastAsiaTheme="minorEastAsia"/>
        </w:rPr>
      </w:pPr>
    </w:p>
    <w:sectPr w:rsidR="00FB55C6"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2A997" w14:textId="77777777" w:rsidR="00E82A8F" w:rsidRDefault="00E82A8F">
      <w:r>
        <w:separator/>
      </w:r>
    </w:p>
  </w:endnote>
  <w:endnote w:type="continuationSeparator" w:id="0">
    <w:p w14:paraId="15F99702" w14:textId="77777777" w:rsidR="00E82A8F" w:rsidRDefault="00E8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52A4C" w14:textId="77777777" w:rsidR="00E82A8F" w:rsidRDefault="00E82A8F">
      <w:r>
        <w:separator/>
      </w:r>
    </w:p>
  </w:footnote>
  <w:footnote w:type="continuationSeparator" w:id="0">
    <w:p w14:paraId="365E9A6A" w14:textId="77777777" w:rsidR="00E82A8F" w:rsidRDefault="00E82A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0A6F05"/>
    <w:multiLevelType w:val="hybridMultilevel"/>
    <w:tmpl w:val="D8D03A9C"/>
    <w:lvl w:ilvl="0" w:tplc="3830E630">
      <w:numFmt w:val="bullet"/>
      <w:lvlText w:val="◦"/>
      <w:lvlJc w:val="left"/>
      <w:pPr>
        <w:ind w:left="988" w:hanging="420"/>
      </w:pPr>
      <w:rPr>
        <w:rFonts w:ascii="Microsoft Sans Serif" w:hAnsi="Microsoft Sans Serif"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D305FD4"/>
    <w:multiLevelType w:val="hybridMultilevel"/>
    <w:tmpl w:val="3BCA37B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72066"/>
    <w:multiLevelType w:val="hybridMultilevel"/>
    <w:tmpl w:val="9746D6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9D26F2"/>
    <w:multiLevelType w:val="hybridMultilevel"/>
    <w:tmpl w:val="937A1F3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54055"/>
    <w:multiLevelType w:val="hybridMultilevel"/>
    <w:tmpl w:val="605AC6D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72D50B4"/>
    <w:multiLevelType w:val="hybridMultilevel"/>
    <w:tmpl w:val="9504400E"/>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063A62"/>
    <w:multiLevelType w:val="hybridMultilevel"/>
    <w:tmpl w:val="E0F6C9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2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A6D1658"/>
    <w:multiLevelType w:val="hybridMultilevel"/>
    <w:tmpl w:val="EB8882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1556AC"/>
    <w:multiLevelType w:val="hybridMultilevel"/>
    <w:tmpl w:val="99DC2EB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6"/>
  </w:num>
  <w:num w:numId="2">
    <w:abstractNumId w:val="4"/>
  </w:num>
  <w:num w:numId="3">
    <w:abstractNumId w:val="28"/>
  </w:num>
  <w:num w:numId="4">
    <w:abstractNumId w:val="30"/>
  </w:num>
  <w:num w:numId="5">
    <w:abstractNumId w:val="21"/>
  </w:num>
  <w:num w:numId="6">
    <w:abstractNumId w:val="3"/>
  </w:num>
  <w:num w:numId="7">
    <w:abstractNumId w:val="7"/>
  </w:num>
  <w:num w:numId="8">
    <w:abstractNumId w:val="16"/>
  </w:num>
  <w:num w:numId="9">
    <w:abstractNumId w:val="18"/>
  </w:num>
  <w:num w:numId="10">
    <w:abstractNumId w:val="24"/>
  </w:num>
  <w:num w:numId="11">
    <w:abstractNumId w:val="29"/>
  </w:num>
  <w:num w:numId="12">
    <w:abstractNumId w:val="27"/>
  </w:num>
  <w:num w:numId="13">
    <w:abstractNumId w:val="12"/>
  </w:num>
  <w:num w:numId="14">
    <w:abstractNumId w:val="9"/>
  </w:num>
  <w:num w:numId="15">
    <w:abstractNumId w:val="23"/>
  </w:num>
  <w:num w:numId="16">
    <w:abstractNumId w:val="14"/>
  </w:num>
  <w:num w:numId="17">
    <w:abstractNumId w:val="5"/>
  </w:num>
  <w:num w:numId="18">
    <w:abstractNumId w:val="1"/>
  </w:num>
  <w:num w:numId="19">
    <w:abstractNumId w:val="10"/>
  </w:num>
  <w:num w:numId="20">
    <w:abstractNumId w:val="20"/>
  </w:num>
  <w:num w:numId="21">
    <w:abstractNumId w:val="2"/>
  </w:num>
  <w:num w:numId="22">
    <w:abstractNumId w:val="15"/>
  </w:num>
  <w:num w:numId="23">
    <w:abstractNumId w:val="19"/>
  </w:num>
  <w:num w:numId="24">
    <w:abstractNumId w:val="8"/>
  </w:num>
  <w:num w:numId="25">
    <w:abstractNumId w:val="26"/>
  </w:num>
  <w:num w:numId="26">
    <w:abstractNumId w:val="25"/>
  </w:num>
  <w:num w:numId="27">
    <w:abstractNumId w:val="11"/>
  </w:num>
  <w:num w:numId="28">
    <w:abstractNumId w:val="0"/>
  </w:num>
  <w:num w:numId="29">
    <w:abstractNumId w:val="13"/>
  </w:num>
  <w:num w:numId="30">
    <w:abstractNumId w:val="17"/>
  </w:num>
  <w:num w:numId="31">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CB8"/>
    <w:rsid w:val="00014304"/>
    <w:rsid w:val="00014462"/>
    <w:rsid w:val="00015330"/>
    <w:rsid w:val="0001565F"/>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37CA"/>
    <w:rsid w:val="0015526C"/>
    <w:rsid w:val="00157372"/>
    <w:rsid w:val="00157B57"/>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32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AAE"/>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2C6"/>
    <w:rsid w:val="00367757"/>
    <w:rsid w:val="0037004C"/>
    <w:rsid w:val="0037023A"/>
    <w:rsid w:val="003703CB"/>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5499"/>
    <w:rsid w:val="00406080"/>
    <w:rsid w:val="0040734E"/>
    <w:rsid w:val="00407604"/>
    <w:rsid w:val="00407AFD"/>
    <w:rsid w:val="00407B9F"/>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0C5D"/>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B6C"/>
    <w:rsid w:val="00572D3D"/>
    <w:rsid w:val="00572ECB"/>
    <w:rsid w:val="0057371E"/>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D7713"/>
    <w:rsid w:val="005E0079"/>
    <w:rsid w:val="005E066C"/>
    <w:rsid w:val="005E2409"/>
    <w:rsid w:val="005E2C44"/>
    <w:rsid w:val="005E300B"/>
    <w:rsid w:val="005E3280"/>
    <w:rsid w:val="005E4C97"/>
    <w:rsid w:val="005E5A4E"/>
    <w:rsid w:val="005E64D8"/>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6458"/>
    <w:rsid w:val="00647E1E"/>
    <w:rsid w:val="00650B10"/>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E73"/>
    <w:rsid w:val="0076780C"/>
    <w:rsid w:val="007678AB"/>
    <w:rsid w:val="007678C0"/>
    <w:rsid w:val="00767A78"/>
    <w:rsid w:val="00767AAC"/>
    <w:rsid w:val="007700E9"/>
    <w:rsid w:val="00770668"/>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1CE4"/>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3D25"/>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EEF"/>
    <w:rsid w:val="008525BE"/>
    <w:rsid w:val="00852997"/>
    <w:rsid w:val="008537FC"/>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3FB1"/>
    <w:rsid w:val="008A4719"/>
    <w:rsid w:val="008A4B74"/>
    <w:rsid w:val="008A53E7"/>
    <w:rsid w:val="008A58C6"/>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5E5"/>
    <w:rsid w:val="009B6990"/>
    <w:rsid w:val="009B6C8E"/>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55F4"/>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91C"/>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2774"/>
    <w:rsid w:val="00AF3473"/>
    <w:rsid w:val="00AF45CD"/>
    <w:rsid w:val="00AF4A07"/>
    <w:rsid w:val="00AF4E18"/>
    <w:rsid w:val="00AF7515"/>
    <w:rsid w:val="00B00341"/>
    <w:rsid w:val="00B010E3"/>
    <w:rsid w:val="00B02DCF"/>
    <w:rsid w:val="00B02E8D"/>
    <w:rsid w:val="00B039EC"/>
    <w:rsid w:val="00B03C9D"/>
    <w:rsid w:val="00B048F4"/>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4738"/>
    <w:rsid w:val="00B55129"/>
    <w:rsid w:val="00B557B2"/>
    <w:rsid w:val="00B55E48"/>
    <w:rsid w:val="00B6023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96C"/>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1E3F"/>
    <w:rsid w:val="00C52735"/>
    <w:rsid w:val="00C52CA4"/>
    <w:rsid w:val="00C52EC7"/>
    <w:rsid w:val="00C53AB0"/>
    <w:rsid w:val="00C5442E"/>
    <w:rsid w:val="00C54BEB"/>
    <w:rsid w:val="00C5571D"/>
    <w:rsid w:val="00C55D04"/>
    <w:rsid w:val="00C56631"/>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640"/>
    <w:rsid w:val="00CC093E"/>
    <w:rsid w:val="00CC14CB"/>
    <w:rsid w:val="00CC1845"/>
    <w:rsid w:val="00CC1B29"/>
    <w:rsid w:val="00CC475F"/>
    <w:rsid w:val="00CC4FE0"/>
    <w:rsid w:val="00CC6082"/>
    <w:rsid w:val="00CC674E"/>
    <w:rsid w:val="00CC6C6E"/>
    <w:rsid w:val="00CC76E6"/>
    <w:rsid w:val="00CC7FD1"/>
    <w:rsid w:val="00CC7FFB"/>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BFC"/>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2A8F"/>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D739F"/>
    <w:rsid w:val="00FE174A"/>
    <w:rsid w:val="00FE197B"/>
    <w:rsid w:val="00FE3397"/>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7F086-1A69-4A86-8F0F-E220FB1CF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1316</Words>
  <Characters>7506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cp:revision>
  <cp:lastPrinted>2009-04-22T01:01:00Z</cp:lastPrinted>
  <dcterms:created xsi:type="dcterms:W3CDTF">2022-01-05T15:58:00Z</dcterms:created>
  <dcterms:modified xsi:type="dcterms:W3CDTF">2022-01-10T12:57:00Z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(3)x1dDTbesiNa47+14/V9VvN2lYlhVdZZWs9TSsn7h4uIxc+NBbzXKviMheAAA9pVaRRI0fUAT
CSZ8JRIGx5c+B8D3KfEq+ZnTaWOloOEf4Hn1ekOZc6q/UHWyjynfQCTHF6N4IfSq5x7iAVpX
NN9bI9DiQzcdPjwgQ4H8swz+hCBqhz05KDfTVwNEsgwuRIdaKhXuUXl2D6IRMiqxkiAWrMOr
Yu/rPEGMaOxrP/Rowe</vt:lpwstr>
  </property>
  <property fmtid="{D5CDD505-2E9C-101B-9397-08002B2CF9AE}" pid="17" name="_2015_ms_pID_725343_00">
    <vt:lpwstr>_2015_ms_pID_725343</vt:lpwstr>
  </property>
  <property fmtid="{D5CDD505-2E9C-101B-9397-08002B2CF9AE}" pid="18" name="_2015_ms_pID_7253431">
    <vt:lpwstr>imN6wBdKgsY0xaDBE7DCEFv5e9yqZVqA8ZFMIv7ksVkHh+3il4sqnE
CYEf8/8zPxCzkf0CqOHOcbkAwaMWppDxl7XReFI1DjsxrRPGu29xUFAtqKj+m77A+oiYBZu9
WIR58kHlN2fpdYIVzoseZ2laoOJjze5akt+2H1+QLTQz8mQqXziPBj0bXVEOUOsmAGk0VRKl
JBuX2hoAG4eqjj6ITr1GHGOLUYeKJbz5eEV7</vt:lpwstr>
  </property>
  <property fmtid="{D5CDD505-2E9C-101B-9397-08002B2CF9AE}" pid="19" name="_2015_ms_pID_7253431_00">
    <vt:lpwstr>_2015_ms_pID_7253431</vt:lpwstr>
  </property>
  <property fmtid="{D5CDD505-2E9C-101B-9397-08002B2CF9AE}" pid="20" name="_2015_ms_pID_7253432">
    <vt:lpwstr>eVUGeG2bT/TX8Ji3ds1u7r9jA6SdKtoOOYmE
X+cB2o/CzkFXO/M2DcYgfXgmSeT501oMKqSrFNxPDcGpd949noY=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1641365370</vt:lpwstr>
  </property>
</Properties>
</file>