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47E3E747"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WG4 Meeting #</w:t>
      </w:r>
      <w:r w:rsidR="00652F55">
        <w:rPr>
          <w:rFonts w:eastAsia="Malgun Gothic"/>
          <w:b/>
          <w:bCs/>
          <w:sz w:val="28"/>
        </w:rPr>
        <w:t>10</w:t>
      </w:r>
      <w:r w:rsidR="002142B9">
        <w:rPr>
          <w:rFonts w:eastAsia="Malgun Gothic"/>
          <w:b/>
          <w:bCs/>
          <w:sz w:val="28"/>
        </w:rPr>
        <w:t>1</w:t>
      </w:r>
      <w:r>
        <w:rPr>
          <w:rFonts w:eastAsia="Malgun Gothic"/>
          <w:b/>
          <w:bCs/>
          <w:sz w:val="28"/>
        </w:rPr>
        <w:t>e</w:t>
      </w:r>
      <w:r w:rsidR="002E0F56">
        <w:rPr>
          <w:rFonts w:eastAsia="Malgun Gothic"/>
          <w:b/>
          <w:bCs/>
          <w:sz w:val="28"/>
        </w:rPr>
        <w:t>-bis</w:t>
      </w:r>
      <w:r w:rsidRPr="00B91A9F">
        <w:rPr>
          <w:rFonts w:eastAsia="Malgun Gothic"/>
          <w:b/>
          <w:bCs/>
          <w:sz w:val="28"/>
        </w:rPr>
        <w:tab/>
        <w:t>R4-</w:t>
      </w:r>
      <w:r w:rsidR="008457F2" w:rsidRPr="00B91A9F">
        <w:rPr>
          <w:rFonts w:eastAsia="Malgun Gothic"/>
          <w:b/>
          <w:bCs/>
          <w:sz w:val="28"/>
        </w:rPr>
        <w:t>2</w:t>
      </w:r>
      <w:r w:rsidR="002E0F56">
        <w:rPr>
          <w:rFonts w:eastAsia="Malgun Gothic"/>
          <w:b/>
          <w:bCs/>
          <w:sz w:val="28"/>
        </w:rPr>
        <w:t>2</w:t>
      </w:r>
      <w:r w:rsidR="00DB0AD3">
        <w:rPr>
          <w:rFonts w:eastAsia="Malgun Gothic"/>
          <w:b/>
          <w:bCs/>
          <w:sz w:val="28"/>
        </w:rPr>
        <w:t>00926</w:t>
      </w:r>
    </w:p>
    <w:p w14:paraId="32A39083" w14:textId="6CA17D01"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2142B9">
        <w:rPr>
          <w:rFonts w:eastAsia="Malgun Gothic"/>
          <w:b/>
          <w:bCs/>
          <w:sz w:val="28"/>
          <w:lang w:eastAsia="ko-KR"/>
        </w:rPr>
        <w:t>1</w:t>
      </w:r>
      <w:r w:rsidR="002E0F56">
        <w:rPr>
          <w:rFonts w:eastAsia="Malgun Gothic"/>
          <w:b/>
          <w:bCs/>
          <w:sz w:val="28"/>
          <w:lang w:eastAsia="ko-KR"/>
        </w:rPr>
        <w:t>7</w:t>
      </w:r>
      <w:r w:rsidR="002142B9">
        <w:rPr>
          <w:b/>
          <w:noProof/>
          <w:sz w:val="28"/>
          <w:vertAlign w:val="superscript"/>
        </w:rPr>
        <w:t>t</w:t>
      </w:r>
      <w:r w:rsidR="002E0F56">
        <w:rPr>
          <w:b/>
          <w:noProof/>
          <w:sz w:val="28"/>
          <w:vertAlign w:val="superscript"/>
        </w:rPr>
        <w:t>h</w:t>
      </w:r>
      <w:r>
        <w:rPr>
          <w:b/>
          <w:noProof/>
          <w:sz w:val="28"/>
        </w:rPr>
        <w:t xml:space="preserve"> – </w:t>
      </w:r>
      <w:r w:rsidR="002E0F56">
        <w:rPr>
          <w:b/>
          <w:noProof/>
          <w:sz w:val="28"/>
        </w:rPr>
        <w:t>25</w:t>
      </w:r>
      <w:r w:rsidRPr="00B91A9F">
        <w:rPr>
          <w:b/>
          <w:noProof/>
          <w:sz w:val="28"/>
          <w:vertAlign w:val="superscript"/>
        </w:rPr>
        <w:t>th</w:t>
      </w:r>
      <w:r w:rsidRPr="00B91A9F">
        <w:rPr>
          <w:b/>
          <w:noProof/>
          <w:sz w:val="28"/>
        </w:rPr>
        <w:t xml:space="preserve"> </w:t>
      </w:r>
      <w:r w:rsidR="002E0F56">
        <w:rPr>
          <w:b/>
          <w:noProof/>
          <w:sz w:val="28"/>
        </w:rPr>
        <w:t>January</w:t>
      </w:r>
      <w:r>
        <w:rPr>
          <w:b/>
          <w:noProof/>
          <w:sz w:val="28"/>
        </w:rPr>
        <w:t xml:space="preserve"> 202</w:t>
      </w:r>
      <w:r w:rsidR="002E0F56">
        <w:rPr>
          <w:b/>
          <w:noProof/>
          <w:sz w:val="28"/>
        </w:rPr>
        <w:t>2</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AAC72C9"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Discussion on</w:t>
      </w:r>
      <w:r w:rsidR="009D72F7">
        <w:rPr>
          <w:lang w:val="en-GB"/>
        </w:rPr>
        <w:t xml:space="preserve"> </w:t>
      </w:r>
      <w:r w:rsidR="002E0F56">
        <w:rPr>
          <w:lang w:val="en-GB"/>
        </w:rPr>
        <w:t>test</w:t>
      </w:r>
      <w:r w:rsidR="008D2505">
        <w:rPr>
          <w:lang w:val="en-GB"/>
        </w:rPr>
        <w:t>ability</w:t>
      </w:r>
      <w:r w:rsidR="002E0F56">
        <w:rPr>
          <w:lang w:val="en-GB"/>
        </w:rPr>
        <w:t xml:space="preserve"> of coverage enhancement requirements</w:t>
      </w:r>
    </w:p>
    <w:p w14:paraId="75E65FB7" w14:textId="55AD9BC5"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B42D4E">
        <w:rPr>
          <w:lang w:val="en-GB"/>
        </w:rPr>
        <w:t>6.18.2.2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7A1E122A" w:rsidR="00196262" w:rsidRPr="00196262" w:rsidRDefault="002E0F56" w:rsidP="00196262">
      <w:pPr>
        <w:rPr>
          <w:lang w:val="en-GB" w:eastAsia="en-US"/>
        </w:rPr>
      </w:pPr>
      <w:r>
        <w:rPr>
          <w:lang w:val="en-GB" w:eastAsia="en-US"/>
        </w:rPr>
        <w:t>As part of the coverage enhancement work item, the definition of the RF requirements for the UL coherent transmission is being discussed. In this paper, we share the views on the potential solutions from a test equipment point of view.</w:t>
      </w:r>
    </w:p>
    <w:p w14:paraId="59D92B3E" w14:textId="2C92195C" w:rsidR="00FC45FA" w:rsidRDefault="002A659B" w:rsidP="00FC45FA">
      <w:pPr>
        <w:pStyle w:val="berschrift1"/>
        <w:rPr>
          <w:rFonts w:cs="Arial"/>
        </w:rPr>
      </w:pPr>
      <w:bookmarkStart w:id="1" w:name="OLE_LINK10"/>
      <w:bookmarkStart w:id="2" w:name="OLE_LINK11"/>
      <w:r w:rsidRPr="00DE4417">
        <w:rPr>
          <w:rFonts w:cs="Arial"/>
        </w:rPr>
        <w:t>Discussion</w:t>
      </w:r>
    </w:p>
    <w:p w14:paraId="7BE3B962" w14:textId="37D2F220" w:rsidR="00C436FD" w:rsidRPr="00C436FD" w:rsidRDefault="00C436FD" w:rsidP="00C436FD">
      <w:pPr>
        <w:pStyle w:val="berschrift2"/>
      </w:pPr>
      <w:r>
        <w:rPr>
          <w:lang w:val="de-DE"/>
        </w:rPr>
        <w:t xml:space="preserve">RF </w:t>
      </w:r>
      <w:proofErr w:type="spellStart"/>
      <w:r>
        <w:rPr>
          <w:lang w:val="de-DE"/>
        </w:rPr>
        <w:t>Requirements</w:t>
      </w:r>
      <w:proofErr w:type="spellEnd"/>
    </w:p>
    <w:p w14:paraId="27D97B88" w14:textId="04D5C35F" w:rsidR="003F78A5" w:rsidRDefault="002E0F56" w:rsidP="007E6782">
      <w:pPr>
        <w:rPr>
          <w:lang w:eastAsia="en-US"/>
        </w:rPr>
      </w:pPr>
      <w:r>
        <w:rPr>
          <w:lang w:eastAsia="en-US"/>
        </w:rPr>
        <w:t>Du</w:t>
      </w:r>
      <w:r w:rsidR="004745B3">
        <w:rPr>
          <w:lang w:eastAsia="en-US"/>
        </w:rPr>
        <w:t xml:space="preserve">ring the discussions in the last meeting the requirements for phase continuity and power consistency for the coverage enhancement requirements have been discussed as part of </w:t>
      </w:r>
      <w:proofErr w:type="gramStart"/>
      <w:r w:rsidR="004745B3">
        <w:rPr>
          <w:lang w:eastAsia="en-US"/>
        </w:rPr>
        <w:t>the  email</w:t>
      </w:r>
      <w:proofErr w:type="gramEnd"/>
      <w:r w:rsidR="004745B3">
        <w:rPr>
          <w:lang w:eastAsia="en-US"/>
        </w:rPr>
        <w:t xml:space="preserve"> discussions [1] and the following conclusion could be reached as part of the W</w:t>
      </w:r>
      <w:r w:rsidR="00F7215D">
        <w:rPr>
          <w:lang w:eastAsia="en-US"/>
        </w:rPr>
        <w:t>ay Forward</w:t>
      </w:r>
      <w:r w:rsidR="004745B3">
        <w:rPr>
          <w:lang w:eastAsia="en-US"/>
        </w:rPr>
        <w:t xml:space="preserve"> [2]</w:t>
      </w:r>
      <w:r w:rsidR="00F7215D">
        <w:rPr>
          <w:lang w:eastAsia="en-US"/>
        </w:rPr>
        <w:t>:</w:t>
      </w:r>
    </w:p>
    <w:p w14:paraId="164E009A" w14:textId="77777777" w:rsidR="004745B3" w:rsidRPr="004745B3" w:rsidRDefault="004745B3" w:rsidP="004745B3">
      <w:pPr>
        <w:pStyle w:val="berschrift2"/>
        <w:numPr>
          <w:ilvl w:val="0"/>
          <w:numId w:val="0"/>
        </w:numPr>
        <w:ind w:left="432" w:hanging="432"/>
        <w:rPr>
          <w:b w:val="0"/>
          <w:i/>
          <w:highlight w:val="lightGray"/>
          <w:u w:val="single"/>
          <w:lang w:val="en-US" w:eastAsia="ko-KR"/>
        </w:rPr>
      </w:pPr>
      <w:r w:rsidRPr="004745B3">
        <w:rPr>
          <w:b w:val="0"/>
          <w:i/>
          <w:highlight w:val="lightGray"/>
          <w:u w:val="single"/>
          <w:lang w:val="en-US" w:eastAsia="ko-KR"/>
        </w:rPr>
        <w:t>Issue 1-3-7: Definition of RF requirements</w:t>
      </w:r>
    </w:p>
    <w:p w14:paraId="4979CAA5" w14:textId="77777777" w:rsidR="004745B3" w:rsidRPr="004745B3" w:rsidRDefault="004745B3" w:rsidP="004745B3">
      <w:pPr>
        <w:tabs>
          <w:tab w:val="left" w:pos="360"/>
          <w:tab w:val="left" w:pos="1080"/>
        </w:tabs>
        <w:rPr>
          <w:rFonts w:ascii="Times New Roman" w:hAnsi="Times New Roman" w:cs="Times New Roman"/>
          <w:i/>
          <w:sz w:val="20"/>
          <w:szCs w:val="20"/>
          <w:highlight w:val="lightGray"/>
        </w:rPr>
      </w:pPr>
      <w:r w:rsidRPr="004745B3">
        <w:rPr>
          <w:rFonts w:ascii="Times New Roman" w:eastAsia="DengXian" w:hAnsi="Times New Roman" w:cs="Times New Roman" w:hint="eastAsia"/>
          <w:i/>
          <w:sz w:val="20"/>
          <w:szCs w:val="20"/>
          <w:highlight w:val="lightGray"/>
        </w:rPr>
        <w:t>W</w:t>
      </w:r>
      <w:r w:rsidRPr="004745B3">
        <w:rPr>
          <w:rFonts w:ascii="Times New Roman" w:eastAsia="DengXian" w:hAnsi="Times New Roman" w:cs="Times New Roman"/>
          <w:i/>
          <w:sz w:val="20"/>
          <w:szCs w:val="20"/>
          <w:highlight w:val="lightGray"/>
        </w:rPr>
        <w:t>F recommendation</w:t>
      </w:r>
      <w:r w:rsidRPr="004745B3">
        <w:rPr>
          <w:rFonts w:ascii="Times New Roman" w:hAnsi="Times New Roman" w:cs="Times New Roman"/>
          <w:i/>
          <w:sz w:val="20"/>
          <w:szCs w:val="20"/>
          <w:highlight w:val="lightGray"/>
        </w:rPr>
        <w:t xml:space="preserve">: </w:t>
      </w:r>
    </w:p>
    <w:p w14:paraId="605FE658" w14:textId="77777777" w:rsidR="004745B3" w:rsidRPr="004745B3" w:rsidRDefault="004745B3" w:rsidP="004745B3">
      <w:pPr>
        <w:pStyle w:val="Listenabsatz"/>
        <w:numPr>
          <w:ilvl w:val="0"/>
          <w:numId w:val="12"/>
        </w:numPr>
        <w:tabs>
          <w:tab w:val="left" w:pos="1080"/>
        </w:tabs>
        <w:rPr>
          <w:rFonts w:ascii="Times New Roman" w:hAnsi="Times New Roman" w:cs="Times New Roman"/>
          <w:i/>
          <w:highlight w:val="lightGray"/>
          <w:lang w:val="en-US"/>
        </w:rPr>
      </w:pPr>
      <w:r w:rsidRPr="004745B3">
        <w:rPr>
          <w:rFonts w:ascii="Times New Roman" w:hAnsi="Times New Roman" w:cs="Times New Roman"/>
          <w:i/>
          <w:highlight w:val="lightGray"/>
          <w:lang w:val="en-US"/>
        </w:rPr>
        <w:t>For definition of RF requirements, the following options will be further discussed in the future meetings.</w:t>
      </w:r>
    </w:p>
    <w:p w14:paraId="5A14A5F8" w14:textId="77777777" w:rsidR="004745B3" w:rsidRPr="004745B3" w:rsidRDefault="004745B3" w:rsidP="004745B3">
      <w:pPr>
        <w:pStyle w:val="Listenabsatz"/>
        <w:numPr>
          <w:ilvl w:val="1"/>
          <w:numId w:val="12"/>
        </w:numPr>
        <w:tabs>
          <w:tab w:val="left" w:pos="155"/>
          <w:tab w:val="left" w:pos="360"/>
        </w:tabs>
        <w:rPr>
          <w:rFonts w:ascii="Times New Roman" w:hAnsi="Times New Roman" w:cs="Times New Roman"/>
          <w:i/>
          <w:highlight w:val="lightGray"/>
          <w:lang w:val="en-US"/>
        </w:rPr>
      </w:pPr>
      <w:r w:rsidRPr="004745B3">
        <w:rPr>
          <w:rFonts w:ascii="Times New Roman" w:hAnsi="Times New Roman" w:cs="Times New Roman"/>
          <w:i/>
          <w:highlight w:val="lightGray"/>
          <w:lang w:val="en-US"/>
        </w:rPr>
        <w:t>Option 1: for slot #n, define the relative phase tolerance, relative power tolerance explicitly.</w:t>
      </w:r>
    </w:p>
    <w:p w14:paraId="652FF96D" w14:textId="77777777" w:rsidR="004745B3" w:rsidRPr="004745B3" w:rsidRDefault="004745B3" w:rsidP="004745B3">
      <w:pPr>
        <w:pStyle w:val="Listenabsatz"/>
        <w:numPr>
          <w:ilvl w:val="2"/>
          <w:numId w:val="12"/>
        </w:numPr>
        <w:tabs>
          <w:tab w:val="left" w:pos="155"/>
          <w:tab w:val="left" w:pos="360"/>
        </w:tabs>
        <w:rPr>
          <w:rFonts w:ascii="Times New Roman" w:hAnsi="Times New Roman" w:cs="Times New Roman"/>
          <w:i/>
          <w:highlight w:val="lightGray"/>
          <w:lang w:val="en-US"/>
        </w:rPr>
      </w:pPr>
      <w:r w:rsidRPr="004745B3">
        <w:rPr>
          <w:rFonts w:ascii="Times New Roman" w:hAnsi="Times New Roman" w:cs="Times New Roman"/>
          <w:i/>
          <w:highlight w:val="lightGray"/>
          <w:lang w:val="en-US"/>
        </w:rPr>
        <w:t>Option 1a: relative to slot #n-1.</w:t>
      </w:r>
    </w:p>
    <w:p w14:paraId="7C80BEBC" w14:textId="77777777" w:rsidR="004745B3" w:rsidRPr="004745B3" w:rsidRDefault="004745B3" w:rsidP="004745B3">
      <w:pPr>
        <w:pStyle w:val="Listenabsatz"/>
        <w:numPr>
          <w:ilvl w:val="2"/>
          <w:numId w:val="12"/>
        </w:numPr>
        <w:tabs>
          <w:tab w:val="left" w:pos="155"/>
          <w:tab w:val="left" w:pos="360"/>
        </w:tabs>
        <w:rPr>
          <w:rFonts w:ascii="Times New Roman" w:hAnsi="Times New Roman" w:cs="Times New Roman"/>
          <w:i/>
          <w:highlight w:val="lightGray"/>
          <w:lang w:val="en-US"/>
        </w:rPr>
      </w:pPr>
      <w:r w:rsidRPr="004745B3">
        <w:rPr>
          <w:rFonts w:ascii="Times New Roman" w:hAnsi="Times New Roman" w:cs="Times New Roman"/>
          <w:i/>
          <w:highlight w:val="lightGray"/>
          <w:lang w:val="en-US"/>
        </w:rPr>
        <w:t>Option 1b: relative to slot #0 and define maximum duration explicitly.</w:t>
      </w:r>
    </w:p>
    <w:p w14:paraId="722220F7" w14:textId="77777777" w:rsidR="004745B3" w:rsidRPr="004745B3" w:rsidRDefault="004745B3" w:rsidP="004745B3">
      <w:pPr>
        <w:pStyle w:val="Listenabsatz"/>
        <w:numPr>
          <w:ilvl w:val="1"/>
          <w:numId w:val="12"/>
        </w:numPr>
        <w:tabs>
          <w:tab w:val="left" w:pos="155"/>
          <w:tab w:val="left" w:pos="360"/>
        </w:tabs>
        <w:rPr>
          <w:rFonts w:ascii="Times New Roman" w:hAnsi="Times New Roman" w:cs="Times New Roman"/>
          <w:i/>
          <w:highlight w:val="lightGray"/>
          <w:lang w:val="en-US"/>
        </w:rPr>
      </w:pPr>
      <w:r w:rsidRPr="004745B3">
        <w:rPr>
          <w:rFonts w:ascii="Times New Roman" w:hAnsi="Times New Roman" w:cs="Times New Roman"/>
          <w:i/>
          <w:highlight w:val="lightGray"/>
          <w:lang w:val="en-US"/>
        </w:rPr>
        <w:t>Option 2: Define UE requirement as EVM value using JCE process.</w:t>
      </w:r>
    </w:p>
    <w:p w14:paraId="22578883" w14:textId="77777777" w:rsidR="004745B3" w:rsidRPr="004745B3" w:rsidRDefault="004745B3" w:rsidP="004745B3">
      <w:pPr>
        <w:pStyle w:val="Listenabsatz"/>
        <w:numPr>
          <w:ilvl w:val="2"/>
          <w:numId w:val="12"/>
        </w:numPr>
        <w:tabs>
          <w:tab w:val="left" w:pos="155"/>
          <w:tab w:val="left" w:pos="360"/>
          <w:tab w:val="left" w:pos="1080"/>
        </w:tabs>
        <w:rPr>
          <w:rFonts w:ascii="Times New Roman" w:hAnsi="Times New Roman" w:cs="Times New Roman"/>
          <w:i/>
          <w:highlight w:val="lightGray"/>
        </w:rPr>
      </w:pPr>
      <w:r w:rsidRPr="004745B3">
        <w:rPr>
          <w:rFonts w:ascii="Times New Roman" w:hAnsi="Times New Roman" w:cs="Times New Roman"/>
          <w:i/>
          <w:highlight w:val="lightGray"/>
        </w:rPr>
        <w:t xml:space="preserve">FFS EVM </w:t>
      </w:r>
      <w:proofErr w:type="spellStart"/>
      <w:r w:rsidRPr="004745B3">
        <w:rPr>
          <w:rFonts w:ascii="Times New Roman" w:hAnsi="Times New Roman" w:cs="Times New Roman"/>
          <w:i/>
          <w:highlight w:val="lightGray"/>
        </w:rPr>
        <w:t>simulation</w:t>
      </w:r>
      <w:proofErr w:type="spellEnd"/>
      <w:r w:rsidRPr="004745B3">
        <w:rPr>
          <w:rFonts w:ascii="Times New Roman" w:hAnsi="Times New Roman" w:cs="Times New Roman"/>
          <w:i/>
          <w:highlight w:val="lightGray"/>
        </w:rPr>
        <w:t xml:space="preserve"> </w:t>
      </w:r>
      <w:proofErr w:type="spellStart"/>
      <w:r w:rsidRPr="004745B3">
        <w:rPr>
          <w:rFonts w:ascii="Times New Roman" w:hAnsi="Times New Roman" w:cs="Times New Roman"/>
          <w:i/>
          <w:highlight w:val="lightGray"/>
        </w:rPr>
        <w:t>assumptions</w:t>
      </w:r>
      <w:proofErr w:type="spellEnd"/>
      <w:r w:rsidRPr="004745B3">
        <w:rPr>
          <w:rFonts w:ascii="Times New Roman" w:hAnsi="Times New Roman" w:cs="Times New Roman"/>
          <w:i/>
          <w:highlight w:val="lightGray"/>
        </w:rPr>
        <w:t>.</w:t>
      </w:r>
    </w:p>
    <w:p w14:paraId="131CC8E8" w14:textId="77777777" w:rsidR="004745B3" w:rsidRPr="004745B3" w:rsidRDefault="004745B3" w:rsidP="004745B3">
      <w:pPr>
        <w:pStyle w:val="Listenabsatz"/>
        <w:numPr>
          <w:ilvl w:val="1"/>
          <w:numId w:val="12"/>
        </w:numPr>
        <w:tabs>
          <w:tab w:val="left" w:pos="155"/>
          <w:tab w:val="left" w:pos="360"/>
          <w:tab w:val="left" w:pos="1800"/>
        </w:tabs>
        <w:rPr>
          <w:rFonts w:ascii="Times New Roman" w:hAnsi="Times New Roman" w:cs="Times New Roman"/>
          <w:i/>
          <w:highlight w:val="lightGray"/>
        </w:rPr>
      </w:pPr>
      <w:r w:rsidRPr="004745B3">
        <w:rPr>
          <w:rFonts w:ascii="Times New Roman" w:hAnsi="Times New Roman" w:cs="Times New Roman"/>
          <w:i/>
          <w:highlight w:val="lightGray"/>
        </w:rPr>
        <w:t xml:space="preserve">Option 3. Other </w:t>
      </w:r>
      <w:proofErr w:type="spellStart"/>
      <w:r w:rsidRPr="004745B3">
        <w:rPr>
          <w:rFonts w:ascii="Times New Roman" w:hAnsi="Times New Roman" w:cs="Times New Roman"/>
          <w:i/>
          <w:highlight w:val="lightGray"/>
        </w:rPr>
        <w:t>options</w:t>
      </w:r>
      <w:proofErr w:type="spellEnd"/>
      <w:r w:rsidRPr="004745B3">
        <w:rPr>
          <w:rFonts w:ascii="Times New Roman" w:hAnsi="Times New Roman" w:cs="Times New Roman"/>
          <w:i/>
          <w:highlight w:val="lightGray"/>
        </w:rPr>
        <w:t xml:space="preserve"> not </w:t>
      </w:r>
      <w:proofErr w:type="spellStart"/>
      <w:r w:rsidRPr="004745B3">
        <w:rPr>
          <w:rFonts w:ascii="Times New Roman" w:hAnsi="Times New Roman" w:cs="Times New Roman"/>
          <w:i/>
          <w:highlight w:val="lightGray"/>
        </w:rPr>
        <w:t>excluded</w:t>
      </w:r>
      <w:proofErr w:type="spellEnd"/>
    </w:p>
    <w:p w14:paraId="5254326A" w14:textId="77777777" w:rsidR="004745B3" w:rsidRPr="004745B3" w:rsidRDefault="004745B3" w:rsidP="004745B3">
      <w:pPr>
        <w:pStyle w:val="Listenabsatz"/>
        <w:numPr>
          <w:ilvl w:val="1"/>
          <w:numId w:val="12"/>
        </w:numPr>
        <w:tabs>
          <w:tab w:val="left" w:pos="155"/>
          <w:tab w:val="left" w:pos="360"/>
        </w:tabs>
        <w:rPr>
          <w:rFonts w:ascii="Times New Roman" w:hAnsi="Times New Roman" w:cs="Times New Roman"/>
          <w:i/>
          <w:highlight w:val="lightGray"/>
          <w:lang w:val="en-US"/>
        </w:rPr>
      </w:pPr>
      <w:r w:rsidRPr="004745B3">
        <w:rPr>
          <w:rFonts w:ascii="Times New Roman" w:hAnsi="Times New Roman" w:cs="Times New Roman"/>
          <w:i/>
          <w:highlight w:val="lightGray"/>
          <w:lang w:val="en-US"/>
        </w:rPr>
        <w:t>Encourage the test equipment vendor to provide the feedback on the testability of option 1 and option2.</w:t>
      </w:r>
    </w:p>
    <w:p w14:paraId="0E639435" w14:textId="009673D9" w:rsidR="007E6782" w:rsidRDefault="00F7215D" w:rsidP="007E6782">
      <w:pPr>
        <w:rPr>
          <w:lang w:eastAsia="en-US"/>
        </w:rPr>
      </w:pPr>
      <w:r>
        <w:rPr>
          <w:lang w:eastAsia="en-US"/>
        </w:rPr>
        <w:t>From a test vendor point of view the best option to pursue would be Option 1b from the above list. The power and phase of the signal under test can be measured for each slot independently, with individual channel estimations for each slot. This is consistent with the global in-channel measurements as defined in TS 38.521-1 Annex E [3], where it is specified each slot shall be evaluated independently.</w:t>
      </w:r>
    </w:p>
    <w:p w14:paraId="26E705AE" w14:textId="302B33B0" w:rsidR="003E66C2" w:rsidRDefault="003E66C2" w:rsidP="007E6782">
      <w:pPr>
        <w:rPr>
          <w:lang w:eastAsia="en-US"/>
        </w:rPr>
      </w:pPr>
      <w:r>
        <w:rPr>
          <w:lang w:eastAsia="en-US"/>
        </w:rPr>
        <w:lastRenderedPageBreak/>
        <w:t>For the same reason, Option 2 in contrast would be difficult to execute, since the usage of a joint channel estimation across the whole duration goes against the currently defined process from TS 38.521-1 [3].</w:t>
      </w:r>
    </w:p>
    <w:p w14:paraId="0D7B2F17" w14:textId="17082224" w:rsidR="003E66C2" w:rsidRPr="003E66C2" w:rsidRDefault="003E66C2" w:rsidP="00F7215D">
      <w:proofErr w:type="gramStart"/>
      <w:r>
        <w:t>Thus</w:t>
      </w:r>
      <w:proofErr w:type="gramEnd"/>
      <w:r>
        <w:t xml:space="preserve"> we propose to agree to Option1b from the list above.</w:t>
      </w:r>
    </w:p>
    <w:p w14:paraId="1C8BD9D3" w14:textId="041CB641" w:rsidR="00B408D6" w:rsidRDefault="00F7215D" w:rsidP="00F7215D">
      <w:r w:rsidRPr="002E7EB7">
        <w:rPr>
          <w:b/>
        </w:rPr>
        <w:t>Proposal</w:t>
      </w:r>
      <w:r>
        <w:rPr>
          <w:b/>
        </w:rPr>
        <w:t xml:space="preserve"> 1</w:t>
      </w:r>
      <w:r w:rsidRPr="002E7EB7">
        <w:rPr>
          <w:b/>
        </w:rPr>
        <w:t>:</w:t>
      </w:r>
      <w:r w:rsidRPr="002E7EB7">
        <w:t xml:space="preserve"> </w:t>
      </w:r>
      <w:r>
        <w:t xml:space="preserve">RAN4 agrees to Option 1b from the </w:t>
      </w:r>
      <w:r w:rsidR="003E66C2">
        <w:t>W</w:t>
      </w:r>
      <w:r>
        <w:t xml:space="preserve">ay </w:t>
      </w:r>
      <w:r w:rsidR="003E66C2">
        <w:t>F</w:t>
      </w:r>
      <w:r>
        <w:t>orward.</w:t>
      </w:r>
    </w:p>
    <w:p w14:paraId="04A4CB9D" w14:textId="6017BBE0" w:rsidR="00F7215D" w:rsidRDefault="00B408D6" w:rsidP="007E6782">
      <w:pPr>
        <w:rPr>
          <w:lang w:eastAsia="en-US"/>
        </w:rPr>
      </w:pPr>
      <w:r>
        <w:rPr>
          <w:lang w:eastAsia="en-US"/>
        </w:rPr>
        <w:t>The maximum duration over which the measurement is performed according to Option 1b should consider the currently defined procedures</w:t>
      </w:r>
      <w:r w:rsidR="00B42D4E">
        <w:rPr>
          <w:lang w:eastAsia="en-US"/>
        </w:rPr>
        <w:t xml:space="preserve"> in [3]. T</w:t>
      </w:r>
      <w:r w:rsidR="00F7215D">
        <w:rPr>
          <w:lang w:eastAsia="en-US"/>
        </w:rPr>
        <w:t>he period over which the signal is captured and then processed is defined as one frame,</w:t>
      </w:r>
      <w:r w:rsidR="00B42D4E">
        <w:rPr>
          <w:lang w:eastAsia="en-US"/>
        </w:rPr>
        <w:t xml:space="preserve"> thus</w:t>
      </w:r>
      <w:r w:rsidR="00F7215D">
        <w:rPr>
          <w:lang w:eastAsia="en-US"/>
        </w:rPr>
        <w:t xml:space="preserve"> the RF requirement should be defined also over a maximum of 1 frame, as shown </w:t>
      </w:r>
      <w:r w:rsidR="003E66C2">
        <w:rPr>
          <w:lang w:eastAsia="en-US"/>
        </w:rPr>
        <w:t xml:space="preserve">in the example </w:t>
      </w:r>
      <w:r w:rsidR="00F7215D">
        <w:rPr>
          <w:lang w:eastAsia="en-US"/>
        </w:rPr>
        <w:t>below.</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F7215D" w:rsidRPr="009A78E3" w14:paraId="7356C287" w14:textId="77777777" w:rsidTr="00CC23CB">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4123F35E" w14:textId="77777777" w:rsidR="00F7215D" w:rsidRPr="009A78E3" w:rsidRDefault="00F7215D" w:rsidP="00CC23CB">
            <w:pPr>
              <w:keepNext/>
              <w:keepLines/>
              <w:snapToGrid w:val="0"/>
              <w:spacing w:before="40" w:after="40"/>
              <w:rPr>
                <w:b/>
                <w:szCs w:val="21"/>
                <w:lang w:eastAsia="x-none"/>
              </w:rPr>
            </w:pPr>
            <w:r w:rsidRPr="009A78E3">
              <w:rPr>
                <w:b/>
                <w:szCs w:val="21"/>
                <w:lang w:eastAsia="x-none"/>
              </w:rPr>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1B3C32DE" w14:textId="77777777" w:rsidR="00F7215D" w:rsidRPr="009A78E3" w:rsidRDefault="00F7215D" w:rsidP="00CC23CB">
            <w:pPr>
              <w:keepNext/>
              <w:keepLines/>
              <w:snapToGrid w:val="0"/>
              <w:spacing w:before="40" w:after="40"/>
              <w:rPr>
                <w:b/>
                <w:szCs w:val="21"/>
                <w:lang w:eastAsia="x-none"/>
              </w:rPr>
            </w:pPr>
            <w:r w:rsidRPr="009A78E3">
              <w:rPr>
                <w:b/>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6F7840B1" w14:textId="77777777" w:rsidR="00F7215D" w:rsidRPr="009A78E3" w:rsidRDefault="00F7215D" w:rsidP="00CC23CB">
            <w:pPr>
              <w:keepNext/>
              <w:keepLines/>
              <w:snapToGrid w:val="0"/>
              <w:spacing w:before="40" w:after="40"/>
              <w:rPr>
                <w:b/>
                <w:szCs w:val="21"/>
                <w:lang w:eastAsia="x-none"/>
              </w:rPr>
            </w:pPr>
            <w:r w:rsidRPr="009A78E3">
              <w:rPr>
                <w:b/>
                <w:szCs w:val="21"/>
                <w:lang w:eastAsia="x-none"/>
              </w:rPr>
              <w:t>Time window</w:t>
            </w:r>
          </w:p>
        </w:tc>
      </w:tr>
      <w:tr w:rsidR="00F7215D" w:rsidRPr="009A78E3" w14:paraId="723CB8C0" w14:textId="77777777" w:rsidTr="00CC23CB">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6271BB8A" w14:textId="77777777" w:rsidR="00F7215D" w:rsidRPr="009A78E3" w:rsidRDefault="00F7215D" w:rsidP="00CC23CB">
            <w:pPr>
              <w:keepNext/>
              <w:keepLines/>
              <w:snapToGrid w:val="0"/>
              <w:spacing w:before="40" w:after="40"/>
              <w:rPr>
                <w:b/>
                <w:szCs w:val="21"/>
                <w:lang w:eastAsia="x-none"/>
              </w:rPr>
            </w:pPr>
            <w:r w:rsidRPr="009A78E3">
              <w:rPr>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403478C5" w14:textId="77777777" w:rsidR="00F7215D" w:rsidRPr="009A78E3" w:rsidRDefault="00F7215D" w:rsidP="00CC23CB">
            <w:pPr>
              <w:keepNext/>
              <w:keepLines/>
              <w:snapToGrid w:val="0"/>
              <w:spacing w:before="40" w:after="40"/>
              <w:rPr>
                <w:b/>
                <w:szCs w:val="21"/>
                <w:lang w:eastAsia="x-none"/>
              </w:rPr>
            </w:pPr>
            <w:r w:rsidRPr="009A78E3">
              <w:rPr>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09FD07" w14:textId="0D68D395" w:rsidR="00F7215D" w:rsidRPr="009A78E3" w:rsidRDefault="00F7215D" w:rsidP="00CC23CB">
            <w:pPr>
              <w:keepNext/>
              <w:keepLines/>
              <w:snapToGrid w:val="0"/>
              <w:spacing w:before="40" w:after="40"/>
              <w:rPr>
                <w:b/>
                <w:szCs w:val="21"/>
                <w:lang w:eastAsia="x-none"/>
              </w:rPr>
            </w:pPr>
            <w:r w:rsidRPr="00DD7D51">
              <w:rPr>
                <w:szCs w:val="21"/>
                <w:highlight w:val="yellow"/>
                <w:lang w:eastAsia="x-none"/>
              </w:rPr>
              <w:t xml:space="preserve">≤ 10 </w:t>
            </w:r>
            <w:proofErr w:type="spellStart"/>
            <w:r w:rsidRPr="00DD7D51">
              <w:rPr>
                <w:szCs w:val="21"/>
                <w:highlight w:val="yellow"/>
                <w:lang w:eastAsia="x-none"/>
              </w:rPr>
              <w:t>msec</w:t>
            </w:r>
            <w:proofErr w:type="spellEnd"/>
          </w:p>
        </w:tc>
      </w:tr>
    </w:tbl>
    <w:p w14:paraId="01A1542A" w14:textId="77777777" w:rsidR="00F7215D" w:rsidRDefault="00F7215D" w:rsidP="00F7215D">
      <w:pPr>
        <w:rPr>
          <w:b/>
        </w:rPr>
      </w:pPr>
    </w:p>
    <w:p w14:paraId="7B3A7050" w14:textId="329F9576" w:rsidR="00F7215D" w:rsidRDefault="00F7215D" w:rsidP="00F7215D">
      <w:r w:rsidRPr="002E7EB7">
        <w:rPr>
          <w:b/>
        </w:rPr>
        <w:t>Proposal</w:t>
      </w:r>
      <w:r>
        <w:rPr>
          <w:b/>
        </w:rPr>
        <w:t xml:space="preserve"> 2</w:t>
      </w:r>
      <w:r w:rsidRPr="002E7EB7">
        <w:rPr>
          <w:b/>
        </w:rPr>
        <w:t>:</w:t>
      </w:r>
      <w:r w:rsidRPr="002E7EB7">
        <w:t xml:space="preserve"> </w:t>
      </w:r>
      <w:r>
        <w:t xml:space="preserve">The maximum time window should be defined as 10 </w:t>
      </w:r>
      <w:proofErr w:type="spellStart"/>
      <w:r>
        <w:t>ms</w:t>
      </w:r>
      <w:proofErr w:type="spellEnd"/>
      <w:r>
        <w:t>, to be aligned with the existing definitions in TS 38.521-1.</w:t>
      </w:r>
    </w:p>
    <w:p w14:paraId="2F358F8F" w14:textId="00A7228B" w:rsidR="00C436FD" w:rsidRDefault="00CA799F" w:rsidP="00CA799F">
      <w:pPr>
        <w:pStyle w:val="berschrift2"/>
      </w:pPr>
      <w:proofErr w:type="spellStart"/>
      <w:r>
        <w:rPr>
          <w:lang w:val="de-DE"/>
        </w:rPr>
        <w:t>Frequency</w:t>
      </w:r>
      <w:proofErr w:type="spellEnd"/>
      <w:r>
        <w:rPr>
          <w:lang w:val="de-DE"/>
        </w:rPr>
        <w:t xml:space="preserve"> </w:t>
      </w:r>
      <w:proofErr w:type="spellStart"/>
      <w:r>
        <w:rPr>
          <w:lang w:val="de-DE"/>
        </w:rPr>
        <w:t>offset</w:t>
      </w:r>
      <w:proofErr w:type="spellEnd"/>
    </w:p>
    <w:p w14:paraId="1AB62C42" w14:textId="60B328CF" w:rsidR="009212E6" w:rsidRDefault="003E66C2" w:rsidP="007E6782">
      <w:pPr>
        <w:rPr>
          <w:lang w:eastAsia="en-US"/>
        </w:rPr>
      </w:pPr>
      <w:r>
        <w:rPr>
          <w:lang w:eastAsia="en-US"/>
        </w:rPr>
        <w:t>A</w:t>
      </w:r>
      <w:r w:rsidR="00FE11C6">
        <w:rPr>
          <w:lang w:eastAsia="en-US"/>
        </w:rPr>
        <w:t>nother</w:t>
      </w:r>
      <w:r>
        <w:rPr>
          <w:lang w:eastAsia="en-US"/>
        </w:rPr>
        <w:t xml:space="preserve"> part of the discussion</w:t>
      </w:r>
      <w:r w:rsidR="00CA799F">
        <w:rPr>
          <w:lang w:eastAsia="en-US"/>
        </w:rPr>
        <w:t xml:space="preserve"> was the potential</w:t>
      </w:r>
      <w:r>
        <w:rPr>
          <w:lang w:eastAsia="en-US"/>
        </w:rPr>
        <w:t xml:space="preserve"> impact of the frequency offset on the requirements</w:t>
      </w:r>
      <w:r w:rsidR="00CA799F">
        <w:rPr>
          <w:lang w:eastAsia="en-US"/>
        </w:rPr>
        <w:t>. Since this aspect may also impact the testability of the requirements, we share our view on this as well.</w:t>
      </w:r>
    </w:p>
    <w:p w14:paraId="3E41E8F1" w14:textId="77777777" w:rsidR="003E66C2" w:rsidRPr="003E66C2" w:rsidRDefault="003E66C2" w:rsidP="003E66C2">
      <w:pPr>
        <w:pStyle w:val="berschrift2"/>
        <w:numPr>
          <w:ilvl w:val="0"/>
          <w:numId w:val="0"/>
        </w:numPr>
        <w:ind w:left="432" w:hanging="432"/>
        <w:rPr>
          <w:b w:val="0"/>
          <w:i/>
          <w:highlight w:val="lightGray"/>
          <w:u w:val="single"/>
          <w:lang w:val="en-US" w:eastAsia="ko-KR"/>
        </w:rPr>
      </w:pPr>
      <w:r w:rsidRPr="003E66C2">
        <w:rPr>
          <w:b w:val="0"/>
          <w:i/>
          <w:highlight w:val="lightGray"/>
          <w:u w:val="single"/>
          <w:lang w:val="en-US" w:eastAsia="ko-KR"/>
        </w:rPr>
        <w:t>Issue 1-3-6: Impact from frequency offset</w:t>
      </w:r>
    </w:p>
    <w:p w14:paraId="01923C19" w14:textId="77777777" w:rsidR="003E66C2" w:rsidRPr="003E66C2" w:rsidRDefault="003E66C2" w:rsidP="003E66C2">
      <w:pPr>
        <w:tabs>
          <w:tab w:val="left" w:pos="360"/>
        </w:tabs>
        <w:rPr>
          <w:rFonts w:ascii="Times New Roman" w:eastAsia="DengXian" w:hAnsi="Times New Roman" w:cs="Times New Roman"/>
          <w:i/>
          <w:sz w:val="20"/>
          <w:szCs w:val="20"/>
          <w:highlight w:val="lightGray"/>
        </w:rPr>
      </w:pPr>
      <w:r w:rsidRPr="003E66C2">
        <w:rPr>
          <w:rFonts w:ascii="Times New Roman" w:eastAsia="DengXian" w:hAnsi="Times New Roman" w:cs="Times New Roman"/>
          <w:i/>
          <w:sz w:val="20"/>
          <w:szCs w:val="20"/>
          <w:highlight w:val="lightGray"/>
        </w:rPr>
        <w:t>Summary of 1</w:t>
      </w:r>
      <w:r w:rsidRPr="003E66C2">
        <w:rPr>
          <w:rFonts w:ascii="Times New Roman" w:eastAsia="DengXian" w:hAnsi="Times New Roman" w:cs="Times New Roman"/>
          <w:i/>
          <w:sz w:val="20"/>
          <w:szCs w:val="20"/>
          <w:highlight w:val="lightGray"/>
          <w:vertAlign w:val="superscript"/>
        </w:rPr>
        <w:t>st</w:t>
      </w:r>
      <w:r w:rsidRPr="003E66C2">
        <w:rPr>
          <w:rFonts w:ascii="Times New Roman" w:eastAsia="DengXian" w:hAnsi="Times New Roman" w:cs="Times New Roman"/>
          <w:i/>
          <w:sz w:val="20"/>
          <w:szCs w:val="20"/>
          <w:highlight w:val="lightGray"/>
        </w:rPr>
        <w:t xml:space="preserve"> round discussion:</w:t>
      </w:r>
    </w:p>
    <w:p w14:paraId="621836B0" w14:textId="77777777" w:rsidR="003E66C2" w:rsidRPr="003E66C2" w:rsidRDefault="003E66C2" w:rsidP="003E66C2">
      <w:pPr>
        <w:numPr>
          <w:ilvl w:val="0"/>
          <w:numId w:val="12"/>
        </w:numPr>
        <w:spacing w:after="120" w:line="271" w:lineRule="auto"/>
        <w:rPr>
          <w:rFonts w:ascii="Times New Roman" w:hAnsi="Times New Roman" w:cs="Times New Roman"/>
          <w:i/>
          <w:sz w:val="20"/>
          <w:szCs w:val="20"/>
          <w:highlight w:val="lightGray"/>
        </w:rPr>
      </w:pPr>
      <w:r w:rsidRPr="003E66C2">
        <w:rPr>
          <w:rFonts w:ascii="Times New Roman" w:eastAsia="DengXian" w:hAnsi="Times New Roman" w:cs="Times New Roman"/>
          <w:i/>
          <w:sz w:val="20"/>
          <w:szCs w:val="20"/>
          <w:highlight w:val="lightGray"/>
        </w:rPr>
        <w:t>Proposal 1: Frequency error is assumed constant for the duration provided that the maximum bundle length is not too long.</w:t>
      </w:r>
    </w:p>
    <w:p w14:paraId="55F6F333" w14:textId="77777777" w:rsidR="003E66C2" w:rsidRPr="003E66C2" w:rsidRDefault="003E66C2" w:rsidP="003E66C2">
      <w:pPr>
        <w:numPr>
          <w:ilvl w:val="0"/>
          <w:numId w:val="12"/>
        </w:numPr>
        <w:spacing w:after="120" w:line="271" w:lineRule="auto"/>
        <w:rPr>
          <w:rFonts w:ascii="Times New Roman" w:hAnsi="Times New Roman" w:cs="Times New Roman"/>
          <w:i/>
          <w:sz w:val="20"/>
          <w:szCs w:val="20"/>
          <w:highlight w:val="lightGray"/>
        </w:rPr>
      </w:pPr>
      <w:r w:rsidRPr="003E66C2">
        <w:rPr>
          <w:rFonts w:ascii="Times New Roman" w:eastAsia="DengXian" w:hAnsi="Times New Roman" w:cs="Times New Roman"/>
          <w:i/>
          <w:sz w:val="20"/>
          <w:szCs w:val="20"/>
          <w:highlight w:val="lightGray"/>
        </w:rPr>
        <w:t xml:space="preserve">Proposal 2: </w:t>
      </w:r>
      <w:r w:rsidRPr="003E66C2">
        <w:rPr>
          <w:rFonts w:ascii="Times New Roman" w:hAnsi="Times New Roman" w:cs="Times New Roman"/>
          <w:i/>
          <w:sz w:val="20"/>
          <w:szCs w:val="20"/>
          <w:highlight w:val="lightGray"/>
        </w:rPr>
        <w:t>Assuming full compensation of CFO at the BS receiver.</w:t>
      </w:r>
    </w:p>
    <w:p w14:paraId="7DDCDB18" w14:textId="77777777" w:rsidR="003E66C2" w:rsidRPr="003E66C2" w:rsidRDefault="003E66C2" w:rsidP="003E66C2">
      <w:pPr>
        <w:numPr>
          <w:ilvl w:val="0"/>
          <w:numId w:val="12"/>
        </w:numPr>
        <w:spacing w:after="120" w:line="271" w:lineRule="auto"/>
        <w:rPr>
          <w:rFonts w:ascii="Times New Roman" w:hAnsi="Times New Roman" w:cs="Times New Roman"/>
          <w:i/>
          <w:sz w:val="20"/>
          <w:szCs w:val="20"/>
          <w:highlight w:val="lightGray"/>
        </w:rPr>
      </w:pPr>
      <w:r w:rsidRPr="003E66C2">
        <w:rPr>
          <w:rFonts w:ascii="Times New Roman" w:eastAsia="DengXian" w:hAnsi="Times New Roman" w:cs="Times New Roman" w:hint="eastAsia"/>
          <w:i/>
          <w:sz w:val="20"/>
          <w:szCs w:val="20"/>
          <w:highlight w:val="lightGray"/>
        </w:rPr>
        <w:t>P</w:t>
      </w:r>
      <w:r w:rsidRPr="003E66C2">
        <w:rPr>
          <w:rFonts w:ascii="Times New Roman" w:eastAsia="DengXian" w:hAnsi="Times New Roman" w:cs="Times New Roman"/>
          <w:i/>
          <w:sz w:val="20"/>
          <w:szCs w:val="20"/>
          <w:highlight w:val="lightGray"/>
        </w:rPr>
        <w:t xml:space="preserve">roposal 3: </w:t>
      </w:r>
    </w:p>
    <w:p w14:paraId="1CCE1351" w14:textId="77777777" w:rsidR="003E66C2" w:rsidRPr="003E66C2" w:rsidRDefault="003E66C2" w:rsidP="003E66C2">
      <w:pPr>
        <w:numPr>
          <w:ilvl w:val="1"/>
          <w:numId w:val="12"/>
        </w:numPr>
        <w:tabs>
          <w:tab w:val="left" w:pos="360"/>
        </w:tabs>
        <w:spacing w:after="120" w:line="271" w:lineRule="auto"/>
        <w:rPr>
          <w:rFonts w:ascii="Times New Roman" w:hAnsi="Times New Roman" w:cs="Times New Roman"/>
          <w:i/>
          <w:sz w:val="20"/>
          <w:szCs w:val="20"/>
          <w:highlight w:val="lightGray"/>
        </w:rPr>
      </w:pPr>
      <w:r w:rsidRPr="003E66C2">
        <w:rPr>
          <w:rFonts w:ascii="Times New Roman" w:hAnsi="Times New Roman" w:cs="Times New Roman"/>
          <w:i/>
          <w:sz w:val="20"/>
          <w:szCs w:val="20"/>
          <w:highlight w:val="lightGray"/>
        </w:rPr>
        <w:t>Test equipment shall estimate the CFO based on individual time slot and not estimated the CFO from best fit on all bundled time slot.</w:t>
      </w:r>
    </w:p>
    <w:p w14:paraId="28C7DDF9" w14:textId="77777777" w:rsidR="003E66C2" w:rsidRPr="003E66C2" w:rsidRDefault="003E66C2" w:rsidP="003E66C2">
      <w:pPr>
        <w:numPr>
          <w:ilvl w:val="2"/>
          <w:numId w:val="12"/>
        </w:numPr>
        <w:tabs>
          <w:tab w:val="left" w:pos="360"/>
        </w:tabs>
        <w:spacing w:after="120" w:line="271" w:lineRule="auto"/>
        <w:rPr>
          <w:rFonts w:ascii="Times New Roman" w:hAnsi="Times New Roman" w:cs="Times New Roman"/>
          <w:i/>
          <w:sz w:val="20"/>
          <w:szCs w:val="20"/>
          <w:highlight w:val="lightGray"/>
        </w:rPr>
      </w:pPr>
      <w:r w:rsidRPr="003E66C2">
        <w:rPr>
          <w:rFonts w:ascii="Times New Roman" w:hAnsi="Times New Roman" w:cs="Times New Roman"/>
          <w:i/>
          <w:sz w:val="20"/>
          <w:szCs w:val="20"/>
          <w:highlight w:val="lightGray"/>
        </w:rPr>
        <w:t>From our simulation for the CFO impact analysis, it is found out that the CFO estimation based on combined repetition time slot actually can give JCE gain compared with the gene CFO.</w:t>
      </w:r>
    </w:p>
    <w:p w14:paraId="169B613E" w14:textId="77777777" w:rsidR="003E66C2" w:rsidRPr="003E66C2" w:rsidRDefault="003E66C2" w:rsidP="003E66C2">
      <w:pPr>
        <w:numPr>
          <w:ilvl w:val="2"/>
          <w:numId w:val="12"/>
        </w:numPr>
        <w:tabs>
          <w:tab w:val="left" w:pos="360"/>
        </w:tabs>
        <w:spacing w:after="120" w:line="271" w:lineRule="auto"/>
        <w:rPr>
          <w:rFonts w:ascii="Times New Roman" w:hAnsi="Times New Roman" w:cs="Times New Roman"/>
          <w:i/>
          <w:sz w:val="20"/>
          <w:szCs w:val="20"/>
          <w:highlight w:val="lightGray"/>
        </w:rPr>
      </w:pPr>
      <w:r w:rsidRPr="003E66C2">
        <w:rPr>
          <w:rFonts w:ascii="Times New Roman" w:hAnsi="Times New Roman" w:cs="Times New Roman"/>
          <w:i/>
          <w:sz w:val="20"/>
          <w:szCs w:val="20"/>
          <w:highlight w:val="lightGray"/>
        </w:rPr>
        <w:t>This means that if CFO is estimated using the best fit of the concatenated time slots (for FDD band) where the repetition transmission occurs, the estimated CFO may compensate partly the phase variation and thus mask the real phase variation caused by UE transmitter.</w:t>
      </w:r>
    </w:p>
    <w:p w14:paraId="61EE3B72" w14:textId="77777777" w:rsidR="003E66C2" w:rsidRPr="003E66C2" w:rsidRDefault="003E66C2" w:rsidP="003E66C2">
      <w:pPr>
        <w:numPr>
          <w:ilvl w:val="1"/>
          <w:numId w:val="12"/>
        </w:numPr>
        <w:tabs>
          <w:tab w:val="left" w:pos="360"/>
        </w:tabs>
        <w:spacing w:after="120" w:line="271" w:lineRule="auto"/>
        <w:rPr>
          <w:rFonts w:ascii="Times New Roman" w:hAnsi="Times New Roman" w:cs="Times New Roman"/>
          <w:i/>
          <w:sz w:val="20"/>
          <w:szCs w:val="20"/>
          <w:highlight w:val="lightGray"/>
        </w:rPr>
      </w:pPr>
      <w:r w:rsidRPr="003E66C2">
        <w:rPr>
          <w:rFonts w:ascii="Times New Roman" w:hAnsi="Times New Roman" w:cs="Times New Roman"/>
          <w:i/>
          <w:sz w:val="20"/>
          <w:szCs w:val="20"/>
          <w:highlight w:val="lightGray"/>
        </w:rPr>
        <w:t>For TDD band, additional phase offset caused by CFO between the repetition time slots should be compensated to have correct test result.</w:t>
      </w:r>
    </w:p>
    <w:p w14:paraId="0B6B7FE6" w14:textId="77777777" w:rsidR="003E66C2" w:rsidRPr="003E66C2" w:rsidRDefault="003E66C2" w:rsidP="003E66C2">
      <w:pPr>
        <w:numPr>
          <w:ilvl w:val="2"/>
          <w:numId w:val="12"/>
        </w:numPr>
        <w:tabs>
          <w:tab w:val="left" w:pos="360"/>
        </w:tabs>
        <w:spacing w:after="120" w:line="271" w:lineRule="auto"/>
        <w:rPr>
          <w:rFonts w:ascii="Times New Roman" w:hAnsi="Times New Roman" w:cs="Times New Roman"/>
          <w:i/>
          <w:sz w:val="20"/>
          <w:szCs w:val="20"/>
          <w:highlight w:val="lightGray"/>
        </w:rPr>
      </w:pPr>
      <w:bookmarkStart w:id="3" w:name="_GoBack"/>
      <w:r w:rsidRPr="003E66C2">
        <w:rPr>
          <w:rFonts w:ascii="Times New Roman" w:hAnsi="Times New Roman" w:cs="Times New Roman"/>
          <w:i/>
          <w:sz w:val="20"/>
          <w:szCs w:val="20"/>
          <w:highlight w:val="lightGray"/>
        </w:rPr>
        <w:lastRenderedPageBreak/>
        <w:t>For TDD band, the measurement will be done in a non-back-to-back pattern as there are DL time slots between the repetition time slots and thus additional phase offset caused by CFO between the repetition time slots should be compensated.</w:t>
      </w:r>
      <w:bookmarkEnd w:id="3"/>
    </w:p>
    <w:p w14:paraId="52BE6925" w14:textId="31614268" w:rsidR="00195111" w:rsidRDefault="003E66C2" w:rsidP="003E66C2">
      <w:pPr>
        <w:keepNext/>
      </w:pPr>
      <w:r>
        <w:t xml:space="preserve">As already discussed </w:t>
      </w:r>
      <w:r w:rsidR="00A25482">
        <w:t xml:space="preserve">for the </w:t>
      </w:r>
      <w:r w:rsidR="00FE11C6">
        <w:t xml:space="preserve">definition of the RF requirements, the </w:t>
      </w:r>
      <w:r w:rsidR="00CA799F">
        <w:t xml:space="preserve">currently defined algorithms in TS 38.521-1 are based on the fact that each slot is treated independently. </w:t>
      </w:r>
      <w:proofErr w:type="gramStart"/>
      <w:r w:rsidR="00CA799F">
        <w:t>Thus</w:t>
      </w:r>
      <w:proofErr w:type="gramEnd"/>
      <w:r w:rsidR="00CA799F">
        <w:t xml:space="preserve"> the frequency error is also measured for each slot and the corresponding correction is applied. </w:t>
      </w:r>
      <w:proofErr w:type="gramStart"/>
      <w:r w:rsidR="00CA799F">
        <w:t>Therefore</w:t>
      </w:r>
      <w:proofErr w:type="gramEnd"/>
      <w:r w:rsidR="00CA799F">
        <w:t xml:space="preserve"> in our view Proposal 3 should be pursued from the list of options above. However further clarifications are needed with respect to the TDD bands, since it is not clear why these bands should be treated differently compared to FDD bands. In our understanding there is no need to apply different approaches for these two types of bands.</w:t>
      </w:r>
    </w:p>
    <w:p w14:paraId="7B3D51B7" w14:textId="0DD294B0" w:rsidR="00E44F15" w:rsidRDefault="0063169B" w:rsidP="003E66C2">
      <w:pPr>
        <w:keepNext/>
      </w:pPr>
      <w:r>
        <w:t>From a TE vendor perspective it is ok to consider Proposal 1 and 2 from the Way Forward [2] as part of the requirements definition process, however for the definition of the test procedure Proposal 3 shall be followed since it is inline with currently defined principles.</w:t>
      </w:r>
    </w:p>
    <w:bookmarkEnd w:id="1"/>
    <w:bookmarkEnd w:id="2"/>
    <w:p w14:paraId="1DB561EE" w14:textId="77777777" w:rsidR="0063169B" w:rsidRDefault="0063169B" w:rsidP="0063169B">
      <w:r w:rsidRPr="002E7EB7">
        <w:rPr>
          <w:b/>
        </w:rPr>
        <w:t>Proposal</w:t>
      </w:r>
      <w:r>
        <w:rPr>
          <w:b/>
        </w:rPr>
        <w:t xml:space="preserve"> 3</w:t>
      </w:r>
      <w:r w:rsidRPr="002E7EB7">
        <w:rPr>
          <w:b/>
        </w:rPr>
        <w:t>:</w:t>
      </w:r>
      <w:r w:rsidRPr="002E7EB7">
        <w:t xml:space="preserve"> </w:t>
      </w:r>
      <w:r>
        <w:t>RAN4 agrees to Proposal 3 from the Way Forward for the purpose of UE testing. There is no need to differentiate between FDD and TDD bands.</w:t>
      </w:r>
    </w:p>
    <w:p w14:paraId="6A30F3C3" w14:textId="13A8DB7E" w:rsidR="00EE0AC3" w:rsidRPr="00DE4417" w:rsidRDefault="00F71811" w:rsidP="00E45333">
      <w:pPr>
        <w:pStyle w:val="berschrift1"/>
        <w:rPr>
          <w:rFonts w:cs="Arial"/>
        </w:rPr>
      </w:pPr>
      <w:r w:rsidRPr="00DE4417">
        <w:rPr>
          <w:rFonts w:cs="Arial"/>
        </w:rPr>
        <w:t>Proposals</w:t>
      </w:r>
    </w:p>
    <w:p w14:paraId="1BF0E911" w14:textId="3D893A31" w:rsidR="00824BF1" w:rsidRDefault="004353D1" w:rsidP="00824BF1">
      <w:pPr>
        <w:rPr>
          <w:lang w:val="en-GB" w:eastAsia="en-US"/>
        </w:rPr>
      </w:pPr>
      <w:bookmarkStart w:id="4" w:name="_Ref473660868"/>
      <w:bookmarkStart w:id="5" w:name="_Ref473660708"/>
      <w:bookmarkStart w:id="6" w:name="OLE_LINK6"/>
      <w:bookmarkStart w:id="7" w:name="OLE_LINK7"/>
      <w:r>
        <w:rPr>
          <w:lang w:val="en-GB" w:eastAsia="en-US"/>
        </w:rPr>
        <w:t xml:space="preserve">In this paper </w:t>
      </w:r>
      <w:r w:rsidR="00666913">
        <w:rPr>
          <w:lang w:val="en-GB" w:eastAsia="en-US"/>
        </w:rPr>
        <w:t>we</w:t>
      </w:r>
      <w:r w:rsidR="00C74471">
        <w:rPr>
          <w:lang w:val="en-GB" w:eastAsia="en-US"/>
        </w:rPr>
        <w:t xml:space="preserve"> </w:t>
      </w:r>
      <w:r w:rsidR="007215F6">
        <w:rPr>
          <w:lang w:val="en-GB" w:eastAsia="en-US"/>
        </w:rPr>
        <w:t>provide some further analysis for the FR1 UL MIMO EVM measurements</w:t>
      </w:r>
      <w:r w:rsidR="00666551">
        <w:rPr>
          <w:lang w:val="en-GB" w:eastAsia="en-US"/>
        </w:rPr>
        <w:t>.</w:t>
      </w:r>
    </w:p>
    <w:p w14:paraId="58E52ECF" w14:textId="77777777" w:rsidR="00CA799F" w:rsidRDefault="00CA799F" w:rsidP="00CA799F">
      <w:r w:rsidRPr="002E7EB7">
        <w:rPr>
          <w:b/>
        </w:rPr>
        <w:t>Proposal</w:t>
      </w:r>
      <w:r>
        <w:rPr>
          <w:b/>
        </w:rPr>
        <w:t xml:space="preserve"> 1</w:t>
      </w:r>
      <w:r w:rsidRPr="002E7EB7">
        <w:rPr>
          <w:b/>
        </w:rPr>
        <w:t>:</w:t>
      </w:r>
      <w:r w:rsidRPr="002E7EB7">
        <w:t xml:space="preserve"> </w:t>
      </w:r>
      <w:r>
        <w:t>RAN4 agrees to Option 1b from the Way Forward.</w:t>
      </w:r>
    </w:p>
    <w:p w14:paraId="3424A703" w14:textId="77777777" w:rsidR="00F7215D" w:rsidRDefault="00F7215D" w:rsidP="00F7215D">
      <w:r w:rsidRPr="002E7EB7">
        <w:rPr>
          <w:b/>
        </w:rPr>
        <w:t>Proposal</w:t>
      </w:r>
      <w:r>
        <w:rPr>
          <w:b/>
        </w:rPr>
        <w:t xml:space="preserve"> 2</w:t>
      </w:r>
      <w:r w:rsidRPr="002E7EB7">
        <w:rPr>
          <w:b/>
        </w:rPr>
        <w:t>:</w:t>
      </w:r>
      <w:r w:rsidRPr="002E7EB7">
        <w:t xml:space="preserve"> </w:t>
      </w:r>
      <w:r>
        <w:t xml:space="preserve">The maximum time window should be defined as 10 </w:t>
      </w:r>
      <w:proofErr w:type="spellStart"/>
      <w:r>
        <w:t>ms</w:t>
      </w:r>
      <w:proofErr w:type="spellEnd"/>
      <w:r>
        <w:t>, to be aligned with the existing definitions in TS 38.521-1.</w:t>
      </w:r>
    </w:p>
    <w:p w14:paraId="1E78AB12" w14:textId="29B66DF6" w:rsidR="00CA799F" w:rsidRDefault="00CA799F" w:rsidP="00CA799F">
      <w:r w:rsidRPr="002E7EB7">
        <w:rPr>
          <w:b/>
        </w:rPr>
        <w:t>Proposal</w:t>
      </w:r>
      <w:r>
        <w:rPr>
          <w:b/>
        </w:rPr>
        <w:t xml:space="preserve"> 3</w:t>
      </w:r>
      <w:r w:rsidRPr="002E7EB7">
        <w:rPr>
          <w:b/>
        </w:rPr>
        <w:t>:</w:t>
      </w:r>
      <w:r w:rsidRPr="002E7EB7">
        <w:t xml:space="preserve"> </w:t>
      </w:r>
      <w:r>
        <w:t>RAN4 agrees to Proposal 3 from the Way Forward</w:t>
      </w:r>
      <w:r w:rsidR="0063169B">
        <w:t xml:space="preserve"> for the purpose of UE testing</w:t>
      </w:r>
      <w:r>
        <w:t>. There is no need to differentiate between FDD and TDD bands.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35878085" w14:textId="2A7770AE" w:rsidR="0093416F" w:rsidRPr="0093416F" w:rsidRDefault="0093416F" w:rsidP="00EA3CA7">
      <w:pPr>
        <w:pStyle w:val="Listenabsatz"/>
        <w:numPr>
          <w:ilvl w:val="0"/>
          <w:numId w:val="4"/>
        </w:numPr>
        <w:spacing w:after="0" w:line="240" w:lineRule="auto"/>
        <w:rPr>
          <w:lang w:val="en-GB"/>
        </w:rPr>
      </w:pPr>
      <w:r w:rsidRPr="0093416F">
        <w:rPr>
          <w:lang w:val="en-GB"/>
        </w:rPr>
        <w:t>R4-21</w:t>
      </w:r>
      <w:r w:rsidR="003C7324">
        <w:rPr>
          <w:lang w:val="en-GB"/>
        </w:rPr>
        <w:t>1</w:t>
      </w:r>
      <w:r w:rsidR="009461CD">
        <w:rPr>
          <w:lang w:val="en-GB"/>
        </w:rPr>
        <w:t>9931</w:t>
      </w:r>
      <w:r w:rsidRPr="00385AA1">
        <w:rPr>
          <w:lang w:val="en-GB"/>
        </w:rPr>
        <w:t>, ‘</w:t>
      </w:r>
      <w:r w:rsidR="009461CD" w:rsidRPr="009461CD">
        <w:rPr>
          <w:lang w:val="en-GB"/>
        </w:rPr>
        <w:t>Email discussion summary for [101-</w:t>
      </w:r>
      <w:proofErr w:type="gramStart"/>
      <w:r w:rsidR="009461CD" w:rsidRPr="009461CD">
        <w:rPr>
          <w:lang w:val="en-GB"/>
        </w:rPr>
        <w:t>e][</w:t>
      </w:r>
      <w:proofErr w:type="gramEnd"/>
      <w:r w:rsidR="009461CD" w:rsidRPr="009461CD">
        <w:rPr>
          <w:lang w:val="en-GB"/>
        </w:rPr>
        <w:t xml:space="preserve">131] </w:t>
      </w:r>
      <w:proofErr w:type="spellStart"/>
      <w:r w:rsidR="009461CD" w:rsidRPr="009461CD">
        <w:rPr>
          <w:lang w:val="en-GB"/>
        </w:rPr>
        <w:t>NR_cov_enh</w:t>
      </w:r>
      <w:proofErr w:type="spellEnd"/>
      <w:r w:rsidR="007E6782">
        <w:rPr>
          <w:lang w:val="en-GB"/>
        </w:rPr>
        <w:t>’</w:t>
      </w:r>
      <w:r>
        <w:rPr>
          <w:lang w:val="en-GB"/>
        </w:rPr>
        <w:t>,</w:t>
      </w:r>
      <w:r w:rsidR="007E6782">
        <w:rPr>
          <w:lang w:val="en-GB"/>
        </w:rPr>
        <w:t xml:space="preserve"> </w:t>
      </w:r>
      <w:r w:rsidR="003C7324">
        <w:rPr>
          <w:lang w:val="en-GB"/>
        </w:rPr>
        <w:t>Moderator (</w:t>
      </w:r>
      <w:r w:rsidR="009461CD">
        <w:rPr>
          <w:lang w:val="en-GB"/>
        </w:rPr>
        <w:t>China Telecom</w:t>
      </w:r>
      <w:r w:rsidR="003C7324">
        <w:rPr>
          <w:lang w:val="en-GB"/>
        </w:rPr>
        <w:t>)</w:t>
      </w:r>
      <w:r>
        <w:rPr>
          <w:lang w:val="en-GB"/>
        </w:rPr>
        <w:t>, RAN4#</w:t>
      </w:r>
      <w:r w:rsidR="003C7324">
        <w:rPr>
          <w:lang w:val="en-GB"/>
        </w:rPr>
        <w:t>10</w:t>
      </w:r>
      <w:r w:rsidR="009461CD">
        <w:rPr>
          <w:lang w:val="en-GB"/>
        </w:rPr>
        <w:t>1</w:t>
      </w:r>
      <w:r w:rsidRPr="00385AA1">
        <w:rPr>
          <w:lang w:val="en-GB"/>
        </w:rPr>
        <w:t>-e</w:t>
      </w:r>
      <w:r w:rsidR="007E6782">
        <w:rPr>
          <w:lang w:val="en-GB"/>
        </w:rPr>
        <w:t xml:space="preserve">, </w:t>
      </w:r>
      <w:r w:rsidR="009461CD">
        <w:rPr>
          <w:lang w:val="en-GB"/>
        </w:rPr>
        <w:t>November</w:t>
      </w:r>
      <w:r w:rsidR="007E6782">
        <w:rPr>
          <w:lang w:val="en-GB"/>
        </w:rPr>
        <w:t xml:space="preserve"> 2021</w:t>
      </w:r>
    </w:p>
    <w:p w14:paraId="1723C723" w14:textId="392F5FD3" w:rsidR="009461CD" w:rsidRPr="0093416F" w:rsidRDefault="009461CD" w:rsidP="009461CD">
      <w:pPr>
        <w:pStyle w:val="Listenabsatz"/>
        <w:numPr>
          <w:ilvl w:val="0"/>
          <w:numId w:val="4"/>
        </w:numPr>
        <w:spacing w:after="0" w:line="240" w:lineRule="auto"/>
        <w:rPr>
          <w:lang w:val="en-GB"/>
        </w:rPr>
      </w:pPr>
      <w:r w:rsidRPr="0093416F">
        <w:rPr>
          <w:lang w:val="en-GB"/>
        </w:rPr>
        <w:t>R4-21</w:t>
      </w:r>
      <w:r>
        <w:rPr>
          <w:lang w:val="en-GB"/>
        </w:rPr>
        <w:t>2003</w:t>
      </w:r>
      <w:r w:rsidRPr="00385AA1">
        <w:rPr>
          <w:lang w:val="en-GB"/>
        </w:rPr>
        <w:t>, ‘</w:t>
      </w:r>
      <w:r w:rsidRPr="009461CD">
        <w:rPr>
          <w:lang w:val="en-GB"/>
        </w:rPr>
        <w:t>WF on phase continuity and power consistency for PUCCH and PUSCH transmissions</w:t>
      </w:r>
      <w:r>
        <w:rPr>
          <w:lang w:val="en-GB"/>
        </w:rPr>
        <w:t>’, Huawei, HiSilicon, RAN4#101</w:t>
      </w:r>
      <w:r w:rsidRPr="00385AA1">
        <w:rPr>
          <w:lang w:val="en-GB"/>
        </w:rPr>
        <w:t>-e</w:t>
      </w:r>
      <w:r>
        <w:rPr>
          <w:lang w:val="en-GB"/>
        </w:rPr>
        <w:t>, November 2021</w:t>
      </w:r>
    </w:p>
    <w:p w14:paraId="42EDA05F" w14:textId="6C16B178" w:rsidR="004745B3" w:rsidRDefault="004745B3" w:rsidP="00EA3CA7">
      <w:pPr>
        <w:pStyle w:val="Listenabsatz"/>
        <w:numPr>
          <w:ilvl w:val="0"/>
          <w:numId w:val="4"/>
        </w:numPr>
        <w:spacing w:after="0" w:line="240" w:lineRule="auto"/>
        <w:rPr>
          <w:lang w:val="en-GB"/>
        </w:rPr>
      </w:pPr>
      <w:r>
        <w:rPr>
          <w:lang w:val="en-GB"/>
        </w:rPr>
        <w:t>TS 38.521-1</w:t>
      </w:r>
    </w:p>
    <w:p w14:paraId="1C1B9EE4" w14:textId="57343FF7" w:rsidR="00847261" w:rsidRDefault="00847261" w:rsidP="00847261">
      <w:pPr>
        <w:spacing w:after="0" w:line="240" w:lineRule="auto"/>
        <w:rPr>
          <w:lang w:val="en-GB"/>
        </w:rPr>
      </w:pPr>
    </w:p>
    <w:p w14:paraId="2F446910" w14:textId="77777777" w:rsidR="00557EFB" w:rsidRPr="00557EFB" w:rsidRDefault="00557EFB" w:rsidP="00764940">
      <w:pPr>
        <w:rPr>
          <w:rFonts w:ascii="Times New Roman" w:hAnsi="Times New Roman" w:cs="Times New Roman"/>
        </w:rPr>
      </w:pPr>
    </w:p>
    <w:sectPr w:rsidR="00557EFB" w:rsidRPr="00557EFB"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1F90F" w14:textId="77777777" w:rsidR="00B10E10" w:rsidRDefault="00B10E10" w:rsidP="00371D7D">
      <w:r>
        <w:separator/>
      </w:r>
    </w:p>
  </w:endnote>
  <w:endnote w:type="continuationSeparator" w:id="0">
    <w:p w14:paraId="01B470F0" w14:textId="77777777" w:rsidR="00B10E10" w:rsidRDefault="00B10E1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9D72F7" w:rsidRPr="000E7B1E" w:rsidRDefault="009D72F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3C9EF" w14:textId="77777777" w:rsidR="00B10E10" w:rsidRDefault="00B10E10" w:rsidP="00371D7D">
      <w:r>
        <w:separator/>
      </w:r>
    </w:p>
  </w:footnote>
  <w:footnote w:type="continuationSeparator" w:id="0">
    <w:p w14:paraId="60B91D98" w14:textId="77777777" w:rsidR="00B10E10" w:rsidRDefault="00B10E1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5"/>
  </w:num>
  <w:num w:numId="5">
    <w:abstractNumId w:val="3"/>
  </w:num>
  <w:num w:numId="6">
    <w:abstractNumId w:val="1"/>
  </w:num>
  <w:num w:numId="7">
    <w:abstractNumId w:val="4"/>
  </w:num>
  <w:num w:numId="8">
    <w:abstractNumId w:val="11"/>
  </w:num>
  <w:num w:numId="9">
    <w:abstractNumId w:val="8"/>
  </w:num>
  <w:num w:numId="10">
    <w:abstractNumId w:val="9"/>
  </w:num>
  <w:num w:numId="11">
    <w:abstractNumId w:val="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5DA3"/>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B0670"/>
    <w:rsid w:val="001B0742"/>
    <w:rsid w:val="001B137F"/>
    <w:rsid w:val="001B2191"/>
    <w:rsid w:val="001B24AF"/>
    <w:rsid w:val="001C0307"/>
    <w:rsid w:val="001C0EA6"/>
    <w:rsid w:val="001C1D01"/>
    <w:rsid w:val="001C47DE"/>
    <w:rsid w:val="001C4E17"/>
    <w:rsid w:val="001C6A9C"/>
    <w:rsid w:val="001C766E"/>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B2B"/>
    <w:rsid w:val="0035204A"/>
    <w:rsid w:val="0036038D"/>
    <w:rsid w:val="003607C5"/>
    <w:rsid w:val="003608E0"/>
    <w:rsid w:val="00361148"/>
    <w:rsid w:val="003660C7"/>
    <w:rsid w:val="003664A2"/>
    <w:rsid w:val="00367E6D"/>
    <w:rsid w:val="00370D31"/>
    <w:rsid w:val="00370D9E"/>
    <w:rsid w:val="003715A7"/>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C7324"/>
    <w:rsid w:val="003D0E5C"/>
    <w:rsid w:val="003D16A8"/>
    <w:rsid w:val="003D254F"/>
    <w:rsid w:val="003D30F2"/>
    <w:rsid w:val="003D51E6"/>
    <w:rsid w:val="003D602B"/>
    <w:rsid w:val="003D7784"/>
    <w:rsid w:val="003D7B2C"/>
    <w:rsid w:val="003E12B0"/>
    <w:rsid w:val="003E1A65"/>
    <w:rsid w:val="003E22B9"/>
    <w:rsid w:val="003E2565"/>
    <w:rsid w:val="003E5779"/>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5B51"/>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5237"/>
    <w:rsid w:val="006466C9"/>
    <w:rsid w:val="00646AF8"/>
    <w:rsid w:val="00652F55"/>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782"/>
    <w:rsid w:val="007E6D3C"/>
    <w:rsid w:val="007E74D3"/>
    <w:rsid w:val="007E75B3"/>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A712A"/>
    <w:rsid w:val="009B0845"/>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4D77"/>
    <w:rsid w:val="00AF5CE7"/>
    <w:rsid w:val="00AF60AE"/>
    <w:rsid w:val="00AF6DBB"/>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08D6"/>
    <w:rsid w:val="00B413A7"/>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34BA"/>
    <w:rsid w:val="00C04CEB"/>
    <w:rsid w:val="00C074A2"/>
    <w:rsid w:val="00C142E1"/>
    <w:rsid w:val="00C14F5D"/>
    <w:rsid w:val="00C217FC"/>
    <w:rsid w:val="00C24153"/>
    <w:rsid w:val="00C25111"/>
    <w:rsid w:val="00C253B8"/>
    <w:rsid w:val="00C27A92"/>
    <w:rsid w:val="00C301A2"/>
    <w:rsid w:val="00C3037E"/>
    <w:rsid w:val="00C30491"/>
    <w:rsid w:val="00C30ED0"/>
    <w:rsid w:val="00C31E50"/>
    <w:rsid w:val="00C32F3C"/>
    <w:rsid w:val="00C34B92"/>
    <w:rsid w:val="00C34EFF"/>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A7660"/>
    <w:rsid w:val="00CA799F"/>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68DA"/>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2C2F"/>
    <w:rsid w:val="00D57FCA"/>
    <w:rsid w:val="00D606B8"/>
    <w:rsid w:val="00D60B40"/>
    <w:rsid w:val="00D6276B"/>
    <w:rsid w:val="00D63D63"/>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30F3"/>
    <w:rsid w:val="00D9321A"/>
    <w:rsid w:val="00D9581C"/>
    <w:rsid w:val="00D97826"/>
    <w:rsid w:val="00DA1520"/>
    <w:rsid w:val="00DA2943"/>
    <w:rsid w:val="00DA326D"/>
    <w:rsid w:val="00DA613F"/>
    <w:rsid w:val="00DB0AD3"/>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88C"/>
    <w:rsid w:val="00E32C7A"/>
    <w:rsid w:val="00E33028"/>
    <w:rsid w:val="00E33480"/>
    <w:rsid w:val="00E34070"/>
    <w:rsid w:val="00E35411"/>
    <w:rsid w:val="00E37E67"/>
    <w:rsid w:val="00E4048A"/>
    <w:rsid w:val="00E408CF"/>
    <w:rsid w:val="00E41569"/>
    <w:rsid w:val="00E41929"/>
    <w:rsid w:val="00E42128"/>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1C6"/>
    <w:rsid w:val="00FE167D"/>
    <w:rsid w:val="00FE1AEC"/>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3169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E6121-08EE-4BBC-AB5B-C79C4494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808</Words>
  <Characters>5095</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13</cp:revision>
  <cp:lastPrinted>2018-08-10T06:24:00Z</cp:lastPrinted>
  <dcterms:created xsi:type="dcterms:W3CDTF">2022-01-03T09:20:00Z</dcterms:created>
  <dcterms:modified xsi:type="dcterms:W3CDTF">2022-01-10T15:48:00Z</dcterms:modified>
  <cp:category/>
</cp:coreProperties>
</file>