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101-bis-e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R4-2200740</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ascii="Arial" w:hAnsi="Arial" w:eastAsia="宋体" w:cs="Arial"/>
          <w:b/>
          <w:sz w:val="24"/>
          <w:szCs w:val="24"/>
          <w:lang w:eastAsia="zh-CN"/>
        </w:rPr>
        <w:t>January 17-25,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RRM requirements for HO with PSCell</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6.10.2.2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jc w:val="both"/>
        <w:rPr>
          <w:rFonts w:hint="default" w:eastAsia="宋体"/>
          <w:sz w:val="22"/>
          <w:lang w:val="en-US" w:eastAsia="zh-CN"/>
        </w:rPr>
      </w:pPr>
      <w:r>
        <w:rPr>
          <w:rFonts w:hint="eastAsia" w:eastAsia="宋体"/>
          <w:sz w:val="22"/>
          <w:lang w:val="en-US" w:eastAsia="zh-CN"/>
        </w:rPr>
        <w:t xml:space="preserve">In the last 101-e meeting, RRM requirements for HO with PSCell </w:t>
      </w:r>
      <w:r>
        <w:rPr>
          <w:rFonts w:hint="eastAsia" w:eastAsia="宋体"/>
          <w:sz w:val="20"/>
          <w:szCs w:val="20"/>
          <w:lang w:val="en-US" w:eastAsia="zh-CN"/>
        </w:rPr>
        <w:t xml:space="preserve">were discussed </w:t>
      </w:r>
      <w:r>
        <w:rPr>
          <w:rFonts w:hint="eastAsia" w:eastAsia="宋体"/>
          <w:sz w:val="22"/>
          <w:lang w:val="en-US" w:eastAsia="zh-CN"/>
        </w:rPr>
        <w:t xml:space="preserve">and the WF document was approved[1]. In this contribution ,we further provide our views on the open issues. </w:t>
      </w:r>
    </w:p>
    <w:p>
      <w:pPr>
        <w:pStyle w:val="29"/>
        <w:numPr>
          <w:ilvl w:val="0"/>
          <w:numId w:val="6"/>
        </w:numPr>
        <w:jc w:val="both"/>
        <w:rPr>
          <w:rFonts w:hint="eastAsia"/>
          <w:lang w:val="en-US" w:eastAsia="zh-CN"/>
        </w:rPr>
      </w:pPr>
      <w:r>
        <w:rPr>
          <w:rFonts w:hint="eastAsia"/>
          <w:lang w:val="en-US" w:eastAsia="zh-CN"/>
        </w:rPr>
        <w:t>Discussion</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2-2-3a: Timeline of T</w:t>
            </w:r>
            <w:r>
              <w:rPr>
                <w:b/>
                <w:color w:val="000000" w:themeColor="text1"/>
                <w:u w:val="single"/>
                <w:vertAlign w:val="subscript"/>
                <w:lang w:eastAsia="ko-KR"/>
                <w14:textFill>
                  <w14:solidFill>
                    <w14:schemeClr w14:val="tx1"/>
                  </w14:solidFill>
                </w14:textFill>
              </w:rPr>
              <w:t>processing</w:t>
            </w:r>
            <w:r>
              <w:rPr>
                <w:b/>
                <w:color w:val="000000" w:themeColor="text1"/>
                <w:u w:val="single"/>
                <w:lang w:eastAsia="ko-KR"/>
                <w14:textFill>
                  <w14:solidFill>
                    <w14:schemeClr w14:val="tx1"/>
                  </w14:solidFill>
                </w14:textFill>
              </w:rPr>
              <w:t xml:space="preserve"> (UE SW processing and RF warm-up(if needed) time) for HO with PSCell</w:t>
            </w:r>
          </w:p>
          <w:p>
            <w:pPr>
              <w:numPr>
                <w:ilvl w:val="0"/>
                <w:numId w:val="7"/>
              </w:numPr>
              <w:spacing w:after="120" w:line="259" w:lineRule="auto"/>
              <w:ind w:left="72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numPr>
                <w:ilvl w:val="1"/>
                <w:numId w:val="7"/>
              </w:numPr>
              <w:spacing w:after="120" w:line="259" w:lineRule="auto"/>
              <w:ind w:left="144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1: (CATT, Ericsson, MTK, Intel, ZTE, vivo, Nokia)</w:t>
            </w:r>
          </w:p>
          <w:p>
            <w:pPr>
              <w:numPr>
                <w:ilvl w:val="2"/>
                <w:numId w:val="7"/>
              </w:numPr>
              <w:spacing w:after="120" w:line="259" w:lineRule="auto"/>
              <w:jc w:val="both"/>
              <w:rPr>
                <w:bCs/>
                <w:color w:val="000000" w:themeColor="text1"/>
                <w:szCs w:val="24"/>
                <w:lang w:eastAsia="zh-CN"/>
                <w14:textFill>
                  <w14:solidFill>
                    <w14:schemeClr w14:val="tx1"/>
                  </w14:solidFill>
                </w14:textFill>
              </w:rPr>
            </w:pPr>
            <w:r>
              <w:rPr>
                <w:bCs/>
                <w:color w:val="000000" w:themeColor="text1"/>
                <w:lang w:val="en-US"/>
                <w14:textFill>
                  <w14:solidFill>
                    <w14:schemeClr w14:val="tx1"/>
                  </w14:solidFill>
                </w14:textFill>
              </w:rPr>
              <w:t>For both parallel processing cases and sequential processing cases, UE SW processing and RF warm-up for PCell handover and PSCell addition/change are performed in parallel.</w:t>
            </w:r>
          </w:p>
          <w:p>
            <w:pPr>
              <w:numPr>
                <w:ilvl w:val="1"/>
                <w:numId w:val="7"/>
              </w:numPr>
              <w:spacing w:after="120" w:line="259" w:lineRule="auto"/>
              <w:ind w:left="1440"/>
              <w:jc w:val="both"/>
              <w:rPr>
                <w:rFonts w:cs="v4.2.0"/>
                <w:bCs/>
                <w:iCs/>
                <w:color w:val="000000" w:themeColor="text1"/>
                <w:lang w:val="en-US" w:eastAsia="zh-CN"/>
                <w14:textFill>
                  <w14:solidFill>
                    <w14:schemeClr w14:val="tx1"/>
                  </w14:solidFill>
                </w14:textFill>
              </w:rPr>
            </w:pPr>
            <w:r>
              <w:rPr>
                <w:color w:val="000000" w:themeColor="text1"/>
                <w:szCs w:val="24"/>
                <w:lang w:eastAsia="zh-CN"/>
                <w14:textFill>
                  <w14:solidFill>
                    <w14:schemeClr w14:val="tx1"/>
                  </w14:solidFill>
                </w14:textFill>
              </w:rPr>
              <w:t>Option 2: (Apple, Xiaomi, OPPO)</w:t>
            </w:r>
          </w:p>
          <w:p>
            <w:pPr>
              <w:numPr>
                <w:ilvl w:val="2"/>
                <w:numId w:val="7"/>
              </w:numPr>
              <w:spacing w:after="120" w:line="259" w:lineRule="auto"/>
              <w:jc w:val="both"/>
              <w:rPr>
                <w:bCs/>
                <w:color w:val="000000" w:themeColor="text1"/>
                <w:szCs w:val="24"/>
                <w:lang w:eastAsia="zh-CN"/>
                <w14:textFill>
                  <w14:solidFill>
                    <w14:schemeClr w14:val="tx1"/>
                  </w14:solidFill>
                </w14:textFill>
              </w:rPr>
            </w:pPr>
            <w:r>
              <w:rPr>
                <w:bCs/>
                <w:color w:val="000000" w:themeColor="text1"/>
                <w:lang w:val="en-US"/>
                <w14:textFill>
                  <w14:solidFill>
                    <w14:schemeClr w14:val="tx1"/>
                  </w14:solidFill>
                </w14:textFill>
              </w:rPr>
              <w:t>For parallel processing cases, UE SW processing and RF warm-up for PCell handover and PSCell addition/change are performed in parallel.</w:t>
            </w:r>
          </w:p>
          <w:p>
            <w:pPr>
              <w:numPr>
                <w:ilvl w:val="2"/>
                <w:numId w:val="7"/>
              </w:numPr>
              <w:spacing w:after="120" w:line="259" w:lineRule="auto"/>
              <w:jc w:val="both"/>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For sequential processing cases, UE SW processing and RF warm-up for PCell handover and PSCell addition/change are performed in sequential.</w:t>
            </w:r>
          </w:p>
          <w:p>
            <w:pPr>
              <w:numPr>
                <w:ilvl w:val="1"/>
                <w:numId w:val="7"/>
              </w:numPr>
              <w:spacing w:after="120" w:line="259" w:lineRule="auto"/>
              <w:ind w:left="144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3: (Intel, Nokia)</w:t>
            </w:r>
          </w:p>
          <w:p>
            <w:pPr>
              <w:numPr>
                <w:ilvl w:val="2"/>
                <w:numId w:val="7"/>
              </w:numPr>
              <w:spacing w:after="120" w:line="259" w:lineRule="auto"/>
              <w:jc w:val="both"/>
              <w:rPr>
                <w:color w:val="000000" w:themeColor="text1"/>
                <w:lang w:val="en-US"/>
                <w14:textFill>
                  <w14:solidFill>
                    <w14:schemeClr w14:val="tx1"/>
                  </w14:solidFill>
                </w14:textFill>
              </w:rPr>
            </w:pPr>
            <w:r>
              <w:rPr>
                <w:iCs/>
                <w:color w:val="000000" w:themeColor="text1"/>
                <w14:textFill>
                  <w14:solidFill>
                    <w14:schemeClr w14:val="tx1"/>
                  </w14:solidFill>
                </w14:textFill>
              </w:rPr>
              <w:t xml:space="preserve">Don’t need to define a unified </w:t>
            </w:r>
            <w:r>
              <w:rPr>
                <w:color w:val="000000" w:themeColor="text1"/>
                <w:lang w:eastAsia="ko-KR"/>
                <w14:textFill>
                  <w14:solidFill>
                    <w14:schemeClr w14:val="tx1"/>
                  </w14:solidFill>
                </w14:textFill>
              </w:rPr>
              <w:t>T</w:t>
            </w:r>
            <w:r>
              <w:rPr>
                <w:color w:val="000000" w:themeColor="text1"/>
                <w:vertAlign w:val="subscript"/>
                <w:lang w:eastAsia="ko-KR"/>
                <w14:textFill>
                  <w14:solidFill>
                    <w14:schemeClr w14:val="tx1"/>
                  </w14:solidFill>
                </w14:textFill>
              </w:rPr>
              <w:t xml:space="preserve">processing </w:t>
            </w:r>
            <w:r>
              <w:rPr>
                <w:color w:val="000000" w:themeColor="text1"/>
                <w:lang w:eastAsia="ko-KR"/>
                <w14:textFill>
                  <w14:solidFill>
                    <w14:schemeClr w14:val="tx1"/>
                  </w14:solidFill>
                </w14:textFill>
              </w:rPr>
              <w:t>for HO with PSCell. T</w:t>
            </w:r>
            <w:r>
              <w:rPr>
                <w:color w:val="000000" w:themeColor="text1"/>
                <w:vertAlign w:val="subscript"/>
                <w:lang w:eastAsia="ko-KR"/>
                <w14:textFill>
                  <w14:solidFill>
                    <w14:schemeClr w14:val="tx1"/>
                  </w14:solidFill>
                </w14:textFill>
              </w:rPr>
              <w:t xml:space="preserve">processing </w:t>
            </w:r>
            <w:r>
              <w:rPr>
                <w:iCs/>
                <w:color w:val="000000" w:themeColor="text1"/>
                <w14:textFill>
                  <w14:solidFill>
                    <w14:schemeClr w14:val="tx1"/>
                  </w14:solidFill>
                </w14:textFill>
              </w:rPr>
              <w:t>for PCell and PSCell can be used in each requirement respectively.</w:t>
            </w:r>
          </w:p>
          <w:p>
            <w:pPr>
              <w:numPr>
                <w:ilvl w:val="1"/>
                <w:numId w:val="7"/>
              </w:numPr>
              <w:spacing w:after="120" w:line="259" w:lineRule="auto"/>
              <w:ind w:left="144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4: (Huawei)</w:t>
            </w:r>
          </w:p>
          <w:p>
            <w:pPr>
              <w:numPr>
                <w:ilvl w:val="2"/>
                <w:numId w:val="7"/>
              </w:numPr>
              <w:spacing w:after="120" w:line="259" w:lineRule="auto"/>
              <w:jc w:val="both"/>
            </w:pPr>
            <w:r>
              <w:rPr>
                <w:rFonts w:hint="eastAsia" w:eastAsiaTheme="minorEastAsia"/>
                <w:bCs/>
                <w:lang w:val="en-US" w:eastAsia="zh-CN"/>
              </w:rPr>
              <w:t>T</w:t>
            </w:r>
            <w:r>
              <w:rPr>
                <w:rFonts w:hint="eastAsia" w:eastAsiaTheme="minorEastAsia"/>
                <w:bCs/>
                <w:vertAlign w:val="subscript"/>
                <w:lang w:val="en-US" w:eastAsia="zh-CN"/>
              </w:rPr>
              <w:t>processing</w:t>
            </w:r>
            <w:r>
              <w:rPr>
                <w:rFonts w:eastAsiaTheme="minorEastAsia"/>
                <w:bCs/>
                <w:lang w:val="en-US" w:eastAsia="zh-CN"/>
              </w:rPr>
              <w:t xml:space="preserve"> for HO with PSCell = max(</w:t>
            </w:r>
            <w:r>
              <w:rPr>
                <w:rFonts w:hint="eastAsia" w:eastAsiaTheme="minorEastAsia"/>
                <w:bCs/>
                <w:lang w:val="en-US" w:eastAsia="zh-CN"/>
              </w:rPr>
              <w:t>T</w:t>
            </w:r>
            <w:r>
              <w:rPr>
                <w:rFonts w:hint="eastAsia" w:eastAsiaTheme="minorEastAsia"/>
                <w:bCs/>
                <w:vertAlign w:val="subscript"/>
                <w:lang w:val="en-US" w:eastAsia="zh-CN"/>
              </w:rPr>
              <w:t>processing</w:t>
            </w:r>
            <w:r>
              <w:rPr>
                <w:rFonts w:eastAsiaTheme="minorEastAsia"/>
                <w:bCs/>
                <w:lang w:val="en-US" w:eastAsia="zh-CN"/>
              </w:rPr>
              <w:t xml:space="preserve"> for PCell HO, </w:t>
            </w:r>
            <w:r>
              <w:rPr>
                <w:rFonts w:hint="eastAsia" w:eastAsiaTheme="minorEastAsia"/>
                <w:bCs/>
                <w:lang w:val="en-US" w:eastAsia="zh-CN"/>
              </w:rPr>
              <w:t>T</w:t>
            </w:r>
            <w:r>
              <w:rPr>
                <w:rFonts w:hint="eastAsia" w:eastAsiaTheme="minorEastAsia"/>
                <w:bCs/>
                <w:vertAlign w:val="subscript"/>
                <w:lang w:val="en-US" w:eastAsia="zh-CN"/>
              </w:rPr>
              <w:t>processing</w:t>
            </w:r>
            <w:r>
              <w:rPr>
                <w:rFonts w:eastAsiaTheme="minorEastAsia"/>
                <w:bCs/>
                <w:lang w:val="en-US" w:eastAsia="zh-CN"/>
              </w:rPr>
              <w:t xml:space="preserve"> for PSCell addition/change) for both parallel and sequential processing scenarios.</w:t>
            </w:r>
          </w:p>
        </w:tc>
      </w:tr>
    </w:tbl>
    <w:p>
      <w:pPr>
        <w:rPr>
          <w:rFonts w:hint="eastAsia" w:eastAsia="宋体"/>
          <w:color w:val="000000" w:themeColor="text1"/>
          <w:szCs w:val="18"/>
          <w:lang w:val="en-US" w:eastAsia="zh-CN"/>
          <w14:textFill>
            <w14:solidFill>
              <w14:schemeClr w14:val="tx1"/>
            </w14:solidFill>
          </w14:textFill>
        </w:rPr>
      </w:pPr>
    </w:p>
    <w:p>
      <w:pPr>
        <w:rPr>
          <w:rFonts w:hint="default" w:eastAsia="宋体"/>
          <w:highlight w:val="none"/>
          <w:lang w:val="en-US" w:eastAsia="zh-CN"/>
        </w:rPr>
      </w:pPr>
      <w:r>
        <w:rPr>
          <w:color w:val="auto"/>
        </w:rPr>
        <w:t>T</w:t>
      </w:r>
      <w:r>
        <w:rPr>
          <w:color w:val="auto"/>
          <w:vertAlign w:val="subscript"/>
          <w:lang w:eastAsia="zh-CN"/>
        </w:rPr>
        <w:t>processing</w:t>
      </w:r>
      <w:r>
        <w:rPr>
          <w:color w:val="auto"/>
        </w:rPr>
        <w:t xml:space="preserve"> is time for UE processing</w:t>
      </w:r>
      <w:r>
        <w:rPr>
          <w:rFonts w:hint="eastAsia" w:eastAsia="宋体"/>
          <w:color w:val="auto"/>
          <w:lang w:val="en-US" w:eastAsia="zh-CN"/>
        </w:rPr>
        <w:t xml:space="preserve"> and RF warm-up. For </w:t>
      </w:r>
      <w:r>
        <w:rPr>
          <w:bCs/>
          <w:color w:val="000000" w:themeColor="text1"/>
          <w:lang w:val="en-US"/>
          <w14:textFill>
            <w14:solidFill>
              <w14:schemeClr w14:val="tx1"/>
            </w14:solidFill>
          </w14:textFill>
        </w:rPr>
        <w:t>parallel processing cases</w:t>
      </w:r>
      <w:r>
        <w:rPr>
          <w:rFonts w:hint="eastAsia" w:eastAsia="宋体"/>
          <w:bCs/>
          <w:color w:val="000000" w:themeColor="text1"/>
          <w:lang w:val="en-US" w:eastAsia="zh-CN"/>
          <w14:textFill>
            <w14:solidFill>
              <w14:schemeClr w14:val="tx1"/>
            </w14:solidFill>
          </w14:textFill>
        </w:rPr>
        <w:t xml:space="preserve">, HO and PSCell addition are performed in </w:t>
      </w:r>
      <w:r>
        <w:rPr>
          <w:bCs/>
          <w:color w:val="000000" w:themeColor="text1"/>
          <w:lang w:val="en-US"/>
          <w14:textFill>
            <w14:solidFill>
              <w14:schemeClr w14:val="tx1"/>
            </w14:solidFill>
          </w14:textFill>
        </w:rPr>
        <w:t>parallel</w:t>
      </w:r>
      <w:r>
        <w:rPr>
          <w:rFonts w:hint="eastAsia" w:eastAsia="宋体"/>
          <w:bCs/>
          <w:color w:val="000000" w:themeColor="text1"/>
          <w:lang w:val="en-US" w:eastAsia="zh-CN"/>
          <w14:textFill>
            <w14:solidFill>
              <w14:schemeClr w14:val="tx1"/>
            </w14:solidFill>
          </w14:textFill>
        </w:rPr>
        <w:t xml:space="preserve">, so </w:t>
      </w:r>
      <w:r>
        <w:rPr>
          <w:bCs/>
          <w:color w:val="000000" w:themeColor="text1"/>
          <w:lang w:val="en-US"/>
          <w14:textFill>
            <w14:solidFill>
              <w14:schemeClr w14:val="tx1"/>
            </w14:solidFill>
          </w14:textFill>
        </w:rPr>
        <w:t>UE SW processing and RF warm-up for PCell handover and PSCell addition are performed in parallel</w:t>
      </w:r>
      <w:r>
        <w:rPr>
          <w:rFonts w:hint="eastAsia" w:eastAsia="宋体"/>
          <w:bCs/>
          <w:color w:val="000000" w:themeColor="text1"/>
          <w:lang w:val="en-US" w:eastAsia="zh-CN"/>
          <w14:textFill>
            <w14:solidFill>
              <w14:schemeClr w14:val="tx1"/>
            </w14:solidFill>
          </w14:textFill>
        </w:rPr>
        <w:t xml:space="preserve">. For </w:t>
      </w:r>
      <w:r>
        <w:rPr>
          <w:bCs/>
          <w:color w:val="000000" w:themeColor="text1"/>
          <w:lang w:val="en-US"/>
          <w14:textFill>
            <w14:solidFill>
              <w14:schemeClr w14:val="tx1"/>
            </w14:solidFill>
          </w14:textFill>
        </w:rPr>
        <w:t>sequential processing cases</w:t>
      </w:r>
      <w:r>
        <w:rPr>
          <w:rFonts w:hint="eastAsia" w:eastAsia="宋体"/>
          <w:bCs/>
          <w:color w:val="000000" w:themeColor="text1"/>
          <w:lang w:val="en-US" w:eastAsia="zh-CN"/>
          <w14:textFill>
            <w14:solidFill>
              <w14:schemeClr w14:val="tx1"/>
            </w14:solidFill>
          </w14:textFill>
        </w:rPr>
        <w:t xml:space="preserve">, though we have the agreement that </w:t>
      </w:r>
      <w:r>
        <w:rPr>
          <w:rFonts w:hint="eastAsia" w:eastAsia="宋体"/>
          <w:highlight w:val="none"/>
          <w:lang w:val="en-US" w:eastAsia="zh-CN"/>
        </w:rPr>
        <w:t>s</w:t>
      </w:r>
      <w:r>
        <w:rPr>
          <w:highlight w:val="none"/>
          <w:lang w:eastAsia="ja-JP"/>
        </w:rPr>
        <w:t>equential processing is used for</w:t>
      </w:r>
      <w:r>
        <w:rPr>
          <w:rFonts w:hint="eastAsia" w:eastAsia="宋体"/>
          <w:highlight w:val="none"/>
          <w:lang w:val="en-US" w:eastAsia="zh-CN"/>
        </w:rPr>
        <w:t xml:space="preserve"> </w:t>
      </w:r>
      <w:r>
        <w:rPr>
          <w:highlight w:val="none"/>
          <w:lang w:eastAsia="ja-JP"/>
        </w:rPr>
        <w:t>Cell search</w:t>
      </w:r>
      <w:r>
        <w:rPr>
          <w:rFonts w:hint="eastAsia" w:eastAsia="宋体"/>
          <w:highlight w:val="none"/>
          <w:lang w:val="en-US" w:eastAsia="zh-CN"/>
        </w:rPr>
        <w:t xml:space="preserve">, </w:t>
      </w:r>
      <w:r>
        <w:rPr>
          <w:highlight w:val="none"/>
          <w:lang w:eastAsia="ja-JP"/>
        </w:rPr>
        <w:t>SSB processing marg</w:t>
      </w:r>
      <w:r>
        <w:rPr>
          <w:bCs/>
          <w:color w:val="000000" w:themeColor="text1"/>
          <w:lang w:val="en-US" w:eastAsia="ja-JP"/>
          <w14:textFill>
            <w14:solidFill>
              <w14:schemeClr w14:val="tx1"/>
            </w14:solidFill>
          </w14:textFill>
        </w:rPr>
        <w:t>in</w:t>
      </w:r>
      <w:r>
        <w:rPr>
          <w:rFonts w:hint="eastAsia"/>
          <w:bCs/>
          <w:color w:val="000000" w:themeColor="text1"/>
          <w:lang w:val="en-US" w:eastAsia="zh-CN"/>
          <w14:textFill>
            <w14:solidFill>
              <w14:schemeClr w14:val="tx1"/>
            </w14:solidFill>
          </w14:textFill>
        </w:rPr>
        <w:t xml:space="preserve"> and f</w:t>
      </w:r>
      <w:r>
        <w:rPr>
          <w:bCs/>
          <w:color w:val="000000" w:themeColor="text1"/>
          <w:lang w:val="en-US" w:eastAsia="ja-JP"/>
          <w14:textFill>
            <w14:solidFill>
              <w14:schemeClr w14:val="tx1"/>
            </w14:solidFill>
          </w14:textFill>
        </w:rPr>
        <w:t>ine time/frequency tracking and acquiring timing information for PCell</w:t>
      </w:r>
      <w:r>
        <w:rPr>
          <w:rFonts w:hint="eastAsia"/>
          <w:bCs/>
          <w:color w:val="000000" w:themeColor="text1"/>
          <w:lang w:val="en-US" w:eastAsia="zh-CN"/>
          <w14:textFill>
            <w14:solidFill>
              <w14:schemeClr w14:val="tx1"/>
            </w14:solidFill>
          </w14:textFill>
        </w:rPr>
        <w:t xml:space="preserve">, it is  possible for an UE to start RF </w:t>
      </w:r>
      <w:r>
        <w:rPr>
          <w:color w:val="auto"/>
        </w:rPr>
        <w:t>processing</w:t>
      </w:r>
      <w:r>
        <w:rPr>
          <w:rFonts w:hint="eastAsia" w:eastAsia="宋体"/>
          <w:color w:val="auto"/>
          <w:lang w:val="en-US" w:eastAsia="zh-CN"/>
        </w:rPr>
        <w:t xml:space="preserve"> on PSCell in </w:t>
      </w:r>
      <w:r>
        <w:rPr>
          <w:bCs/>
          <w:color w:val="000000" w:themeColor="text1"/>
          <w:lang w:val="en-US"/>
          <w14:textFill>
            <w14:solidFill>
              <w14:schemeClr w14:val="tx1"/>
            </w14:solidFill>
          </w14:textFill>
        </w:rPr>
        <w:t>parall</w:t>
      </w:r>
      <w:r>
        <w:rPr>
          <w:rFonts w:hint="eastAsia" w:eastAsia="宋体"/>
          <w:bCs/>
          <w:color w:val="000000" w:themeColor="text1"/>
          <w:lang w:val="en-US" w:eastAsia="zh-CN"/>
          <w14:textFill>
            <w14:solidFill>
              <w14:schemeClr w14:val="tx1"/>
            </w14:solidFill>
          </w14:textFill>
        </w:rPr>
        <w:t>e</w:t>
      </w:r>
      <w:r>
        <w:rPr>
          <w:bCs/>
          <w:color w:val="000000" w:themeColor="text1"/>
          <w:lang w:val="en-US"/>
          <w14:textFill>
            <w14:solidFill>
              <w14:schemeClr w14:val="tx1"/>
            </w14:solidFill>
          </w14:textFill>
        </w:rPr>
        <w:t>l</w:t>
      </w:r>
      <w:r>
        <w:rPr>
          <w:rFonts w:hint="eastAsia" w:eastAsia="宋体"/>
          <w:bCs/>
          <w:color w:val="000000" w:themeColor="text1"/>
          <w:lang w:val="en-US" w:eastAsia="zh-CN"/>
          <w14:textFill>
            <w14:solidFill>
              <w14:schemeClr w14:val="tx1"/>
            </w14:solidFill>
          </w14:textFill>
        </w:rPr>
        <w:t xml:space="preserve"> with PCell.</w:t>
      </w:r>
    </w:p>
    <w:p>
      <w:pPr>
        <w:numPr>
          <w:ilvl w:val="0"/>
          <w:numId w:val="0"/>
        </w:numPr>
        <w:spacing w:after="120" w:line="259" w:lineRule="auto"/>
        <w:jc w:val="both"/>
        <w:rPr>
          <w:b/>
          <w:bCs/>
          <w:color w:val="000000" w:themeColor="text1"/>
          <w:lang w:val="en-US"/>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Proposal 1:</w:t>
      </w:r>
      <w:r>
        <w:rPr>
          <w:rFonts w:hint="eastAsia" w:eastAsia="宋体"/>
          <w:b w:val="0"/>
          <w:bCs w:val="0"/>
          <w:color w:val="000000" w:themeColor="text1"/>
          <w:szCs w:val="18"/>
          <w:lang w:val="en-US" w:eastAsia="zh-CN"/>
          <w14:textFill>
            <w14:solidFill>
              <w14:schemeClr w14:val="tx1"/>
            </w14:solidFill>
          </w14:textFill>
        </w:rPr>
        <w:t xml:space="preserve"> </w:t>
      </w:r>
      <w:r>
        <w:rPr>
          <w:b/>
          <w:bCs/>
          <w:color w:val="000000" w:themeColor="text1"/>
          <w:lang w:val="en-US"/>
          <w14:textFill>
            <w14:solidFill>
              <w14:schemeClr w14:val="tx1"/>
            </w14:solidFill>
          </w14:textFill>
        </w:rPr>
        <w:t>For both parallel processing cases and sequential processing cases, UE SW processing and RF warm-up for PCell handover and PSCell addition/change are performed in parallel.</w:t>
      </w:r>
    </w:p>
    <w:p>
      <w:pPr>
        <w:numPr>
          <w:ilvl w:val="0"/>
          <w:numId w:val="0"/>
        </w:numPr>
        <w:spacing w:after="120" w:line="259" w:lineRule="auto"/>
        <w:jc w:val="both"/>
        <w:rPr>
          <w:b/>
          <w:bCs/>
          <w:color w:val="000000" w:themeColor="text1"/>
          <w:lang w:val="en-US" w:eastAsia="zh-CN"/>
          <w14:textFill>
            <w14:solidFill>
              <w14:schemeClr w14:val="tx1"/>
            </w14:solidFill>
          </w14:textFill>
        </w:rPr>
      </w:pP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2-3-2b: Interruption requirements on PCell due to PSCell RF retuning</w:t>
            </w:r>
          </w:p>
          <w:p>
            <w:pPr>
              <w:numPr>
                <w:ilvl w:val="0"/>
                <w:numId w:val="7"/>
              </w:numPr>
              <w:spacing w:after="120" w:line="259" w:lineRule="auto"/>
              <w:ind w:left="72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numPr>
                <w:ilvl w:val="1"/>
                <w:numId w:val="7"/>
              </w:numPr>
              <w:spacing w:after="120" w:line="259" w:lineRule="auto"/>
              <w:jc w:val="both"/>
              <w:rPr>
                <w:rFonts w:ascii="Times" w:hAnsi="Times" w:cs="Times"/>
                <w:color w:val="000000" w:themeColor="text1"/>
                <w:lang w:val="en-US" w:eastAsia="zh-CN"/>
                <w14:textFill>
                  <w14:solidFill>
                    <w14:schemeClr w14:val="tx1"/>
                  </w14:solidFill>
                </w14:textFill>
              </w:rPr>
            </w:pPr>
            <w:r>
              <w:rPr>
                <w:rFonts w:hint="eastAsia" w:ascii="Times" w:hAnsi="Times" w:cs="Times" w:eastAsiaTheme="minorEastAsia"/>
                <w:color w:val="000000" w:themeColor="text1"/>
                <w:lang w:val="en-US" w:eastAsia="zh-CN"/>
                <w14:textFill>
                  <w14:solidFill>
                    <w14:schemeClr w14:val="tx1"/>
                  </w14:solidFill>
                </w14:textFill>
              </w:rPr>
              <w:t xml:space="preserve">Option </w:t>
            </w:r>
            <w:r>
              <w:rPr>
                <w:rFonts w:ascii="Times" w:hAnsi="Times" w:cs="Times" w:eastAsiaTheme="minorEastAsia"/>
                <w:color w:val="000000" w:themeColor="text1"/>
                <w:lang w:val="en-US" w:eastAsia="zh-CN"/>
                <w14:textFill>
                  <w14:solidFill>
                    <w14:schemeClr w14:val="tx1"/>
                  </w14:solidFill>
                </w14:textFill>
              </w:rPr>
              <w:t>1 (Nokia, MTK, Ericsson, Huawei, Qualcomm, Intel, vivo, CATT, MTK)</w:t>
            </w:r>
          </w:p>
          <w:p>
            <w:pPr>
              <w:numPr>
                <w:ilvl w:val="2"/>
                <w:numId w:val="7"/>
              </w:numPr>
              <w:spacing w:after="120" w:line="259" w:lineRule="auto"/>
              <w:jc w:val="both"/>
              <w:rPr>
                <w:rFonts w:ascii="Times" w:hAnsi="Times" w:cs="Times"/>
                <w:color w:val="000000" w:themeColor="text1"/>
                <w:lang w:val="en-US" w:eastAsia="zh-CN"/>
                <w14:textFill>
                  <w14:solidFill>
                    <w14:schemeClr w14:val="tx1"/>
                  </w14:solidFill>
                </w14:textFill>
              </w:rPr>
            </w:pPr>
            <w:r>
              <w:rPr>
                <w:rFonts w:ascii="Times" w:hAnsi="Times" w:cs="Times"/>
                <w:color w:val="000000" w:themeColor="text1"/>
                <w:lang w:val="en-US" w:eastAsia="zh-CN"/>
                <w14:textFill>
                  <w14:solidFill>
                    <w14:schemeClr w14:val="tx1"/>
                  </w14:solidFill>
                </w14:textFill>
              </w:rPr>
              <w:t xml:space="preserve">No </w:t>
            </w:r>
            <w:r>
              <w:t xml:space="preserve">additional </w:t>
            </w:r>
            <w:r>
              <w:rPr>
                <w:rFonts w:ascii="Times" w:hAnsi="Times" w:cs="Times"/>
                <w:color w:val="000000" w:themeColor="text1"/>
                <w:lang w:val="en-US" w:eastAsia="zh-CN"/>
                <w14:textFill>
                  <w14:solidFill>
                    <w14:schemeClr w14:val="tx1"/>
                  </w14:solidFill>
                </w14:textFill>
              </w:rPr>
              <w:t>interruption requirements should be defined during HO with PSCell</w:t>
            </w:r>
          </w:p>
          <w:p>
            <w:pPr>
              <w:numPr>
                <w:ilvl w:val="1"/>
                <w:numId w:val="7"/>
              </w:numPr>
              <w:spacing w:after="120" w:line="259" w:lineRule="auto"/>
              <w:jc w:val="both"/>
              <w:rPr>
                <w:rFonts w:ascii="Times" w:hAnsi="Times" w:cs="Times"/>
                <w:color w:val="000000" w:themeColor="text1"/>
                <w:lang w:val="en-US" w:eastAsia="zh-CN"/>
                <w14:textFill>
                  <w14:solidFill>
                    <w14:schemeClr w14:val="tx1"/>
                  </w14:solidFill>
                </w14:textFill>
              </w:rPr>
            </w:pPr>
            <w:r>
              <w:rPr>
                <w:rFonts w:ascii="Times" w:hAnsi="Times" w:cs="Times"/>
                <w:color w:val="000000" w:themeColor="text1"/>
                <w:lang w:val="en-US" w:eastAsia="zh-CN"/>
                <w14:textFill>
                  <w14:solidFill>
                    <w14:schemeClr w14:val="tx1"/>
                  </w14:solidFill>
                </w14:textFill>
              </w:rPr>
              <w:t>Option 2 (Apple, Xiaomi, OPPO)</w:t>
            </w:r>
          </w:p>
          <w:p>
            <w:pPr>
              <w:numPr>
                <w:ilvl w:val="2"/>
                <w:numId w:val="7"/>
              </w:numPr>
              <w:spacing w:after="120" w:line="259" w:lineRule="auto"/>
              <w:jc w:val="both"/>
              <w:rPr>
                <w:rFonts w:ascii="Times" w:hAnsi="Times" w:cs="Times"/>
                <w:color w:val="000000" w:themeColor="text1"/>
                <w:lang w:val="en-US" w:eastAsia="zh-CN"/>
                <w14:textFill>
                  <w14:solidFill>
                    <w14:schemeClr w14:val="tx1"/>
                  </w14:solidFill>
                </w14:textFill>
              </w:rPr>
            </w:pPr>
            <w:r>
              <w:rPr>
                <w:rFonts w:ascii="Times" w:hAnsi="Times" w:cs="Times"/>
                <w:color w:val="000000" w:themeColor="text1"/>
                <w:lang w:val="en-US" w:eastAsia="zh-CN"/>
                <w14:textFill>
                  <w14:solidFill>
                    <w14:schemeClr w14:val="tx1"/>
                  </w14:solidFill>
                </w14:textFill>
              </w:rPr>
              <w:t xml:space="preserve">If sequential processing is used for HO with PSCell, UE may have an interruption on new PCell due to the PSCell addition. </w:t>
            </w:r>
          </w:p>
          <w:p>
            <w:pPr>
              <w:numPr>
                <w:ilvl w:val="2"/>
                <w:numId w:val="7"/>
              </w:numPr>
              <w:spacing w:after="120" w:line="259" w:lineRule="auto"/>
              <w:jc w:val="both"/>
              <w:rPr>
                <w:rFonts w:ascii="Times" w:hAnsi="Times" w:cs="Times"/>
                <w:color w:val="000000" w:themeColor="text1"/>
                <w:lang w:val="en-US" w:eastAsia="zh-CN"/>
                <w14:textFill>
                  <w14:solidFill>
                    <w14:schemeClr w14:val="tx1"/>
                  </w14:solidFill>
                </w14:textFill>
              </w:rPr>
            </w:pPr>
            <w:r>
              <w:rPr>
                <w:rFonts w:ascii="Times" w:hAnsi="Times" w:cs="Times"/>
                <w:color w:val="000000" w:themeColor="text1"/>
                <w:lang w:val="en-US" w:eastAsia="zh-CN"/>
                <w14:textFill>
                  <w14:solidFill>
                    <w14:schemeClr w14:val="tx1"/>
                  </w14:solidFill>
                </w14:textFill>
              </w:rPr>
              <w:t>If parallel processing is used for HO with PSCell, no need to define interruption requirement.</w:t>
            </w:r>
          </w:p>
          <w:p>
            <w:pPr>
              <w:numPr>
                <w:ilvl w:val="0"/>
                <w:numId w:val="0"/>
              </w:numPr>
              <w:spacing w:after="120" w:line="259" w:lineRule="auto"/>
              <w:ind w:left="1440" w:leftChars="0"/>
              <w:jc w:val="both"/>
            </w:pPr>
          </w:p>
        </w:tc>
      </w:tr>
    </w:tbl>
    <w:p>
      <w:pPr>
        <w:numPr>
          <w:ilvl w:val="0"/>
          <w:numId w:val="0"/>
        </w:numPr>
        <w:spacing w:after="120" w:line="259" w:lineRule="auto"/>
        <w:jc w:val="both"/>
        <w:rPr>
          <w:rFonts w:hint="eastAsia" w:eastAsia="宋体"/>
          <w:color w:val="auto"/>
          <w:lang w:val="en-US" w:eastAsia="zh-CN"/>
        </w:rPr>
      </w:pPr>
    </w:p>
    <w:p>
      <w:pPr>
        <w:numPr>
          <w:ilvl w:val="0"/>
          <w:numId w:val="0"/>
        </w:numPr>
        <w:spacing w:after="120" w:line="259" w:lineRule="auto"/>
        <w:jc w:val="both"/>
        <w:rPr>
          <w:rFonts w:hint="default" w:ascii="Times" w:hAnsi="Times" w:cs="Times"/>
          <w:color w:val="000000" w:themeColor="text1"/>
          <w:lang w:val="en-US" w:eastAsia="zh-CN"/>
          <w14:textFill>
            <w14:solidFill>
              <w14:schemeClr w14:val="tx1"/>
            </w14:solidFill>
          </w14:textFill>
        </w:rPr>
      </w:pPr>
      <w:r>
        <w:rPr>
          <w:rFonts w:hint="eastAsia" w:eastAsia="宋体"/>
          <w:color w:val="auto"/>
          <w:lang w:val="en-US" w:eastAsia="zh-CN"/>
        </w:rPr>
        <w:t xml:space="preserve">Though PSCell addition may start later than PCell HO in </w:t>
      </w:r>
      <w:r>
        <w:rPr>
          <w:bCs/>
          <w:color w:val="000000" w:themeColor="text1"/>
          <w:lang w:val="en-US"/>
          <w14:textFill>
            <w14:solidFill>
              <w14:schemeClr w14:val="tx1"/>
            </w14:solidFill>
          </w14:textFill>
        </w:rPr>
        <w:t>sequential processing case</w:t>
      </w:r>
      <w:r>
        <w:rPr>
          <w:rFonts w:hint="eastAsia" w:eastAsia="宋体"/>
          <w:color w:val="auto"/>
          <w:lang w:val="en-US" w:eastAsia="zh-CN"/>
        </w:rPr>
        <w:t xml:space="preserve">, it is possible for an UE to </w:t>
      </w:r>
      <w:r>
        <w:rPr>
          <w:rFonts w:hint="eastAsia"/>
          <w:bCs/>
          <w:color w:val="000000" w:themeColor="text1"/>
          <w:lang w:val="en-US" w:eastAsia="zh-CN"/>
          <w14:textFill>
            <w14:solidFill>
              <w14:schemeClr w14:val="tx1"/>
            </w14:solidFill>
          </w14:textFill>
        </w:rPr>
        <w:t xml:space="preserve">start RF </w:t>
      </w:r>
      <w:r>
        <w:rPr>
          <w:color w:val="auto"/>
        </w:rPr>
        <w:t>processing</w:t>
      </w:r>
      <w:r>
        <w:rPr>
          <w:rFonts w:hint="eastAsia" w:eastAsia="宋体"/>
          <w:color w:val="auto"/>
          <w:lang w:val="en-US" w:eastAsia="zh-CN"/>
        </w:rPr>
        <w:t xml:space="preserve"> on PSCell in </w:t>
      </w:r>
      <w:r>
        <w:rPr>
          <w:bCs/>
          <w:color w:val="000000" w:themeColor="text1"/>
          <w:lang w:val="en-US"/>
          <w14:textFill>
            <w14:solidFill>
              <w14:schemeClr w14:val="tx1"/>
            </w14:solidFill>
          </w14:textFill>
        </w:rPr>
        <w:t>parall</w:t>
      </w:r>
      <w:r>
        <w:rPr>
          <w:rFonts w:hint="eastAsia" w:eastAsia="宋体"/>
          <w:bCs/>
          <w:color w:val="000000" w:themeColor="text1"/>
          <w:lang w:val="en-US" w:eastAsia="zh-CN"/>
          <w14:textFill>
            <w14:solidFill>
              <w14:schemeClr w14:val="tx1"/>
            </w14:solidFill>
          </w14:textFill>
        </w:rPr>
        <w:t>e</w:t>
      </w:r>
      <w:r>
        <w:rPr>
          <w:bCs/>
          <w:color w:val="000000" w:themeColor="text1"/>
          <w:lang w:val="en-US"/>
          <w14:textFill>
            <w14:solidFill>
              <w14:schemeClr w14:val="tx1"/>
            </w14:solidFill>
          </w14:textFill>
        </w:rPr>
        <w:t>l</w:t>
      </w:r>
      <w:r>
        <w:rPr>
          <w:rFonts w:hint="eastAsia" w:eastAsia="宋体"/>
          <w:bCs/>
          <w:color w:val="000000" w:themeColor="text1"/>
          <w:lang w:val="en-US" w:eastAsia="zh-CN"/>
          <w14:textFill>
            <w14:solidFill>
              <w14:schemeClr w14:val="tx1"/>
            </w14:solidFill>
          </w14:textFill>
        </w:rPr>
        <w:t xml:space="preserve"> with PCell in </w:t>
      </w:r>
      <w:r>
        <w:rPr>
          <w:bCs/>
          <w:color w:val="000000" w:themeColor="text1"/>
          <w:lang w:val="en-US"/>
          <w14:textFill>
            <w14:solidFill>
              <w14:schemeClr w14:val="tx1"/>
            </w14:solidFill>
          </w14:textFill>
        </w:rPr>
        <w:t>sequential processing cases</w:t>
      </w:r>
      <w:r>
        <w:rPr>
          <w:rFonts w:hint="eastAsia" w:eastAsia="宋体"/>
          <w:bCs/>
          <w:color w:val="000000" w:themeColor="text1"/>
          <w:lang w:val="en-US" w:eastAsia="zh-CN"/>
          <w14:textFill>
            <w14:solidFill>
              <w14:schemeClr w14:val="tx1"/>
            </w14:solidFill>
          </w14:textFill>
        </w:rPr>
        <w:t xml:space="preserve">. Thus the existing </w:t>
      </w:r>
      <w:r>
        <w:rPr>
          <w:rFonts w:ascii="Times" w:hAnsi="Times" w:cs="Times"/>
          <w:color w:val="000000" w:themeColor="text1"/>
          <w:lang w:val="en-US" w:eastAsia="zh-CN"/>
          <w14:textFill>
            <w14:solidFill>
              <w14:schemeClr w14:val="tx1"/>
            </w14:solidFill>
          </w14:textFill>
        </w:rPr>
        <w:t>interruption</w:t>
      </w:r>
      <w:r>
        <w:rPr>
          <w:rFonts w:hint="eastAsia" w:ascii="Times" w:hAnsi="Times" w:cs="Times"/>
          <w:color w:val="000000" w:themeColor="text1"/>
          <w:lang w:val="en-US" w:eastAsia="zh-CN"/>
          <w14:textFill>
            <w14:solidFill>
              <w14:schemeClr w14:val="tx1"/>
            </w14:solidFill>
          </w14:textFill>
        </w:rPr>
        <w:t xml:space="preserve"> </w:t>
      </w:r>
      <w:r>
        <w:rPr>
          <w:rFonts w:hint="eastAsia" w:eastAsia="宋体"/>
          <w:bCs/>
          <w:color w:val="000000" w:themeColor="text1"/>
          <w:lang w:val="en-US" w:eastAsia="zh-CN"/>
          <w14:textFill>
            <w14:solidFill>
              <w14:schemeClr w14:val="tx1"/>
            </w14:solidFill>
          </w14:textFill>
        </w:rPr>
        <w:t xml:space="preserve">requirement could be reused. </w:t>
      </w:r>
      <w:r>
        <w:rPr>
          <w:rFonts w:ascii="Times" w:hAnsi="Times" w:cs="Times"/>
          <w:color w:val="000000" w:themeColor="text1"/>
          <w:lang w:val="en-US" w:eastAsia="zh-CN"/>
          <w14:textFill>
            <w14:solidFill>
              <w14:schemeClr w14:val="tx1"/>
            </w14:solidFill>
          </w14:textFill>
        </w:rPr>
        <w:t xml:space="preserve">No </w:t>
      </w:r>
      <w:r>
        <w:t xml:space="preserve">additional </w:t>
      </w:r>
      <w:r>
        <w:rPr>
          <w:rFonts w:ascii="Times" w:hAnsi="Times" w:cs="Times"/>
          <w:color w:val="000000" w:themeColor="text1"/>
          <w:lang w:val="en-US" w:eastAsia="zh-CN"/>
          <w14:textFill>
            <w14:solidFill>
              <w14:schemeClr w14:val="tx1"/>
            </w14:solidFill>
          </w14:textFill>
        </w:rPr>
        <w:t>interruption requirements should be defined during HO with PSCell</w:t>
      </w:r>
      <w:r>
        <w:rPr>
          <w:rFonts w:hint="eastAsia" w:ascii="Times" w:hAnsi="Times" w:cs="Times"/>
          <w:color w:val="000000" w:themeColor="text1"/>
          <w:lang w:val="en-US" w:eastAsia="zh-CN"/>
          <w14:textFill>
            <w14:solidFill>
              <w14:schemeClr w14:val="tx1"/>
            </w14:solidFill>
          </w14:textFill>
        </w:rPr>
        <w:t>.</w:t>
      </w:r>
    </w:p>
    <w:p>
      <w:pPr>
        <w:rPr>
          <w:rFonts w:hint="eastAsia" w:ascii="Times" w:hAnsi="Times" w:cs="Times"/>
          <w:b/>
          <w:bCs/>
          <w:color w:val="000000" w:themeColor="text1"/>
          <w:lang w:val="en-US"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 xml:space="preserve">Proposal 2: </w:t>
      </w:r>
      <w:r>
        <w:rPr>
          <w:rFonts w:ascii="Times" w:hAnsi="Times" w:cs="Times"/>
          <w:b/>
          <w:bCs/>
          <w:color w:val="000000" w:themeColor="text1"/>
          <w:lang w:val="en-US" w:eastAsia="zh-CN"/>
          <w14:textFill>
            <w14:solidFill>
              <w14:schemeClr w14:val="tx1"/>
            </w14:solidFill>
          </w14:textFill>
        </w:rPr>
        <w:t xml:space="preserve">No </w:t>
      </w:r>
      <w:r>
        <w:rPr>
          <w:b/>
          <w:bCs/>
        </w:rPr>
        <w:t xml:space="preserve">additional </w:t>
      </w:r>
      <w:r>
        <w:rPr>
          <w:rFonts w:ascii="Times" w:hAnsi="Times" w:cs="Times"/>
          <w:b/>
          <w:bCs/>
          <w:color w:val="000000" w:themeColor="text1"/>
          <w:lang w:val="en-US" w:eastAsia="zh-CN"/>
          <w14:textFill>
            <w14:solidFill>
              <w14:schemeClr w14:val="tx1"/>
            </w14:solidFill>
          </w14:textFill>
        </w:rPr>
        <w:t>interruption requirements should be defined during HO with PSCell</w:t>
      </w:r>
      <w:r>
        <w:rPr>
          <w:rFonts w:hint="eastAsia" w:ascii="Times" w:hAnsi="Times" w:cs="Times"/>
          <w:b/>
          <w:bCs/>
          <w:color w:val="000000" w:themeColor="text1"/>
          <w:lang w:val="en-US" w:eastAsia="zh-CN"/>
          <w14:textFill>
            <w14:solidFill>
              <w14:schemeClr w14:val="tx1"/>
            </w14:solidFill>
          </w14:textFill>
        </w:rPr>
        <w:t>.</w:t>
      </w:r>
    </w:p>
    <w:p>
      <w:pPr>
        <w:rPr>
          <w:rFonts w:hint="default" w:ascii="Times" w:hAnsi="Times" w:cs="Times"/>
          <w:b/>
          <w:bCs/>
          <w:color w:val="000000" w:themeColor="text1"/>
          <w:lang w:val="en-US" w:eastAsia="zh-CN"/>
          <w14:textFill>
            <w14:solidFill>
              <w14:schemeClr w14:val="tx1"/>
            </w14:solidFill>
          </w14:textFill>
        </w:rPr>
      </w:pP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2-4-1: 2 step and 4 step RACH for HO with PSCell</w:t>
            </w:r>
          </w:p>
          <w:p>
            <w:pPr>
              <w:numPr>
                <w:ilvl w:val="0"/>
                <w:numId w:val="7"/>
              </w:numPr>
              <w:spacing w:after="120" w:line="259" w:lineRule="auto"/>
              <w:ind w:left="72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numPr>
                <w:ilvl w:val="1"/>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Option 1b (CATT, vivo, Nokia, Ericsson, Intel, ZTE): </w:t>
            </w:r>
          </w:p>
          <w:p>
            <w:pPr>
              <w:numPr>
                <w:ilvl w:val="2"/>
                <w:numId w:val="7"/>
              </w:numPr>
              <w:spacing w:after="120" w:line="259" w:lineRule="auto"/>
              <w:jc w:val="both"/>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The requirements defined for handover with PSCell will be applied both 2-step RA and 4-step RA. No need to mention it in the specification.</w:t>
            </w:r>
          </w:p>
          <w:p>
            <w:pPr>
              <w:numPr>
                <w:ilvl w:val="1"/>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1c (A</w:t>
            </w:r>
            <w:r>
              <w:rPr>
                <w:rFonts w:hint="eastAsia"/>
                <w:color w:val="000000" w:themeColor="text1"/>
                <w:szCs w:val="24"/>
                <w:lang w:eastAsia="zh-CN"/>
                <w14:textFill>
                  <w14:solidFill>
                    <w14:schemeClr w14:val="tx1"/>
                  </w14:solidFill>
                </w14:textFill>
              </w:rPr>
              <w:t>pple</w:t>
            </w:r>
            <w:r>
              <w:rPr>
                <w:color w:val="000000" w:themeColor="text1"/>
                <w:szCs w:val="24"/>
                <w:lang w:eastAsia="zh-CN"/>
                <w14:textFill>
                  <w14:solidFill>
                    <w14:schemeClr w14:val="tx1"/>
                  </w14:solidFill>
                </w14:textFill>
              </w:rPr>
              <w:t xml:space="preserve">, Xiaomi, Intel, Nokia, vivo, ZTE, MTK): </w:t>
            </w:r>
          </w:p>
          <w:p>
            <w:pPr>
              <w:numPr>
                <w:ilvl w:val="2"/>
                <w:numId w:val="7"/>
              </w:numPr>
              <w:spacing w:after="120" w:line="259" w:lineRule="auto"/>
              <w:jc w:val="both"/>
              <w:rPr>
                <w:rFonts w:ascii="Times" w:hAnsi="Times" w:cs="Times"/>
                <w:color w:val="000000" w:themeColor="text1"/>
                <w:lang w:val="en-US" w:eastAsia="zh-CN"/>
                <w14:textFill>
                  <w14:solidFill>
                    <w14:schemeClr w14:val="tx1"/>
                  </w14:solidFill>
                </w14:textFill>
              </w:rPr>
            </w:pPr>
            <w:r>
              <w:rPr>
                <w:rFonts w:ascii="Times" w:hAnsi="Times" w:cs="Times"/>
                <w:color w:val="000000" w:themeColor="text1"/>
                <w:lang w:val="en-US" w:eastAsia="zh-CN"/>
                <w14:textFill>
                  <w14:solidFill>
                    <w14:schemeClr w14:val="tx1"/>
                  </w14:solidFill>
                </w14:textFill>
              </w:rPr>
              <w:t>No need to mention 2-step RA or 4-step RA in the requirement of HO with PSCell.</w:t>
            </w:r>
          </w:p>
          <w:p>
            <w:pPr>
              <w:numPr>
                <w:ilvl w:val="1"/>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2 (A</w:t>
            </w:r>
            <w:r>
              <w:rPr>
                <w:rFonts w:hint="eastAsia"/>
                <w:color w:val="000000" w:themeColor="text1"/>
                <w:szCs w:val="24"/>
                <w:lang w:eastAsia="zh-CN"/>
                <w14:textFill>
                  <w14:solidFill>
                    <w14:schemeClr w14:val="tx1"/>
                  </w14:solidFill>
                </w14:textFill>
              </w:rPr>
              <w:t>pple</w:t>
            </w:r>
            <w:r>
              <w:rPr>
                <w:color w:val="000000" w:themeColor="text1"/>
                <w:szCs w:val="24"/>
                <w:lang w:eastAsia="zh-CN"/>
                <w14:textFill>
                  <w14:solidFill>
                    <w14:schemeClr w14:val="tx1"/>
                  </w14:solidFill>
                </w14:textFill>
              </w:rPr>
              <w:t xml:space="preserve">, Qualcomm, OPPO, MTK): </w:t>
            </w:r>
          </w:p>
          <w:p>
            <w:pPr>
              <w:numPr>
                <w:ilvl w:val="2"/>
                <w:numId w:val="7"/>
              </w:numPr>
              <w:spacing w:after="120" w:line="259" w:lineRule="auto"/>
              <w:jc w:val="both"/>
            </w:pPr>
            <w:r>
              <w:rPr>
                <w:color w:val="000000" w:themeColor="text1"/>
                <w:szCs w:val="24"/>
                <w:lang w:eastAsia="zh-CN"/>
                <w14:textFill>
                  <w14:solidFill>
                    <w14:schemeClr w14:val="tx1"/>
                  </w14:solidFill>
                </w14:textFill>
              </w:rPr>
              <w:t>For requirement of HO with PSCell, RAN4 starts the discussion with 4 step RACH first and FFS on 2 step RACH.</w:t>
            </w:r>
          </w:p>
        </w:tc>
      </w:tr>
    </w:tbl>
    <w:p>
      <w:pPr>
        <w:rPr>
          <w:rFonts w:hint="default" w:eastAsia="宋体"/>
          <w:color w:val="auto"/>
          <w:lang w:val="en-US" w:eastAsia="zh-CN"/>
        </w:rPr>
      </w:pPr>
    </w:p>
    <w:p>
      <w:pPr>
        <w:numPr>
          <w:ilvl w:val="0"/>
          <w:numId w:val="0"/>
        </w:numPr>
        <w:spacing w:after="120" w:line="259" w:lineRule="auto"/>
        <w:jc w:val="both"/>
        <w:rPr>
          <w:rFonts w:hint="eastAsia" w:ascii="Times" w:hAnsi="Times" w:cs="Times"/>
          <w:color w:val="000000" w:themeColor="text1"/>
          <w:lang w:val="en-US" w:eastAsia="zh-CN"/>
          <w14:textFill>
            <w14:solidFill>
              <w14:schemeClr w14:val="tx1"/>
            </w14:solidFill>
          </w14:textFill>
        </w:rPr>
      </w:pPr>
      <w:r>
        <w:rPr>
          <w:rFonts w:hint="eastAsia"/>
          <w:b w:val="0"/>
          <w:bCs w:val="0"/>
          <w:lang w:val="en-US" w:eastAsia="zh-CN"/>
        </w:rPr>
        <w:t>In our view, option 1b and 1c are very similar, both of them suggest that n</w:t>
      </w:r>
      <w:r>
        <w:rPr>
          <w:rFonts w:ascii="Times" w:hAnsi="Times" w:cs="Times"/>
          <w:color w:val="000000" w:themeColor="text1"/>
          <w:lang w:val="en-US" w:eastAsia="zh-CN"/>
          <w14:textFill>
            <w14:solidFill>
              <w14:schemeClr w14:val="tx1"/>
            </w14:solidFill>
          </w14:textFill>
        </w:rPr>
        <w:t>o need to mention 2-step RA or 4-step RA in the requirement of HO with PSCell.</w:t>
      </w:r>
      <w:r>
        <w:rPr>
          <w:rFonts w:hint="eastAsia" w:ascii="Times" w:hAnsi="Times" w:cs="Times"/>
          <w:color w:val="000000" w:themeColor="text1"/>
          <w:lang w:val="en-US" w:eastAsia="zh-CN"/>
          <w14:textFill>
            <w14:solidFill>
              <w14:schemeClr w14:val="tx1"/>
            </w14:solidFill>
          </w14:textFill>
        </w:rPr>
        <w:t xml:space="preserve"> It means to define the requirement regardless the specific type of RA. </w:t>
      </w:r>
    </w:p>
    <w:p>
      <w:pPr>
        <w:numPr>
          <w:ilvl w:val="0"/>
          <w:numId w:val="0"/>
        </w:numPr>
        <w:spacing w:after="120" w:line="259" w:lineRule="auto"/>
        <w:jc w:val="both"/>
        <w:rPr>
          <w:rFonts w:hint="default" w:eastAsia="宋体"/>
          <w:color w:val="auto"/>
          <w:sz w:val="20"/>
          <w:szCs w:val="20"/>
          <w:lang w:val="en-US" w:eastAsia="zh-CN"/>
        </w:rPr>
      </w:pPr>
      <w:r>
        <w:rPr>
          <w:rFonts w:hint="eastAsia" w:eastAsia="宋体"/>
          <w:sz w:val="20"/>
          <w:szCs w:val="20"/>
          <w:lang w:val="en-US" w:eastAsia="zh-CN"/>
        </w:rPr>
        <w:t xml:space="preserve">The ending points </w:t>
      </w:r>
      <w:r>
        <w:rPr>
          <w:rFonts w:hint="eastAsia"/>
          <w:sz w:val="20"/>
          <w:szCs w:val="20"/>
          <w:lang w:val="en-US" w:eastAsia="ja-JP"/>
        </w:rPr>
        <w:t xml:space="preserve">for HO </w:t>
      </w:r>
      <w:r>
        <w:rPr>
          <w:rFonts w:hint="eastAsia" w:eastAsia="宋体"/>
          <w:sz w:val="20"/>
          <w:szCs w:val="20"/>
          <w:lang w:val="en-US" w:eastAsia="zh-CN"/>
        </w:rPr>
        <w:t xml:space="preserve">with </w:t>
      </w:r>
      <w:r>
        <w:rPr>
          <w:rFonts w:hint="eastAsia"/>
          <w:sz w:val="20"/>
          <w:szCs w:val="20"/>
          <w:lang w:val="en-US" w:eastAsia="ja-JP"/>
        </w:rPr>
        <w:t xml:space="preserve">PSCell </w:t>
      </w:r>
      <w:r>
        <w:rPr>
          <w:rFonts w:hint="eastAsia" w:eastAsia="宋体"/>
          <w:sz w:val="20"/>
          <w:szCs w:val="20"/>
          <w:lang w:val="en-US" w:eastAsia="zh-CN"/>
        </w:rPr>
        <w:t>are</w:t>
      </w:r>
      <w:r>
        <w:rPr>
          <w:rFonts w:hint="eastAsia"/>
          <w:sz w:val="20"/>
          <w:szCs w:val="20"/>
          <w:lang w:val="en-US" w:eastAsia="ja-JP"/>
        </w:rPr>
        <w:t xml:space="preserve"> defined as</w:t>
      </w:r>
      <w:r>
        <w:rPr>
          <w:rFonts w:hint="eastAsia"/>
          <w:color w:val="auto"/>
          <w:sz w:val="20"/>
          <w:szCs w:val="20"/>
          <w:lang w:val="en-US" w:eastAsia="ja-JP"/>
        </w:rPr>
        <w:t xml:space="preserve"> PCell PRACH and PSCell PRACH respectively</w:t>
      </w:r>
      <w:r>
        <w:rPr>
          <w:rFonts w:hint="eastAsia" w:eastAsia="宋体"/>
          <w:color w:val="auto"/>
          <w:sz w:val="20"/>
          <w:szCs w:val="20"/>
          <w:lang w:val="en-US" w:eastAsia="zh-CN"/>
        </w:rPr>
        <w:t xml:space="preserve">. The ending point of HO is the transmission of PRACH to the new PCell , and the ending point of PSCell addition is the transmission of PRACH to PSCell. So </w:t>
      </w:r>
      <w:bookmarkStart w:id="4" w:name="_GoBack"/>
      <w:bookmarkEnd w:id="4"/>
      <w:r>
        <w:rPr>
          <w:rFonts w:hint="eastAsia" w:eastAsia="宋体"/>
          <w:color w:val="auto"/>
          <w:sz w:val="20"/>
          <w:szCs w:val="20"/>
          <w:lang w:val="en-US" w:eastAsia="zh-CN"/>
        </w:rPr>
        <w:t xml:space="preserve">the application of </w:t>
      </w:r>
      <w:r>
        <w:rPr>
          <w:rFonts w:ascii="Times" w:hAnsi="Times" w:cs="Times"/>
          <w:color w:val="000000" w:themeColor="text1"/>
          <w:lang w:val="en-US" w:eastAsia="zh-CN"/>
          <w14:textFill>
            <w14:solidFill>
              <w14:schemeClr w14:val="tx1"/>
            </w14:solidFill>
          </w14:textFill>
        </w:rPr>
        <w:t xml:space="preserve">2-step RA </w:t>
      </w:r>
      <w:r>
        <w:rPr>
          <w:rFonts w:hint="eastAsia" w:ascii="Times" w:hAnsi="Times" w:cs="Times"/>
          <w:color w:val="000000" w:themeColor="text1"/>
          <w:lang w:val="en-US" w:eastAsia="zh-CN"/>
          <w14:textFill>
            <w14:solidFill>
              <w14:schemeClr w14:val="tx1"/>
            </w14:solidFill>
          </w14:textFill>
        </w:rPr>
        <w:t>or</w:t>
      </w:r>
      <w:r>
        <w:rPr>
          <w:rFonts w:ascii="Times" w:hAnsi="Times" w:cs="Times"/>
          <w:color w:val="000000" w:themeColor="text1"/>
          <w:lang w:val="en-US" w:eastAsia="zh-CN"/>
          <w14:textFill>
            <w14:solidFill>
              <w14:schemeClr w14:val="tx1"/>
            </w14:solidFill>
          </w14:textFill>
        </w:rPr>
        <w:t xml:space="preserve"> 4-step RA</w:t>
      </w:r>
      <w:r>
        <w:rPr>
          <w:rFonts w:hint="eastAsia" w:ascii="Times" w:hAnsi="Times" w:cs="Times"/>
          <w:color w:val="000000" w:themeColor="text1"/>
          <w:lang w:val="en-US" w:eastAsia="zh-CN"/>
          <w14:textFill>
            <w14:solidFill>
              <w14:schemeClr w14:val="tx1"/>
            </w14:solidFill>
          </w14:textFill>
        </w:rPr>
        <w:t xml:space="preserve"> would not impact the requirement definition.</w:t>
      </w:r>
    </w:p>
    <w:p>
      <w:pPr>
        <w:numPr>
          <w:ilvl w:val="0"/>
          <w:numId w:val="0"/>
        </w:numPr>
        <w:spacing w:after="120" w:line="259" w:lineRule="auto"/>
        <w:jc w:val="both"/>
        <w:rPr>
          <w:color w:val="000000" w:themeColor="text1"/>
          <w:szCs w:val="24"/>
          <w:lang w:eastAsia="zh-CN"/>
          <w14:textFill>
            <w14:solidFill>
              <w14:schemeClr w14:val="tx1"/>
            </w14:solidFill>
          </w14:textFill>
        </w:rPr>
      </w:pPr>
      <w:r>
        <w:rPr>
          <w:rFonts w:hint="eastAsia"/>
          <w:b/>
          <w:bCs/>
          <w:sz w:val="20"/>
          <w:szCs w:val="15"/>
          <w:lang w:val="en-US" w:eastAsia="zh-CN"/>
        </w:rPr>
        <w:t xml:space="preserve">Proposal 3: </w:t>
      </w:r>
      <w:r>
        <w:rPr>
          <w:rFonts w:hint="eastAsia"/>
          <w:b/>
          <w:bCs/>
          <w:color w:val="000000" w:themeColor="text1"/>
          <w:szCs w:val="24"/>
          <w:lang w:eastAsia="zh-CN"/>
          <w14:textFill>
            <w14:solidFill>
              <w14:schemeClr w14:val="tx1"/>
            </w14:solidFill>
          </w14:textFill>
        </w:rPr>
        <w:t xml:space="preserve">No need to mention </w:t>
      </w:r>
      <w:r>
        <w:rPr>
          <w:rFonts w:hint="eastAsia"/>
          <w:b/>
          <w:bCs/>
          <w:color w:val="000000" w:themeColor="text1"/>
          <w:szCs w:val="24"/>
          <w:lang w:val="en-US" w:eastAsia="zh-CN"/>
          <w14:textFill>
            <w14:solidFill>
              <w14:schemeClr w14:val="tx1"/>
            </w14:solidFill>
          </w14:textFill>
        </w:rPr>
        <w:t xml:space="preserve"> 2-step RA or 4-step RA</w:t>
      </w:r>
      <w:r>
        <w:rPr>
          <w:rFonts w:hint="eastAsia"/>
          <w:b/>
          <w:bCs/>
          <w:color w:val="000000" w:themeColor="text1"/>
          <w:szCs w:val="24"/>
          <w:lang w:eastAsia="zh-CN"/>
          <w14:textFill>
            <w14:solidFill>
              <w14:schemeClr w14:val="tx1"/>
            </w14:solidFill>
          </w14:textFill>
        </w:rPr>
        <w:t xml:space="preserve"> </w:t>
      </w:r>
      <w:r>
        <w:rPr>
          <w:rFonts w:hint="eastAsia"/>
          <w:b/>
          <w:bCs/>
          <w:color w:val="000000" w:themeColor="text1"/>
          <w:szCs w:val="24"/>
          <w:lang w:val="en-US" w:eastAsia="zh-CN"/>
          <w14:textFill>
            <w14:solidFill>
              <w14:schemeClr w14:val="tx1"/>
            </w14:solidFill>
          </w14:textFill>
        </w:rPr>
        <w:t>in the requirement of HO with PSCell.</w:t>
      </w:r>
    </w:p>
    <w:p>
      <w:pPr>
        <w:pStyle w:val="37"/>
        <w:numPr>
          <w:ilvl w:val="0"/>
          <w:numId w:val="0"/>
        </w:numPr>
        <w:ind w:leftChars="0"/>
        <w:rPr>
          <w:rFonts w:hint="eastAsia" w:eastAsia="宋体"/>
          <w:sz w:val="20"/>
          <w:szCs w:val="20"/>
          <w:lang w:val="en-US" w:eastAsia="zh-CN"/>
        </w:rPr>
      </w:pP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2-4-2: RACH occasion collision between Pcell and PSCell</w:t>
            </w:r>
          </w:p>
          <w:p>
            <w:pPr>
              <w:numPr>
                <w:ilvl w:val="0"/>
                <w:numId w:val="7"/>
              </w:numPr>
              <w:spacing w:after="120" w:line="259" w:lineRule="auto"/>
              <w:ind w:left="72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numPr>
                <w:ilvl w:val="1"/>
                <w:numId w:val="7"/>
              </w:numPr>
              <w:spacing w:after="120" w:line="259" w:lineRule="auto"/>
              <w:ind w:left="144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Option 1 (Apple, Huawei, MTK, Ericsson): </w:t>
            </w:r>
          </w:p>
          <w:p>
            <w:pPr>
              <w:pStyle w:val="27"/>
              <w:numPr>
                <w:ilvl w:val="2"/>
                <w:numId w:val="7"/>
              </w:numPr>
              <w:spacing w:before="120" w:after="120"/>
              <w:ind w:firstLineChars="0"/>
              <w:rPr>
                <w:color w:val="000000" w:themeColor="text1"/>
                <w:szCs w:val="18"/>
                <w14:textFill>
                  <w14:solidFill>
                    <w14:schemeClr w14:val="tx1"/>
                  </w14:solidFill>
                </w14:textFill>
              </w:rPr>
            </w:pPr>
            <w:r>
              <w:rPr>
                <w:color w:val="000000" w:themeColor="text1"/>
                <w:szCs w:val="18"/>
                <w14:textFill>
                  <w14:solidFill>
                    <w14:schemeClr w14:val="tx1"/>
                  </w14:solidFill>
                </w14:textFill>
              </w:rPr>
              <w:t xml:space="preserve">for FR1+FR1 EN-DC, an additional uncertainty delay due to PSCell RACH collision with PCell UL channels may be introduced if the PSCell RACH cannot be transmitted based on the criteriain TS38.213 section 7.6.1; </w:t>
            </w:r>
          </w:p>
          <w:p>
            <w:pPr>
              <w:pStyle w:val="27"/>
              <w:numPr>
                <w:ilvl w:val="2"/>
                <w:numId w:val="7"/>
              </w:numPr>
              <w:spacing w:before="120" w:after="120"/>
              <w:ind w:firstLineChars="0"/>
              <w:rPr>
                <w:color w:val="000000" w:themeColor="text1"/>
                <w:szCs w:val="18"/>
                <w14:textFill>
                  <w14:solidFill>
                    <w14:schemeClr w14:val="tx1"/>
                  </w14:solidFill>
                </w14:textFill>
              </w:rPr>
            </w:pPr>
            <w:r>
              <w:rPr>
                <w:color w:val="000000" w:themeColor="text1"/>
                <w:szCs w:val="18"/>
                <w14:textFill>
                  <w14:solidFill>
                    <w14:schemeClr w14:val="tx1"/>
                  </w14:solidFill>
                </w14:textFill>
              </w:rPr>
              <w:t xml:space="preserve">for FR1+FR1 NE-DC, an additional uncertainty delay due to PCell RACH collision with PSCell RACH may be introduced if the PCell RACH cannot be transmitted based on the criteria in TS38.213 section 7.6.2; </w:t>
            </w:r>
          </w:p>
          <w:p>
            <w:pPr>
              <w:pStyle w:val="27"/>
              <w:numPr>
                <w:ilvl w:val="2"/>
                <w:numId w:val="7"/>
              </w:numPr>
              <w:spacing w:before="120" w:after="120"/>
              <w:ind w:firstLineChars="0"/>
              <w:rPr>
                <w:color w:val="000000" w:themeColor="text1"/>
                <w:szCs w:val="18"/>
                <w14:textFill>
                  <w14:solidFill>
                    <w14:schemeClr w14:val="tx1"/>
                  </w14:solidFill>
                </w14:textFill>
              </w:rPr>
            </w:pPr>
            <w:r>
              <w:rPr>
                <w:color w:val="000000" w:themeColor="text1"/>
                <w:szCs w:val="18"/>
                <w14:textFill>
                  <w14:solidFill>
                    <w14:schemeClr w14:val="tx1"/>
                  </w14:solidFill>
                </w14:textFill>
              </w:rPr>
              <w:t>otherwise, if target PCell and target PSCell are on the different FRs for EN-DC or NR-DC, no need to consider RO collision issue.</w:t>
            </w:r>
          </w:p>
          <w:p>
            <w:pPr>
              <w:numPr>
                <w:ilvl w:val="1"/>
                <w:numId w:val="7"/>
              </w:numPr>
              <w:spacing w:after="120" w:line="259" w:lineRule="auto"/>
              <w:ind w:left="144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Option 3 (CATT, ZTE, Huawei, Qualcomm, vivo, Nokia): </w:t>
            </w:r>
          </w:p>
          <w:p>
            <w:pPr>
              <w:pStyle w:val="27"/>
              <w:numPr>
                <w:ilvl w:val="2"/>
                <w:numId w:val="7"/>
              </w:numPr>
              <w:spacing w:before="120" w:after="120"/>
              <w:ind w:firstLineChars="0"/>
            </w:pPr>
            <w:r>
              <w:rPr>
                <w:rFonts w:hint="eastAsia" w:eastAsiaTheme="minorEastAsia"/>
                <w:lang w:eastAsia="zh-CN"/>
              </w:rPr>
              <w:t>The requirement for handover with PSCell will be defined for no collision of PSCell PRACH with PCell PRACH, and adding clarification that additional uncertainty delay can be expected for this case.</w:t>
            </w:r>
          </w:p>
        </w:tc>
      </w:tr>
    </w:tbl>
    <w:p>
      <w:pPr>
        <w:rPr>
          <w:rFonts w:hint="eastAsia"/>
          <w:lang w:val="en-US" w:eastAsia="zh-CN"/>
        </w:rPr>
      </w:pPr>
    </w:p>
    <w:p>
      <w:pPr>
        <w:rPr>
          <w:rFonts w:hint="default" w:eastAsia="宋体"/>
          <w:lang w:val="en-US" w:eastAsia="zh-CN"/>
        </w:rPr>
      </w:pPr>
      <w:r>
        <w:rPr>
          <w:rFonts w:hint="eastAsia"/>
          <w:lang w:val="en-US" w:eastAsia="zh-CN"/>
        </w:rPr>
        <w:t xml:space="preserve">In our view, for </w:t>
      </w:r>
      <w:r>
        <w:rPr>
          <w:color w:val="000000" w:themeColor="text1"/>
          <w:szCs w:val="18"/>
          <w14:textFill>
            <w14:solidFill>
              <w14:schemeClr w14:val="tx1"/>
            </w14:solidFill>
          </w14:textFill>
        </w:rPr>
        <w:t>FR1+FR1 EN-DC</w:t>
      </w:r>
      <w:r>
        <w:rPr>
          <w:rFonts w:hint="eastAsia" w:eastAsia="宋体"/>
          <w:color w:val="000000" w:themeColor="text1"/>
          <w:szCs w:val="18"/>
          <w:lang w:val="en-US" w:eastAsia="zh-CN"/>
          <w14:textFill>
            <w14:solidFill>
              <w14:schemeClr w14:val="tx1"/>
            </w14:solidFill>
          </w14:textFill>
        </w:rPr>
        <w:t xml:space="preserve"> and </w:t>
      </w:r>
      <w:r>
        <w:rPr>
          <w:color w:val="000000" w:themeColor="text1"/>
          <w:szCs w:val="18"/>
          <w14:textFill>
            <w14:solidFill>
              <w14:schemeClr w14:val="tx1"/>
            </w14:solidFill>
          </w14:textFill>
        </w:rPr>
        <w:t>FR1+FR1 NE-DC</w:t>
      </w:r>
      <w:r>
        <w:rPr>
          <w:rFonts w:hint="eastAsia" w:eastAsia="宋体"/>
          <w:color w:val="000000" w:themeColor="text1"/>
          <w:szCs w:val="18"/>
          <w:lang w:val="en-US" w:eastAsia="zh-CN"/>
          <w14:textFill>
            <w14:solidFill>
              <w14:schemeClr w14:val="tx1"/>
            </w14:solidFill>
          </w14:textFill>
        </w:rPr>
        <w:t>,</w:t>
      </w:r>
      <w:r>
        <w:rPr>
          <w:rFonts w:hint="eastAsia"/>
          <w:lang w:val="en-US" w:eastAsia="zh-CN"/>
        </w:rPr>
        <w:t xml:space="preserve"> the </w:t>
      </w:r>
      <w:r>
        <w:rPr>
          <w:color w:val="000000" w:themeColor="text1"/>
          <w:szCs w:val="18"/>
          <w14:textFill>
            <w14:solidFill>
              <w14:schemeClr w14:val="tx1"/>
            </w14:solidFill>
          </w14:textFill>
        </w:rPr>
        <w:t>additional uncertainty delay</w:t>
      </w:r>
      <w:r>
        <w:rPr>
          <w:rFonts w:hint="eastAsia" w:eastAsia="宋体"/>
          <w:color w:val="000000" w:themeColor="text1"/>
          <w:szCs w:val="18"/>
          <w:lang w:val="en-US" w:eastAsia="zh-CN"/>
          <w14:textFill>
            <w14:solidFill>
              <w14:schemeClr w14:val="tx1"/>
            </w14:solidFill>
          </w14:textFill>
        </w:rPr>
        <w:t xml:space="preserve"> due to the collision described in option 1 may happen. However, from the requirement perspective, we prefer to define requirement of HO with PSCell with </w:t>
      </w:r>
      <w:r>
        <w:rPr>
          <w:rFonts w:hint="eastAsia" w:eastAsiaTheme="minorEastAsia"/>
          <w:lang w:eastAsia="zh-CN"/>
        </w:rPr>
        <w:t>no collision of PSCell PRACH with PCell PRACH</w:t>
      </w:r>
      <w:r>
        <w:rPr>
          <w:rFonts w:hint="eastAsia" w:eastAsiaTheme="minorEastAsia"/>
          <w:lang w:val="en-US" w:eastAsia="zh-CN"/>
        </w:rPr>
        <w:t>. Thus we support option 3.</w:t>
      </w:r>
    </w:p>
    <w:p>
      <w:pPr>
        <w:numPr>
          <w:ilvl w:val="0"/>
          <w:numId w:val="0"/>
        </w:numPr>
        <w:spacing w:after="120" w:line="259" w:lineRule="auto"/>
        <w:jc w:val="both"/>
        <w:rPr>
          <w:color w:val="000000" w:themeColor="text1"/>
          <w:szCs w:val="24"/>
          <w:lang w:eastAsia="zh-CN"/>
          <w14:textFill>
            <w14:solidFill>
              <w14:schemeClr w14:val="tx1"/>
            </w14:solidFill>
          </w14:textFill>
        </w:rPr>
      </w:pPr>
      <w:r>
        <w:rPr>
          <w:rFonts w:hint="eastAsia"/>
          <w:b/>
          <w:bCs/>
          <w:sz w:val="20"/>
          <w:szCs w:val="15"/>
          <w:lang w:val="en-US" w:eastAsia="zh-CN"/>
        </w:rPr>
        <w:t xml:space="preserve">Proposal 4: </w:t>
      </w:r>
      <w:r>
        <w:rPr>
          <w:rFonts w:hint="eastAsia" w:eastAsiaTheme="minorEastAsia"/>
          <w:b/>
          <w:bCs/>
          <w:lang w:eastAsia="zh-CN"/>
        </w:rPr>
        <w:t>The requirement for handover with PSCell will be defined for no collision of PSCell PRACH with PCell PRACH, and adding clarification that additional uncertainty delay can be expected for this case.</w:t>
      </w:r>
    </w:p>
    <w:p>
      <w:pPr>
        <w:numPr>
          <w:ilvl w:val="0"/>
          <w:numId w:val="0"/>
        </w:numPr>
        <w:overflowPunct w:val="0"/>
        <w:autoSpaceDE w:val="0"/>
        <w:autoSpaceDN w:val="0"/>
        <w:adjustRightInd w:val="0"/>
        <w:spacing w:after="120"/>
        <w:ind w:leftChars="0"/>
        <w:textAlignment w:val="baseline"/>
        <w:rPr>
          <w:rFonts w:hint="eastAsia" w:cs="Times New Roman"/>
          <w:b w:val="0"/>
          <w:bCs w:val="0"/>
          <w:kern w:val="2"/>
          <w:sz w:val="21"/>
          <w:szCs w:val="22"/>
          <w:u w:val="none"/>
          <w:vertAlign w:val="baseline"/>
          <w:lang w:val="en-US" w:eastAsia="zh-CN" w:bidi="ar-SA"/>
        </w:rPr>
      </w:pPr>
    </w:p>
    <w:p>
      <w:pPr>
        <w:pStyle w:val="29"/>
        <w:numPr>
          <w:ilvl w:val="0"/>
          <w:numId w:val="6"/>
        </w:numPr>
        <w:ind w:left="1134" w:leftChars="0" w:hanging="1134" w:firstLineChars="0"/>
        <w:jc w:val="both"/>
      </w:pPr>
      <w:r>
        <w:t>Conclusion</w:t>
      </w:r>
    </w:p>
    <w:p>
      <w:pPr>
        <w:numPr>
          <w:ilvl w:val="0"/>
          <w:numId w:val="0"/>
        </w:numPr>
        <w:spacing w:after="120" w:line="259" w:lineRule="auto"/>
        <w:jc w:val="both"/>
        <w:rPr>
          <w:b/>
          <w:bCs/>
          <w:color w:val="000000" w:themeColor="text1"/>
          <w:lang w:val="en-US"/>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Proposal 1:</w:t>
      </w:r>
      <w:r>
        <w:rPr>
          <w:rFonts w:hint="eastAsia" w:eastAsia="宋体"/>
          <w:b w:val="0"/>
          <w:bCs w:val="0"/>
          <w:color w:val="000000" w:themeColor="text1"/>
          <w:szCs w:val="18"/>
          <w:lang w:val="en-US" w:eastAsia="zh-CN"/>
          <w14:textFill>
            <w14:solidFill>
              <w14:schemeClr w14:val="tx1"/>
            </w14:solidFill>
          </w14:textFill>
        </w:rPr>
        <w:t xml:space="preserve"> </w:t>
      </w:r>
      <w:r>
        <w:rPr>
          <w:b/>
          <w:bCs/>
          <w:color w:val="000000" w:themeColor="text1"/>
          <w:lang w:val="en-US"/>
          <w14:textFill>
            <w14:solidFill>
              <w14:schemeClr w14:val="tx1"/>
            </w14:solidFill>
          </w14:textFill>
        </w:rPr>
        <w:t>For both parallel processing cases and sequential processing cases, UE SW processing and RF warm-up for PCell handover and PSCell addition/change are performed in parallel.</w:t>
      </w:r>
    </w:p>
    <w:p>
      <w:pPr>
        <w:rPr>
          <w:rFonts w:hint="eastAsia" w:ascii="Times" w:hAnsi="Times" w:cs="Times"/>
          <w:b/>
          <w:bCs/>
          <w:color w:val="000000" w:themeColor="text1"/>
          <w:lang w:val="en-US"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 xml:space="preserve">Proposal 2: </w:t>
      </w:r>
      <w:r>
        <w:rPr>
          <w:rFonts w:ascii="Times" w:hAnsi="Times" w:cs="Times"/>
          <w:b/>
          <w:bCs/>
          <w:color w:val="000000" w:themeColor="text1"/>
          <w:lang w:val="en-US" w:eastAsia="zh-CN"/>
          <w14:textFill>
            <w14:solidFill>
              <w14:schemeClr w14:val="tx1"/>
            </w14:solidFill>
          </w14:textFill>
        </w:rPr>
        <w:t xml:space="preserve">No </w:t>
      </w:r>
      <w:r>
        <w:rPr>
          <w:b/>
          <w:bCs/>
        </w:rPr>
        <w:t xml:space="preserve">additional </w:t>
      </w:r>
      <w:r>
        <w:rPr>
          <w:rFonts w:ascii="Times" w:hAnsi="Times" w:cs="Times"/>
          <w:b/>
          <w:bCs/>
          <w:color w:val="000000" w:themeColor="text1"/>
          <w:lang w:val="en-US" w:eastAsia="zh-CN"/>
          <w14:textFill>
            <w14:solidFill>
              <w14:schemeClr w14:val="tx1"/>
            </w14:solidFill>
          </w14:textFill>
        </w:rPr>
        <w:t>interruption requirements should be defined during HO with PSCell</w:t>
      </w:r>
      <w:r>
        <w:rPr>
          <w:rFonts w:hint="eastAsia" w:ascii="Times" w:hAnsi="Times" w:cs="Times"/>
          <w:b/>
          <w:bCs/>
          <w:color w:val="000000" w:themeColor="text1"/>
          <w:lang w:val="en-US" w:eastAsia="zh-CN"/>
          <w14:textFill>
            <w14:solidFill>
              <w14:schemeClr w14:val="tx1"/>
            </w14:solidFill>
          </w14:textFill>
        </w:rPr>
        <w:t>.</w:t>
      </w:r>
    </w:p>
    <w:p>
      <w:pPr>
        <w:numPr>
          <w:ilvl w:val="0"/>
          <w:numId w:val="0"/>
        </w:numPr>
        <w:spacing w:after="120" w:line="259" w:lineRule="auto"/>
        <w:jc w:val="both"/>
        <w:rPr>
          <w:color w:val="000000" w:themeColor="text1"/>
          <w:szCs w:val="24"/>
          <w:lang w:eastAsia="zh-CN"/>
          <w14:textFill>
            <w14:solidFill>
              <w14:schemeClr w14:val="tx1"/>
            </w14:solidFill>
          </w14:textFill>
        </w:rPr>
      </w:pPr>
      <w:r>
        <w:rPr>
          <w:rFonts w:hint="eastAsia"/>
          <w:b/>
          <w:bCs/>
          <w:sz w:val="20"/>
          <w:szCs w:val="15"/>
          <w:lang w:val="en-US" w:eastAsia="zh-CN"/>
        </w:rPr>
        <w:t xml:space="preserve">Proposal 3: </w:t>
      </w:r>
      <w:r>
        <w:rPr>
          <w:rFonts w:hint="eastAsia"/>
          <w:b/>
          <w:bCs/>
          <w:color w:val="000000" w:themeColor="text1"/>
          <w:szCs w:val="24"/>
          <w:lang w:eastAsia="zh-CN"/>
          <w14:textFill>
            <w14:solidFill>
              <w14:schemeClr w14:val="tx1"/>
            </w14:solidFill>
          </w14:textFill>
        </w:rPr>
        <w:t xml:space="preserve">No need to mention </w:t>
      </w:r>
      <w:r>
        <w:rPr>
          <w:rFonts w:hint="eastAsia"/>
          <w:b/>
          <w:bCs/>
          <w:color w:val="000000" w:themeColor="text1"/>
          <w:szCs w:val="24"/>
          <w:lang w:val="en-US" w:eastAsia="zh-CN"/>
          <w14:textFill>
            <w14:solidFill>
              <w14:schemeClr w14:val="tx1"/>
            </w14:solidFill>
          </w14:textFill>
        </w:rPr>
        <w:t xml:space="preserve"> 2-step RA or 4-step RA</w:t>
      </w:r>
      <w:r>
        <w:rPr>
          <w:rFonts w:hint="eastAsia"/>
          <w:b/>
          <w:bCs/>
          <w:color w:val="000000" w:themeColor="text1"/>
          <w:szCs w:val="24"/>
          <w:lang w:eastAsia="zh-CN"/>
          <w14:textFill>
            <w14:solidFill>
              <w14:schemeClr w14:val="tx1"/>
            </w14:solidFill>
          </w14:textFill>
        </w:rPr>
        <w:t xml:space="preserve"> </w:t>
      </w:r>
      <w:r>
        <w:rPr>
          <w:rFonts w:hint="eastAsia"/>
          <w:b/>
          <w:bCs/>
          <w:color w:val="000000" w:themeColor="text1"/>
          <w:szCs w:val="24"/>
          <w:lang w:val="en-US" w:eastAsia="zh-CN"/>
          <w14:textFill>
            <w14:solidFill>
              <w14:schemeClr w14:val="tx1"/>
            </w14:solidFill>
          </w14:textFill>
        </w:rPr>
        <w:t>in the requirement of HO with PSCell.</w:t>
      </w:r>
    </w:p>
    <w:p>
      <w:pPr>
        <w:numPr>
          <w:ilvl w:val="0"/>
          <w:numId w:val="0"/>
        </w:numPr>
        <w:spacing w:after="120" w:line="259" w:lineRule="auto"/>
        <w:jc w:val="both"/>
        <w:rPr>
          <w:color w:val="000000" w:themeColor="text1"/>
          <w:szCs w:val="24"/>
          <w:lang w:eastAsia="zh-CN"/>
          <w14:textFill>
            <w14:solidFill>
              <w14:schemeClr w14:val="tx1"/>
            </w14:solidFill>
          </w14:textFill>
        </w:rPr>
      </w:pPr>
      <w:r>
        <w:rPr>
          <w:rFonts w:hint="eastAsia"/>
          <w:b/>
          <w:bCs/>
          <w:sz w:val="20"/>
          <w:szCs w:val="15"/>
          <w:lang w:val="en-US" w:eastAsia="zh-CN"/>
        </w:rPr>
        <w:t xml:space="preserve">Proposal 4: </w:t>
      </w:r>
      <w:r>
        <w:rPr>
          <w:rFonts w:hint="eastAsia" w:eastAsiaTheme="minorEastAsia"/>
          <w:b/>
          <w:bCs/>
          <w:lang w:eastAsia="zh-CN"/>
        </w:rPr>
        <w:t>The requirement for handover with PSCell will be defined for no collision of PSCell PRACH with PCell PRACH, and adding clarification that additional uncertainty delay can be expected for this case.</w:t>
      </w:r>
    </w:p>
    <w:p>
      <w:pPr>
        <w:rPr>
          <w:rFonts w:hint="eastAsia"/>
          <w:b/>
          <w:bCs/>
          <w:sz w:val="20"/>
          <w:szCs w:val="15"/>
          <w:lang w:val="en-US" w:eastAsia="zh-CN"/>
        </w:rPr>
      </w:pPr>
    </w:p>
    <w:p>
      <w:pPr>
        <w:pStyle w:val="29"/>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val="en-US" w:eastAsia="zh-CN"/>
        </w:rPr>
        <w:t>R4-2120297,WF on further RRM enhancement for NR and MR-DC – HO with PSCell</w:t>
      </w:r>
      <w:r>
        <w:rPr>
          <w:rFonts w:hint="eastAsia" w:eastAsia="宋体"/>
          <w:lang w:val="en-GB" w:eastAsia="zh-CN"/>
        </w:rPr>
        <w:t>，</w:t>
      </w:r>
      <w:r>
        <w:rPr>
          <w:rFonts w:hint="eastAsia" w:eastAsia="宋体"/>
          <w:lang w:val="en-US" w:eastAsia="zh-CN"/>
        </w:rPr>
        <w:t>vivo</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v4.2.0">
    <w:altName w:val="Calibri"/>
    <w:panose1 w:val="00000000000000000000"/>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2CC9"/>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36877"/>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6A5D79"/>
    <w:rsid w:val="027E1394"/>
    <w:rsid w:val="0284242C"/>
    <w:rsid w:val="028676F2"/>
    <w:rsid w:val="0295566B"/>
    <w:rsid w:val="02A340AE"/>
    <w:rsid w:val="02AF305D"/>
    <w:rsid w:val="02B274E2"/>
    <w:rsid w:val="02BD7990"/>
    <w:rsid w:val="02C25D33"/>
    <w:rsid w:val="030809EC"/>
    <w:rsid w:val="03394FFB"/>
    <w:rsid w:val="037B11F1"/>
    <w:rsid w:val="039A1BDA"/>
    <w:rsid w:val="03AE4991"/>
    <w:rsid w:val="03C6506D"/>
    <w:rsid w:val="03F37217"/>
    <w:rsid w:val="04143A32"/>
    <w:rsid w:val="041F4676"/>
    <w:rsid w:val="04503821"/>
    <w:rsid w:val="045B08B5"/>
    <w:rsid w:val="047B40B2"/>
    <w:rsid w:val="0492565C"/>
    <w:rsid w:val="04A56073"/>
    <w:rsid w:val="04C77D0A"/>
    <w:rsid w:val="04D5204C"/>
    <w:rsid w:val="051F0641"/>
    <w:rsid w:val="05733706"/>
    <w:rsid w:val="059B61E4"/>
    <w:rsid w:val="05A86143"/>
    <w:rsid w:val="05AC7AEC"/>
    <w:rsid w:val="05D34D59"/>
    <w:rsid w:val="05D42FA6"/>
    <w:rsid w:val="06105DAC"/>
    <w:rsid w:val="066957D5"/>
    <w:rsid w:val="068A29F7"/>
    <w:rsid w:val="069766CC"/>
    <w:rsid w:val="07250AD8"/>
    <w:rsid w:val="07502CA2"/>
    <w:rsid w:val="078B76F8"/>
    <w:rsid w:val="079D410C"/>
    <w:rsid w:val="07C5787A"/>
    <w:rsid w:val="07C928A9"/>
    <w:rsid w:val="07D3429D"/>
    <w:rsid w:val="07D735D1"/>
    <w:rsid w:val="07E9174F"/>
    <w:rsid w:val="07F43B3B"/>
    <w:rsid w:val="080A5373"/>
    <w:rsid w:val="085564A9"/>
    <w:rsid w:val="08631FF0"/>
    <w:rsid w:val="08641205"/>
    <w:rsid w:val="0868025F"/>
    <w:rsid w:val="0873226E"/>
    <w:rsid w:val="088E5343"/>
    <w:rsid w:val="08935729"/>
    <w:rsid w:val="08936C0D"/>
    <w:rsid w:val="08A83C27"/>
    <w:rsid w:val="08AF3F5E"/>
    <w:rsid w:val="08C654D4"/>
    <w:rsid w:val="08CC5D10"/>
    <w:rsid w:val="08DC0169"/>
    <w:rsid w:val="08F522EB"/>
    <w:rsid w:val="092C45E6"/>
    <w:rsid w:val="093220E8"/>
    <w:rsid w:val="099F556C"/>
    <w:rsid w:val="09AC0546"/>
    <w:rsid w:val="09C640C3"/>
    <w:rsid w:val="09D362E0"/>
    <w:rsid w:val="09EF71DF"/>
    <w:rsid w:val="0A202869"/>
    <w:rsid w:val="0A2F63A3"/>
    <w:rsid w:val="0A5763D4"/>
    <w:rsid w:val="0A623873"/>
    <w:rsid w:val="0A7BF868"/>
    <w:rsid w:val="0A9573F8"/>
    <w:rsid w:val="0B206A21"/>
    <w:rsid w:val="0B6C6F78"/>
    <w:rsid w:val="0B7322DC"/>
    <w:rsid w:val="0B7600BE"/>
    <w:rsid w:val="0B84721F"/>
    <w:rsid w:val="0BA7588D"/>
    <w:rsid w:val="0BB77882"/>
    <w:rsid w:val="0BC65E45"/>
    <w:rsid w:val="0C102F73"/>
    <w:rsid w:val="0C2A1653"/>
    <w:rsid w:val="0C3145B0"/>
    <w:rsid w:val="0C3C5307"/>
    <w:rsid w:val="0C56263C"/>
    <w:rsid w:val="0C5C2399"/>
    <w:rsid w:val="0C5E2B8A"/>
    <w:rsid w:val="0CB37D5E"/>
    <w:rsid w:val="0CF62A01"/>
    <w:rsid w:val="0D102274"/>
    <w:rsid w:val="0D69107B"/>
    <w:rsid w:val="0D796541"/>
    <w:rsid w:val="0D9F7C29"/>
    <w:rsid w:val="0DA958CA"/>
    <w:rsid w:val="0DF104D3"/>
    <w:rsid w:val="0E1576FD"/>
    <w:rsid w:val="0E1C586B"/>
    <w:rsid w:val="0E5E051C"/>
    <w:rsid w:val="0E84113B"/>
    <w:rsid w:val="0E8A024B"/>
    <w:rsid w:val="0EAC77C9"/>
    <w:rsid w:val="0ED138E6"/>
    <w:rsid w:val="0EDA22A0"/>
    <w:rsid w:val="0F130B06"/>
    <w:rsid w:val="0F3856C4"/>
    <w:rsid w:val="0F495218"/>
    <w:rsid w:val="0F4C5F28"/>
    <w:rsid w:val="0F4D7364"/>
    <w:rsid w:val="0F5003A5"/>
    <w:rsid w:val="0F67780F"/>
    <w:rsid w:val="0F8F3C2A"/>
    <w:rsid w:val="0F9F5663"/>
    <w:rsid w:val="0FB648CB"/>
    <w:rsid w:val="0FD0731A"/>
    <w:rsid w:val="0FF1533A"/>
    <w:rsid w:val="0FFE0AFA"/>
    <w:rsid w:val="1000683B"/>
    <w:rsid w:val="100525AD"/>
    <w:rsid w:val="101213A0"/>
    <w:rsid w:val="10344905"/>
    <w:rsid w:val="10656E2F"/>
    <w:rsid w:val="10732202"/>
    <w:rsid w:val="10860ED5"/>
    <w:rsid w:val="108F17DE"/>
    <w:rsid w:val="10AA3C13"/>
    <w:rsid w:val="10CA41CF"/>
    <w:rsid w:val="10CD0B75"/>
    <w:rsid w:val="10D43D83"/>
    <w:rsid w:val="110C4D24"/>
    <w:rsid w:val="11283655"/>
    <w:rsid w:val="113B0066"/>
    <w:rsid w:val="114A4434"/>
    <w:rsid w:val="115D458E"/>
    <w:rsid w:val="11650D79"/>
    <w:rsid w:val="1187598B"/>
    <w:rsid w:val="11A46722"/>
    <w:rsid w:val="11CA3B79"/>
    <w:rsid w:val="11F71F3A"/>
    <w:rsid w:val="12021254"/>
    <w:rsid w:val="12062D53"/>
    <w:rsid w:val="121A2A50"/>
    <w:rsid w:val="122017FC"/>
    <w:rsid w:val="122047A4"/>
    <w:rsid w:val="12432F43"/>
    <w:rsid w:val="124B5A34"/>
    <w:rsid w:val="12753179"/>
    <w:rsid w:val="128409CA"/>
    <w:rsid w:val="12843280"/>
    <w:rsid w:val="12BB3A94"/>
    <w:rsid w:val="12EF585C"/>
    <w:rsid w:val="12FB3877"/>
    <w:rsid w:val="13027CC3"/>
    <w:rsid w:val="13262572"/>
    <w:rsid w:val="13516C3B"/>
    <w:rsid w:val="135A35EB"/>
    <w:rsid w:val="135B714A"/>
    <w:rsid w:val="136D11EC"/>
    <w:rsid w:val="137D50D6"/>
    <w:rsid w:val="138845FC"/>
    <w:rsid w:val="139B3B65"/>
    <w:rsid w:val="13A62830"/>
    <w:rsid w:val="13D36053"/>
    <w:rsid w:val="13F75352"/>
    <w:rsid w:val="13FA5349"/>
    <w:rsid w:val="141E7377"/>
    <w:rsid w:val="142413B8"/>
    <w:rsid w:val="1427772F"/>
    <w:rsid w:val="1480544B"/>
    <w:rsid w:val="148A292B"/>
    <w:rsid w:val="14922769"/>
    <w:rsid w:val="14A25B1A"/>
    <w:rsid w:val="14B36B91"/>
    <w:rsid w:val="14BF6AA8"/>
    <w:rsid w:val="14C960C2"/>
    <w:rsid w:val="14D9405F"/>
    <w:rsid w:val="14DE3D1B"/>
    <w:rsid w:val="14F65349"/>
    <w:rsid w:val="14FA21D5"/>
    <w:rsid w:val="150D5858"/>
    <w:rsid w:val="1590041A"/>
    <w:rsid w:val="15DD3861"/>
    <w:rsid w:val="15EF1E61"/>
    <w:rsid w:val="16222725"/>
    <w:rsid w:val="162900B5"/>
    <w:rsid w:val="1634239A"/>
    <w:rsid w:val="16394032"/>
    <w:rsid w:val="164F667E"/>
    <w:rsid w:val="165D0583"/>
    <w:rsid w:val="16654289"/>
    <w:rsid w:val="16AE4BFB"/>
    <w:rsid w:val="16BA6C12"/>
    <w:rsid w:val="16CB37AF"/>
    <w:rsid w:val="16DB79C9"/>
    <w:rsid w:val="16E93B5B"/>
    <w:rsid w:val="16EA20E7"/>
    <w:rsid w:val="16F55CC6"/>
    <w:rsid w:val="17141F2D"/>
    <w:rsid w:val="176F5C05"/>
    <w:rsid w:val="17705930"/>
    <w:rsid w:val="17A076C4"/>
    <w:rsid w:val="17A62BCE"/>
    <w:rsid w:val="17AC57E6"/>
    <w:rsid w:val="17E12498"/>
    <w:rsid w:val="17E826AB"/>
    <w:rsid w:val="17F275CB"/>
    <w:rsid w:val="18194F39"/>
    <w:rsid w:val="18312DD6"/>
    <w:rsid w:val="18407C50"/>
    <w:rsid w:val="184B7EE3"/>
    <w:rsid w:val="1872258F"/>
    <w:rsid w:val="18AC3E03"/>
    <w:rsid w:val="18D3414F"/>
    <w:rsid w:val="18D91924"/>
    <w:rsid w:val="19831412"/>
    <w:rsid w:val="19A96435"/>
    <w:rsid w:val="19E43A3D"/>
    <w:rsid w:val="19EF476F"/>
    <w:rsid w:val="1A0B3A21"/>
    <w:rsid w:val="1A290039"/>
    <w:rsid w:val="1A352FE3"/>
    <w:rsid w:val="1A7F0493"/>
    <w:rsid w:val="1ABF3A0B"/>
    <w:rsid w:val="1AC158B0"/>
    <w:rsid w:val="1AEE5502"/>
    <w:rsid w:val="1B3329B5"/>
    <w:rsid w:val="1B595D85"/>
    <w:rsid w:val="1B6C7858"/>
    <w:rsid w:val="1B7F155B"/>
    <w:rsid w:val="1BAE2A00"/>
    <w:rsid w:val="1BB6627C"/>
    <w:rsid w:val="1BF056DA"/>
    <w:rsid w:val="1C1B0DC7"/>
    <w:rsid w:val="1C5E2CC4"/>
    <w:rsid w:val="1C5E2F54"/>
    <w:rsid w:val="1CA0799D"/>
    <w:rsid w:val="1CAE294B"/>
    <w:rsid w:val="1CDA242C"/>
    <w:rsid w:val="1CF73247"/>
    <w:rsid w:val="1CF75BF5"/>
    <w:rsid w:val="1CFB2AC1"/>
    <w:rsid w:val="1D1F1294"/>
    <w:rsid w:val="1D3600B7"/>
    <w:rsid w:val="1D3C7064"/>
    <w:rsid w:val="1D6224B5"/>
    <w:rsid w:val="1D85535E"/>
    <w:rsid w:val="1D955667"/>
    <w:rsid w:val="1DB227A6"/>
    <w:rsid w:val="1DB41841"/>
    <w:rsid w:val="1DCF39D2"/>
    <w:rsid w:val="1DE45821"/>
    <w:rsid w:val="1DF005DE"/>
    <w:rsid w:val="1DF64986"/>
    <w:rsid w:val="1E5E1170"/>
    <w:rsid w:val="1E687F6B"/>
    <w:rsid w:val="1E8806BC"/>
    <w:rsid w:val="1EA137E3"/>
    <w:rsid w:val="1EC97F44"/>
    <w:rsid w:val="1F0936F5"/>
    <w:rsid w:val="1F0D6CF5"/>
    <w:rsid w:val="1F17474D"/>
    <w:rsid w:val="1F2B10F9"/>
    <w:rsid w:val="1F606B52"/>
    <w:rsid w:val="1F711839"/>
    <w:rsid w:val="1F8429C2"/>
    <w:rsid w:val="1F8A172B"/>
    <w:rsid w:val="1F9A548F"/>
    <w:rsid w:val="1FA564C4"/>
    <w:rsid w:val="1FB811AE"/>
    <w:rsid w:val="1FDC0E64"/>
    <w:rsid w:val="1FE94550"/>
    <w:rsid w:val="200D067C"/>
    <w:rsid w:val="20811B82"/>
    <w:rsid w:val="2081439A"/>
    <w:rsid w:val="208D29F6"/>
    <w:rsid w:val="20941E02"/>
    <w:rsid w:val="20A662B2"/>
    <w:rsid w:val="20BE61DB"/>
    <w:rsid w:val="21091739"/>
    <w:rsid w:val="211451D0"/>
    <w:rsid w:val="211B0B99"/>
    <w:rsid w:val="21402B64"/>
    <w:rsid w:val="2151075A"/>
    <w:rsid w:val="2187422D"/>
    <w:rsid w:val="219E74A3"/>
    <w:rsid w:val="22271C95"/>
    <w:rsid w:val="22450C21"/>
    <w:rsid w:val="22571B82"/>
    <w:rsid w:val="22587625"/>
    <w:rsid w:val="22843CEF"/>
    <w:rsid w:val="22915C95"/>
    <w:rsid w:val="22920D1D"/>
    <w:rsid w:val="22951FAB"/>
    <w:rsid w:val="22C0245E"/>
    <w:rsid w:val="22C9451A"/>
    <w:rsid w:val="22D22A99"/>
    <w:rsid w:val="22DE4E2D"/>
    <w:rsid w:val="22DF0545"/>
    <w:rsid w:val="23514077"/>
    <w:rsid w:val="23855295"/>
    <w:rsid w:val="23B20773"/>
    <w:rsid w:val="23CF6D67"/>
    <w:rsid w:val="23E92C0B"/>
    <w:rsid w:val="241F6375"/>
    <w:rsid w:val="248F188B"/>
    <w:rsid w:val="24BD0518"/>
    <w:rsid w:val="24E91488"/>
    <w:rsid w:val="25077EC5"/>
    <w:rsid w:val="255233C2"/>
    <w:rsid w:val="256A021C"/>
    <w:rsid w:val="25962669"/>
    <w:rsid w:val="25C20278"/>
    <w:rsid w:val="25C545AD"/>
    <w:rsid w:val="262D62D9"/>
    <w:rsid w:val="26381808"/>
    <w:rsid w:val="26681CAB"/>
    <w:rsid w:val="267E5FCE"/>
    <w:rsid w:val="26895E91"/>
    <w:rsid w:val="26F16893"/>
    <w:rsid w:val="26F618C3"/>
    <w:rsid w:val="27016D1C"/>
    <w:rsid w:val="27104213"/>
    <w:rsid w:val="27572E0B"/>
    <w:rsid w:val="2762235C"/>
    <w:rsid w:val="276537E8"/>
    <w:rsid w:val="276D7CAD"/>
    <w:rsid w:val="27BE3159"/>
    <w:rsid w:val="27F111B3"/>
    <w:rsid w:val="27F55CE9"/>
    <w:rsid w:val="27F77172"/>
    <w:rsid w:val="28062AB3"/>
    <w:rsid w:val="280C272A"/>
    <w:rsid w:val="281B6C69"/>
    <w:rsid w:val="284E33F7"/>
    <w:rsid w:val="28596ECF"/>
    <w:rsid w:val="28694AA6"/>
    <w:rsid w:val="287A3770"/>
    <w:rsid w:val="2896156C"/>
    <w:rsid w:val="28A01911"/>
    <w:rsid w:val="28B52EA9"/>
    <w:rsid w:val="28C759BF"/>
    <w:rsid w:val="28D22F4D"/>
    <w:rsid w:val="29007BBA"/>
    <w:rsid w:val="290A138C"/>
    <w:rsid w:val="291A4010"/>
    <w:rsid w:val="291B0D01"/>
    <w:rsid w:val="293606FA"/>
    <w:rsid w:val="29517179"/>
    <w:rsid w:val="29582436"/>
    <w:rsid w:val="299935DB"/>
    <w:rsid w:val="29E7086A"/>
    <w:rsid w:val="2A0E25C0"/>
    <w:rsid w:val="2A1219AD"/>
    <w:rsid w:val="2A2024BB"/>
    <w:rsid w:val="2A394321"/>
    <w:rsid w:val="2AAF72F6"/>
    <w:rsid w:val="2AE07176"/>
    <w:rsid w:val="2AE26D3F"/>
    <w:rsid w:val="2AF125AB"/>
    <w:rsid w:val="2AF80F96"/>
    <w:rsid w:val="2AF8774D"/>
    <w:rsid w:val="2AFC0752"/>
    <w:rsid w:val="2B0233C2"/>
    <w:rsid w:val="2B0F6E62"/>
    <w:rsid w:val="2B1B7C39"/>
    <w:rsid w:val="2B3F4136"/>
    <w:rsid w:val="2B5F7B9D"/>
    <w:rsid w:val="2B6F3DB4"/>
    <w:rsid w:val="2B723B80"/>
    <w:rsid w:val="2B7579C5"/>
    <w:rsid w:val="2B976640"/>
    <w:rsid w:val="2BB04900"/>
    <w:rsid w:val="2BB1476B"/>
    <w:rsid w:val="2BBA73E9"/>
    <w:rsid w:val="2BFE37F5"/>
    <w:rsid w:val="2C127486"/>
    <w:rsid w:val="2C1B2490"/>
    <w:rsid w:val="2C2841AD"/>
    <w:rsid w:val="2C3757DB"/>
    <w:rsid w:val="2C3A3275"/>
    <w:rsid w:val="2C495744"/>
    <w:rsid w:val="2C4F5D11"/>
    <w:rsid w:val="2C696B32"/>
    <w:rsid w:val="2CA40E82"/>
    <w:rsid w:val="2CC440BD"/>
    <w:rsid w:val="2CEE6B8D"/>
    <w:rsid w:val="2D233DAE"/>
    <w:rsid w:val="2D8E403A"/>
    <w:rsid w:val="2DC51DB6"/>
    <w:rsid w:val="2DE6749D"/>
    <w:rsid w:val="2DF9626C"/>
    <w:rsid w:val="2DFD7A78"/>
    <w:rsid w:val="2DFF21A9"/>
    <w:rsid w:val="2E145F76"/>
    <w:rsid w:val="2E290BCC"/>
    <w:rsid w:val="2E3E3E00"/>
    <w:rsid w:val="2E8501BE"/>
    <w:rsid w:val="2EA73673"/>
    <w:rsid w:val="2EA86D09"/>
    <w:rsid w:val="2ECE747D"/>
    <w:rsid w:val="2EDE6622"/>
    <w:rsid w:val="2EDF0237"/>
    <w:rsid w:val="2EFD78DE"/>
    <w:rsid w:val="2F32226B"/>
    <w:rsid w:val="2F376D10"/>
    <w:rsid w:val="2F507B33"/>
    <w:rsid w:val="2FA231C5"/>
    <w:rsid w:val="30131B0F"/>
    <w:rsid w:val="301A7503"/>
    <w:rsid w:val="30266CFB"/>
    <w:rsid w:val="30775A8C"/>
    <w:rsid w:val="308B65F2"/>
    <w:rsid w:val="30A9337F"/>
    <w:rsid w:val="30F5782F"/>
    <w:rsid w:val="30F66636"/>
    <w:rsid w:val="31132818"/>
    <w:rsid w:val="3117229F"/>
    <w:rsid w:val="31395268"/>
    <w:rsid w:val="316D08AD"/>
    <w:rsid w:val="31703761"/>
    <w:rsid w:val="318526EA"/>
    <w:rsid w:val="3197247E"/>
    <w:rsid w:val="31A14F37"/>
    <w:rsid w:val="31A50177"/>
    <w:rsid w:val="31BC7893"/>
    <w:rsid w:val="31DD775A"/>
    <w:rsid w:val="31ED10C9"/>
    <w:rsid w:val="320F0A18"/>
    <w:rsid w:val="32351CB2"/>
    <w:rsid w:val="324554E5"/>
    <w:rsid w:val="325D2B5A"/>
    <w:rsid w:val="325E4969"/>
    <w:rsid w:val="32672032"/>
    <w:rsid w:val="32746F08"/>
    <w:rsid w:val="327661FC"/>
    <w:rsid w:val="32787E64"/>
    <w:rsid w:val="32B33B5A"/>
    <w:rsid w:val="32E16FE7"/>
    <w:rsid w:val="32EE27B2"/>
    <w:rsid w:val="33283C74"/>
    <w:rsid w:val="33372789"/>
    <w:rsid w:val="33373161"/>
    <w:rsid w:val="333876C2"/>
    <w:rsid w:val="3346302E"/>
    <w:rsid w:val="33484A1E"/>
    <w:rsid w:val="335F47E9"/>
    <w:rsid w:val="33672754"/>
    <w:rsid w:val="33757E6E"/>
    <w:rsid w:val="33813C29"/>
    <w:rsid w:val="33AE46D6"/>
    <w:rsid w:val="33E811A0"/>
    <w:rsid w:val="33FB17D8"/>
    <w:rsid w:val="340D027E"/>
    <w:rsid w:val="34693A6E"/>
    <w:rsid w:val="346E4104"/>
    <w:rsid w:val="3476470C"/>
    <w:rsid w:val="34B85E11"/>
    <w:rsid w:val="34D83C16"/>
    <w:rsid w:val="34F4225F"/>
    <w:rsid w:val="34F42A3D"/>
    <w:rsid w:val="35022C0E"/>
    <w:rsid w:val="3509315E"/>
    <w:rsid w:val="351A4CC6"/>
    <w:rsid w:val="356B24AB"/>
    <w:rsid w:val="35AE299B"/>
    <w:rsid w:val="35C620C0"/>
    <w:rsid w:val="35CA47C2"/>
    <w:rsid w:val="371440A5"/>
    <w:rsid w:val="37705F34"/>
    <w:rsid w:val="377700B0"/>
    <w:rsid w:val="37857872"/>
    <w:rsid w:val="379C48BE"/>
    <w:rsid w:val="37AF7036"/>
    <w:rsid w:val="37ED2901"/>
    <w:rsid w:val="37F7347F"/>
    <w:rsid w:val="380927B5"/>
    <w:rsid w:val="381F0B0E"/>
    <w:rsid w:val="382139EC"/>
    <w:rsid w:val="3876150B"/>
    <w:rsid w:val="38D03C78"/>
    <w:rsid w:val="38EF03A6"/>
    <w:rsid w:val="38F0125F"/>
    <w:rsid w:val="3900577A"/>
    <w:rsid w:val="39187A90"/>
    <w:rsid w:val="39202018"/>
    <w:rsid w:val="392739EA"/>
    <w:rsid w:val="392D38AD"/>
    <w:rsid w:val="3946679B"/>
    <w:rsid w:val="394D1646"/>
    <w:rsid w:val="39870C57"/>
    <w:rsid w:val="399A43EA"/>
    <w:rsid w:val="39AE5946"/>
    <w:rsid w:val="39D62AC1"/>
    <w:rsid w:val="3A0F1960"/>
    <w:rsid w:val="3A135535"/>
    <w:rsid w:val="3A166029"/>
    <w:rsid w:val="3A2A08FE"/>
    <w:rsid w:val="3A416AA0"/>
    <w:rsid w:val="3A431070"/>
    <w:rsid w:val="3A434F00"/>
    <w:rsid w:val="3A6B6F88"/>
    <w:rsid w:val="3A841F11"/>
    <w:rsid w:val="3A8B04D0"/>
    <w:rsid w:val="3A977F34"/>
    <w:rsid w:val="3AC125B3"/>
    <w:rsid w:val="3AF216E5"/>
    <w:rsid w:val="3B0B15C3"/>
    <w:rsid w:val="3B0F2999"/>
    <w:rsid w:val="3B30671A"/>
    <w:rsid w:val="3B5555F7"/>
    <w:rsid w:val="3B5662AC"/>
    <w:rsid w:val="3B981241"/>
    <w:rsid w:val="3BBB2E68"/>
    <w:rsid w:val="3BD120B9"/>
    <w:rsid w:val="3BDA3F2B"/>
    <w:rsid w:val="3BE71542"/>
    <w:rsid w:val="3BED4706"/>
    <w:rsid w:val="3C0B0D05"/>
    <w:rsid w:val="3C1B10BF"/>
    <w:rsid w:val="3C8823DF"/>
    <w:rsid w:val="3C9D0254"/>
    <w:rsid w:val="3C9F5B7F"/>
    <w:rsid w:val="3CA22406"/>
    <w:rsid w:val="3CC5729E"/>
    <w:rsid w:val="3CCE203C"/>
    <w:rsid w:val="3CD96C18"/>
    <w:rsid w:val="3CDC3348"/>
    <w:rsid w:val="3D02537F"/>
    <w:rsid w:val="3D042BD7"/>
    <w:rsid w:val="3D087EC6"/>
    <w:rsid w:val="3D0C1655"/>
    <w:rsid w:val="3D1C1E27"/>
    <w:rsid w:val="3D4E48C8"/>
    <w:rsid w:val="3D50421B"/>
    <w:rsid w:val="3D77737D"/>
    <w:rsid w:val="3D807C08"/>
    <w:rsid w:val="3DBF5349"/>
    <w:rsid w:val="3DC04E13"/>
    <w:rsid w:val="3DCC0A6F"/>
    <w:rsid w:val="3DD244E7"/>
    <w:rsid w:val="3DDC294B"/>
    <w:rsid w:val="3E0E5340"/>
    <w:rsid w:val="3E132617"/>
    <w:rsid w:val="3E1747FA"/>
    <w:rsid w:val="3E2E7EE8"/>
    <w:rsid w:val="3E4F76FB"/>
    <w:rsid w:val="3E5B41D6"/>
    <w:rsid w:val="3E964B98"/>
    <w:rsid w:val="3E9B2B8B"/>
    <w:rsid w:val="3EAD26A1"/>
    <w:rsid w:val="3EB01A0B"/>
    <w:rsid w:val="3ECE16FA"/>
    <w:rsid w:val="3F064C6A"/>
    <w:rsid w:val="3F201B40"/>
    <w:rsid w:val="3F322D0C"/>
    <w:rsid w:val="3F3542FD"/>
    <w:rsid w:val="3F4118C8"/>
    <w:rsid w:val="3F4334BB"/>
    <w:rsid w:val="3F5C676A"/>
    <w:rsid w:val="3F651AFB"/>
    <w:rsid w:val="3FF55768"/>
    <w:rsid w:val="40093B4F"/>
    <w:rsid w:val="40350A49"/>
    <w:rsid w:val="40460408"/>
    <w:rsid w:val="40462AC9"/>
    <w:rsid w:val="405313A9"/>
    <w:rsid w:val="40566CBF"/>
    <w:rsid w:val="40662F6F"/>
    <w:rsid w:val="40776BAF"/>
    <w:rsid w:val="407921CE"/>
    <w:rsid w:val="40C04FE0"/>
    <w:rsid w:val="40FA3D02"/>
    <w:rsid w:val="413E21D5"/>
    <w:rsid w:val="418530B3"/>
    <w:rsid w:val="41AA7137"/>
    <w:rsid w:val="41BF2F04"/>
    <w:rsid w:val="41CB7B05"/>
    <w:rsid w:val="41EC58FB"/>
    <w:rsid w:val="41F931F1"/>
    <w:rsid w:val="42157286"/>
    <w:rsid w:val="422A484C"/>
    <w:rsid w:val="422A51CF"/>
    <w:rsid w:val="4231331F"/>
    <w:rsid w:val="42381A71"/>
    <w:rsid w:val="423E6EC2"/>
    <w:rsid w:val="426B0C9E"/>
    <w:rsid w:val="42841694"/>
    <w:rsid w:val="429266C7"/>
    <w:rsid w:val="42AF1322"/>
    <w:rsid w:val="42B30ACF"/>
    <w:rsid w:val="42D25CAE"/>
    <w:rsid w:val="42E73C10"/>
    <w:rsid w:val="42F708A9"/>
    <w:rsid w:val="42FC0B94"/>
    <w:rsid w:val="43364422"/>
    <w:rsid w:val="433B6093"/>
    <w:rsid w:val="43536857"/>
    <w:rsid w:val="43AA33DE"/>
    <w:rsid w:val="43BB7215"/>
    <w:rsid w:val="43BC4F26"/>
    <w:rsid w:val="43E762B0"/>
    <w:rsid w:val="43EE582E"/>
    <w:rsid w:val="43FB3DA4"/>
    <w:rsid w:val="440E1214"/>
    <w:rsid w:val="441C4006"/>
    <w:rsid w:val="44330E9F"/>
    <w:rsid w:val="443E7A53"/>
    <w:rsid w:val="44462D9E"/>
    <w:rsid w:val="445B61B0"/>
    <w:rsid w:val="44752C18"/>
    <w:rsid w:val="449E489D"/>
    <w:rsid w:val="44B24294"/>
    <w:rsid w:val="44CF520F"/>
    <w:rsid w:val="44D50483"/>
    <w:rsid w:val="451019FB"/>
    <w:rsid w:val="451A43EA"/>
    <w:rsid w:val="451B2715"/>
    <w:rsid w:val="45361837"/>
    <w:rsid w:val="4543370D"/>
    <w:rsid w:val="454F62D8"/>
    <w:rsid w:val="455B13AC"/>
    <w:rsid w:val="45CF3CD0"/>
    <w:rsid w:val="45F6393A"/>
    <w:rsid w:val="46037BDC"/>
    <w:rsid w:val="460567D8"/>
    <w:rsid w:val="4626023B"/>
    <w:rsid w:val="462F25DF"/>
    <w:rsid w:val="46566BF3"/>
    <w:rsid w:val="46620161"/>
    <w:rsid w:val="46C17C69"/>
    <w:rsid w:val="46E63986"/>
    <w:rsid w:val="46FC7DAE"/>
    <w:rsid w:val="470463F8"/>
    <w:rsid w:val="472F00D3"/>
    <w:rsid w:val="475A31AD"/>
    <w:rsid w:val="47777F88"/>
    <w:rsid w:val="47971B97"/>
    <w:rsid w:val="479A4E4A"/>
    <w:rsid w:val="479F63EE"/>
    <w:rsid w:val="47C304FD"/>
    <w:rsid w:val="47C357A6"/>
    <w:rsid w:val="47D77F02"/>
    <w:rsid w:val="4815186D"/>
    <w:rsid w:val="481C0488"/>
    <w:rsid w:val="481C4CBC"/>
    <w:rsid w:val="485A4BA7"/>
    <w:rsid w:val="486432D4"/>
    <w:rsid w:val="487C3875"/>
    <w:rsid w:val="48977283"/>
    <w:rsid w:val="48A90F1E"/>
    <w:rsid w:val="48B9644F"/>
    <w:rsid w:val="48DE3EAB"/>
    <w:rsid w:val="48FA3778"/>
    <w:rsid w:val="490A690E"/>
    <w:rsid w:val="49474FB2"/>
    <w:rsid w:val="495B6D68"/>
    <w:rsid w:val="4975258C"/>
    <w:rsid w:val="49896512"/>
    <w:rsid w:val="4996414B"/>
    <w:rsid w:val="49987D21"/>
    <w:rsid w:val="49BA3D71"/>
    <w:rsid w:val="49CC5B3C"/>
    <w:rsid w:val="49DB51FA"/>
    <w:rsid w:val="49FD54E4"/>
    <w:rsid w:val="4A143D9D"/>
    <w:rsid w:val="4A3011C6"/>
    <w:rsid w:val="4A5C70F1"/>
    <w:rsid w:val="4A6D545B"/>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C6AE6"/>
    <w:rsid w:val="4BEE4C69"/>
    <w:rsid w:val="4BF830BC"/>
    <w:rsid w:val="4C293566"/>
    <w:rsid w:val="4C2C1C2C"/>
    <w:rsid w:val="4C3F2388"/>
    <w:rsid w:val="4C4E4313"/>
    <w:rsid w:val="4C553BEB"/>
    <w:rsid w:val="4C663381"/>
    <w:rsid w:val="4C723787"/>
    <w:rsid w:val="4C783FE1"/>
    <w:rsid w:val="4CF05EAC"/>
    <w:rsid w:val="4D102CB4"/>
    <w:rsid w:val="4D496F28"/>
    <w:rsid w:val="4D6A4B9B"/>
    <w:rsid w:val="4D7636CB"/>
    <w:rsid w:val="4D9E609E"/>
    <w:rsid w:val="4E0243C8"/>
    <w:rsid w:val="4E173831"/>
    <w:rsid w:val="4E345636"/>
    <w:rsid w:val="4E652C5C"/>
    <w:rsid w:val="4E9105E7"/>
    <w:rsid w:val="4EB053BD"/>
    <w:rsid w:val="4ED84E86"/>
    <w:rsid w:val="4FBC6FAF"/>
    <w:rsid w:val="4FDC68F3"/>
    <w:rsid w:val="4FE74185"/>
    <w:rsid w:val="4FF76FCE"/>
    <w:rsid w:val="4FFF46BE"/>
    <w:rsid w:val="50005DA1"/>
    <w:rsid w:val="5041435B"/>
    <w:rsid w:val="50564CCA"/>
    <w:rsid w:val="505A1CB0"/>
    <w:rsid w:val="506A5A36"/>
    <w:rsid w:val="5090049B"/>
    <w:rsid w:val="509778C7"/>
    <w:rsid w:val="50BD598F"/>
    <w:rsid w:val="50EF38E6"/>
    <w:rsid w:val="51287141"/>
    <w:rsid w:val="5170523B"/>
    <w:rsid w:val="51773E2A"/>
    <w:rsid w:val="519A116B"/>
    <w:rsid w:val="51A40397"/>
    <w:rsid w:val="51A74F81"/>
    <w:rsid w:val="51C53170"/>
    <w:rsid w:val="51E57489"/>
    <w:rsid w:val="51FE641B"/>
    <w:rsid w:val="5222212F"/>
    <w:rsid w:val="5236412D"/>
    <w:rsid w:val="524370D4"/>
    <w:rsid w:val="526137D1"/>
    <w:rsid w:val="5280421D"/>
    <w:rsid w:val="52BF27F0"/>
    <w:rsid w:val="52DE7B77"/>
    <w:rsid w:val="530B5FC4"/>
    <w:rsid w:val="530F6914"/>
    <w:rsid w:val="531A5811"/>
    <w:rsid w:val="535E62F0"/>
    <w:rsid w:val="5361709F"/>
    <w:rsid w:val="53705401"/>
    <w:rsid w:val="537509F0"/>
    <w:rsid w:val="53752E8D"/>
    <w:rsid w:val="53832E83"/>
    <w:rsid w:val="53A24A91"/>
    <w:rsid w:val="53AA30EC"/>
    <w:rsid w:val="53C60E3E"/>
    <w:rsid w:val="53D005D1"/>
    <w:rsid w:val="540D782C"/>
    <w:rsid w:val="541B7EBE"/>
    <w:rsid w:val="542F1421"/>
    <w:rsid w:val="54342D0E"/>
    <w:rsid w:val="543973F0"/>
    <w:rsid w:val="543B3AF3"/>
    <w:rsid w:val="544B51D2"/>
    <w:rsid w:val="544C3285"/>
    <w:rsid w:val="546C32BA"/>
    <w:rsid w:val="547733F4"/>
    <w:rsid w:val="54B156BA"/>
    <w:rsid w:val="54F516DC"/>
    <w:rsid w:val="550D4DCC"/>
    <w:rsid w:val="550D509F"/>
    <w:rsid w:val="55187C2D"/>
    <w:rsid w:val="551F0291"/>
    <w:rsid w:val="551F51F5"/>
    <w:rsid w:val="5553143F"/>
    <w:rsid w:val="557C5C50"/>
    <w:rsid w:val="55B42DC5"/>
    <w:rsid w:val="55B760AB"/>
    <w:rsid w:val="55C82763"/>
    <w:rsid w:val="55CE50F9"/>
    <w:rsid w:val="56063D06"/>
    <w:rsid w:val="560921FF"/>
    <w:rsid w:val="561E43E8"/>
    <w:rsid w:val="56243301"/>
    <w:rsid w:val="562F5C39"/>
    <w:rsid w:val="566D79F4"/>
    <w:rsid w:val="567964BE"/>
    <w:rsid w:val="567B20DA"/>
    <w:rsid w:val="56943FE8"/>
    <w:rsid w:val="56A306FD"/>
    <w:rsid w:val="56B04C07"/>
    <w:rsid w:val="56DA5A5F"/>
    <w:rsid w:val="573C3B69"/>
    <w:rsid w:val="57563E7B"/>
    <w:rsid w:val="57600E00"/>
    <w:rsid w:val="577E3F1D"/>
    <w:rsid w:val="57936B8F"/>
    <w:rsid w:val="57C70008"/>
    <w:rsid w:val="58082D66"/>
    <w:rsid w:val="58224292"/>
    <w:rsid w:val="58270690"/>
    <w:rsid w:val="584D0B76"/>
    <w:rsid w:val="584F2CED"/>
    <w:rsid w:val="586B2608"/>
    <w:rsid w:val="586D59B4"/>
    <w:rsid w:val="5879595C"/>
    <w:rsid w:val="588331BE"/>
    <w:rsid w:val="58D16F7B"/>
    <w:rsid w:val="592D287D"/>
    <w:rsid w:val="592D7AE2"/>
    <w:rsid w:val="593554F0"/>
    <w:rsid w:val="59BA5947"/>
    <w:rsid w:val="59F967B7"/>
    <w:rsid w:val="5A194DBF"/>
    <w:rsid w:val="5A1A7700"/>
    <w:rsid w:val="5A3078C5"/>
    <w:rsid w:val="5A3A24E6"/>
    <w:rsid w:val="5A7A4DB9"/>
    <w:rsid w:val="5AA277F3"/>
    <w:rsid w:val="5AC16AE9"/>
    <w:rsid w:val="5ADF3A74"/>
    <w:rsid w:val="5AE53367"/>
    <w:rsid w:val="5B0B0083"/>
    <w:rsid w:val="5B0B32DD"/>
    <w:rsid w:val="5B1254E6"/>
    <w:rsid w:val="5B2E5B59"/>
    <w:rsid w:val="5B4A6955"/>
    <w:rsid w:val="5BA65A0C"/>
    <w:rsid w:val="5BB2174D"/>
    <w:rsid w:val="5BC3228B"/>
    <w:rsid w:val="5BCB00D0"/>
    <w:rsid w:val="5BF571B7"/>
    <w:rsid w:val="5BFC28DA"/>
    <w:rsid w:val="5C35787E"/>
    <w:rsid w:val="5C3B1FEA"/>
    <w:rsid w:val="5C550669"/>
    <w:rsid w:val="5C6A01BF"/>
    <w:rsid w:val="5C70174F"/>
    <w:rsid w:val="5C792CC0"/>
    <w:rsid w:val="5CEB6783"/>
    <w:rsid w:val="5D041ECD"/>
    <w:rsid w:val="5D5E1AC8"/>
    <w:rsid w:val="5D8276D8"/>
    <w:rsid w:val="5D9D2DC0"/>
    <w:rsid w:val="5DDA6F57"/>
    <w:rsid w:val="5DED5E63"/>
    <w:rsid w:val="5E051414"/>
    <w:rsid w:val="5E206741"/>
    <w:rsid w:val="5E2D4C21"/>
    <w:rsid w:val="5E551862"/>
    <w:rsid w:val="5E820037"/>
    <w:rsid w:val="5E9A188D"/>
    <w:rsid w:val="5EE41E2E"/>
    <w:rsid w:val="5F0C7F49"/>
    <w:rsid w:val="5F0F00DA"/>
    <w:rsid w:val="5F3B32F7"/>
    <w:rsid w:val="5F4B4581"/>
    <w:rsid w:val="5F98224D"/>
    <w:rsid w:val="5F9F42F8"/>
    <w:rsid w:val="5FBC07EC"/>
    <w:rsid w:val="5FFF02E1"/>
    <w:rsid w:val="60017F85"/>
    <w:rsid w:val="60032276"/>
    <w:rsid w:val="600C3AE0"/>
    <w:rsid w:val="602C236A"/>
    <w:rsid w:val="6045086B"/>
    <w:rsid w:val="60523595"/>
    <w:rsid w:val="607356CF"/>
    <w:rsid w:val="60745B63"/>
    <w:rsid w:val="609A141A"/>
    <w:rsid w:val="60AC01F6"/>
    <w:rsid w:val="60AD6E35"/>
    <w:rsid w:val="60BC1BBF"/>
    <w:rsid w:val="60E50451"/>
    <w:rsid w:val="60F55882"/>
    <w:rsid w:val="60F64A32"/>
    <w:rsid w:val="61051332"/>
    <w:rsid w:val="61637003"/>
    <w:rsid w:val="616A21E7"/>
    <w:rsid w:val="61824900"/>
    <w:rsid w:val="61856B0D"/>
    <w:rsid w:val="61B601DF"/>
    <w:rsid w:val="61D379C6"/>
    <w:rsid w:val="61F833BE"/>
    <w:rsid w:val="61FD4717"/>
    <w:rsid w:val="621F5265"/>
    <w:rsid w:val="623928B9"/>
    <w:rsid w:val="62812953"/>
    <w:rsid w:val="62B7743E"/>
    <w:rsid w:val="62B8352F"/>
    <w:rsid w:val="62BB48DA"/>
    <w:rsid w:val="62CC4BC6"/>
    <w:rsid w:val="62DD3C86"/>
    <w:rsid w:val="62E674AB"/>
    <w:rsid w:val="62EF63FA"/>
    <w:rsid w:val="62FA23A0"/>
    <w:rsid w:val="63061571"/>
    <w:rsid w:val="632B39DC"/>
    <w:rsid w:val="639D47D1"/>
    <w:rsid w:val="63B508EC"/>
    <w:rsid w:val="63C438C6"/>
    <w:rsid w:val="63C84437"/>
    <w:rsid w:val="64116858"/>
    <w:rsid w:val="642B0065"/>
    <w:rsid w:val="64310139"/>
    <w:rsid w:val="64550D9E"/>
    <w:rsid w:val="646311BF"/>
    <w:rsid w:val="646F5452"/>
    <w:rsid w:val="648727EC"/>
    <w:rsid w:val="648D5222"/>
    <w:rsid w:val="649D0CB0"/>
    <w:rsid w:val="64B2258D"/>
    <w:rsid w:val="64DE359C"/>
    <w:rsid w:val="64E30C9E"/>
    <w:rsid w:val="64E86D2F"/>
    <w:rsid w:val="65666F13"/>
    <w:rsid w:val="657C25FC"/>
    <w:rsid w:val="65997784"/>
    <w:rsid w:val="65A976E6"/>
    <w:rsid w:val="65C64C37"/>
    <w:rsid w:val="65CB560D"/>
    <w:rsid w:val="65D01190"/>
    <w:rsid w:val="66197BB5"/>
    <w:rsid w:val="66685007"/>
    <w:rsid w:val="66937BBB"/>
    <w:rsid w:val="66AB371C"/>
    <w:rsid w:val="66AE1192"/>
    <w:rsid w:val="66CA69C3"/>
    <w:rsid w:val="672F1708"/>
    <w:rsid w:val="6749368B"/>
    <w:rsid w:val="67594DFB"/>
    <w:rsid w:val="6794708A"/>
    <w:rsid w:val="67CE0CE2"/>
    <w:rsid w:val="67DA4215"/>
    <w:rsid w:val="67E42DFA"/>
    <w:rsid w:val="67ED44CB"/>
    <w:rsid w:val="6811170E"/>
    <w:rsid w:val="681D58BA"/>
    <w:rsid w:val="6833352E"/>
    <w:rsid w:val="686A6ECC"/>
    <w:rsid w:val="68946F88"/>
    <w:rsid w:val="68EB3ADC"/>
    <w:rsid w:val="6901490D"/>
    <w:rsid w:val="69240005"/>
    <w:rsid w:val="69462386"/>
    <w:rsid w:val="694C2162"/>
    <w:rsid w:val="697206C8"/>
    <w:rsid w:val="698624ED"/>
    <w:rsid w:val="69A406C2"/>
    <w:rsid w:val="69B60CF8"/>
    <w:rsid w:val="69C96ADD"/>
    <w:rsid w:val="69DC5A3B"/>
    <w:rsid w:val="69E50464"/>
    <w:rsid w:val="69F94050"/>
    <w:rsid w:val="6A12713E"/>
    <w:rsid w:val="6A2F06BE"/>
    <w:rsid w:val="6A4811D1"/>
    <w:rsid w:val="6A575201"/>
    <w:rsid w:val="6A7016FE"/>
    <w:rsid w:val="6AFC6812"/>
    <w:rsid w:val="6B017ECC"/>
    <w:rsid w:val="6B51227B"/>
    <w:rsid w:val="6B5E2EC6"/>
    <w:rsid w:val="6B7575DB"/>
    <w:rsid w:val="6BAB4ED2"/>
    <w:rsid w:val="6BFB3F37"/>
    <w:rsid w:val="6C42065A"/>
    <w:rsid w:val="6C6F44FD"/>
    <w:rsid w:val="6C8C6D07"/>
    <w:rsid w:val="6C9E7796"/>
    <w:rsid w:val="6CB53A27"/>
    <w:rsid w:val="6CB759F8"/>
    <w:rsid w:val="6CD4731D"/>
    <w:rsid w:val="6D10062D"/>
    <w:rsid w:val="6D121910"/>
    <w:rsid w:val="6D1B4473"/>
    <w:rsid w:val="6D3205F0"/>
    <w:rsid w:val="6D4C048E"/>
    <w:rsid w:val="6D5C5991"/>
    <w:rsid w:val="6D681BA3"/>
    <w:rsid w:val="6D862B60"/>
    <w:rsid w:val="6DB702B4"/>
    <w:rsid w:val="6DB9368E"/>
    <w:rsid w:val="6E2A7F0A"/>
    <w:rsid w:val="6E4462CC"/>
    <w:rsid w:val="6E500ECF"/>
    <w:rsid w:val="6E504618"/>
    <w:rsid w:val="6E6C428D"/>
    <w:rsid w:val="6EB20078"/>
    <w:rsid w:val="6EB70A1D"/>
    <w:rsid w:val="6F301CB2"/>
    <w:rsid w:val="6F3F4352"/>
    <w:rsid w:val="6F450F4D"/>
    <w:rsid w:val="6F5579D7"/>
    <w:rsid w:val="6F6D111D"/>
    <w:rsid w:val="6F740513"/>
    <w:rsid w:val="6F801AF8"/>
    <w:rsid w:val="6F8D5AAE"/>
    <w:rsid w:val="6F9C4786"/>
    <w:rsid w:val="6FB57303"/>
    <w:rsid w:val="6FB7010B"/>
    <w:rsid w:val="6FFF59CB"/>
    <w:rsid w:val="70160759"/>
    <w:rsid w:val="70200B37"/>
    <w:rsid w:val="7037013D"/>
    <w:rsid w:val="703B274B"/>
    <w:rsid w:val="704E4A67"/>
    <w:rsid w:val="70995673"/>
    <w:rsid w:val="70AA0AC2"/>
    <w:rsid w:val="70AA24EA"/>
    <w:rsid w:val="70B97CE8"/>
    <w:rsid w:val="70D46C56"/>
    <w:rsid w:val="70EA7511"/>
    <w:rsid w:val="71143E21"/>
    <w:rsid w:val="71424983"/>
    <w:rsid w:val="7150640B"/>
    <w:rsid w:val="71616F10"/>
    <w:rsid w:val="71C77CDA"/>
    <w:rsid w:val="71C93578"/>
    <w:rsid w:val="71CF5A3A"/>
    <w:rsid w:val="71DB1C81"/>
    <w:rsid w:val="71DB3B44"/>
    <w:rsid w:val="71E636DC"/>
    <w:rsid w:val="72042857"/>
    <w:rsid w:val="72516D64"/>
    <w:rsid w:val="72744030"/>
    <w:rsid w:val="72867A39"/>
    <w:rsid w:val="72C14D7E"/>
    <w:rsid w:val="72E532C0"/>
    <w:rsid w:val="72EE3608"/>
    <w:rsid w:val="72F37E30"/>
    <w:rsid w:val="7318185D"/>
    <w:rsid w:val="7322549D"/>
    <w:rsid w:val="7327462F"/>
    <w:rsid w:val="732F59FD"/>
    <w:rsid w:val="734B5574"/>
    <w:rsid w:val="7355417D"/>
    <w:rsid w:val="736C3FBB"/>
    <w:rsid w:val="73821201"/>
    <w:rsid w:val="73832905"/>
    <w:rsid w:val="738C0987"/>
    <w:rsid w:val="739F768E"/>
    <w:rsid w:val="73A75983"/>
    <w:rsid w:val="73A85DC8"/>
    <w:rsid w:val="73C54686"/>
    <w:rsid w:val="73D14742"/>
    <w:rsid w:val="73E217DB"/>
    <w:rsid w:val="73ED43C1"/>
    <w:rsid w:val="73FB25F2"/>
    <w:rsid w:val="740F6E24"/>
    <w:rsid w:val="741866C3"/>
    <w:rsid w:val="741D30D0"/>
    <w:rsid w:val="74285611"/>
    <w:rsid w:val="7430057A"/>
    <w:rsid w:val="7451673A"/>
    <w:rsid w:val="74573DE9"/>
    <w:rsid w:val="74626087"/>
    <w:rsid w:val="747F0795"/>
    <w:rsid w:val="7483582D"/>
    <w:rsid w:val="74901AB7"/>
    <w:rsid w:val="749D37F7"/>
    <w:rsid w:val="74BC6C8B"/>
    <w:rsid w:val="74D53B99"/>
    <w:rsid w:val="754C1AAF"/>
    <w:rsid w:val="76270935"/>
    <w:rsid w:val="762B3711"/>
    <w:rsid w:val="76566326"/>
    <w:rsid w:val="76696B17"/>
    <w:rsid w:val="76696D01"/>
    <w:rsid w:val="767A6966"/>
    <w:rsid w:val="76991F3B"/>
    <w:rsid w:val="76BD4E1F"/>
    <w:rsid w:val="76D8737F"/>
    <w:rsid w:val="76E279D7"/>
    <w:rsid w:val="76FC2715"/>
    <w:rsid w:val="7718204C"/>
    <w:rsid w:val="772E0626"/>
    <w:rsid w:val="773460AA"/>
    <w:rsid w:val="7752184A"/>
    <w:rsid w:val="7754709D"/>
    <w:rsid w:val="776821D3"/>
    <w:rsid w:val="776E285A"/>
    <w:rsid w:val="77B02D8D"/>
    <w:rsid w:val="77B23404"/>
    <w:rsid w:val="77C0093D"/>
    <w:rsid w:val="77C80FE0"/>
    <w:rsid w:val="77C90B9C"/>
    <w:rsid w:val="77DB4D3A"/>
    <w:rsid w:val="77EF22D8"/>
    <w:rsid w:val="7811438D"/>
    <w:rsid w:val="78204380"/>
    <w:rsid w:val="7823088B"/>
    <w:rsid w:val="78384CBC"/>
    <w:rsid w:val="784140B2"/>
    <w:rsid w:val="784258BF"/>
    <w:rsid w:val="7862008E"/>
    <w:rsid w:val="786C0DC0"/>
    <w:rsid w:val="78723138"/>
    <w:rsid w:val="78C070AB"/>
    <w:rsid w:val="78FD1105"/>
    <w:rsid w:val="791D7901"/>
    <w:rsid w:val="79340E93"/>
    <w:rsid w:val="793758F2"/>
    <w:rsid w:val="7938371E"/>
    <w:rsid w:val="79AB1E6C"/>
    <w:rsid w:val="79BB100C"/>
    <w:rsid w:val="79C0590F"/>
    <w:rsid w:val="79EE0B28"/>
    <w:rsid w:val="7A080BBF"/>
    <w:rsid w:val="7A0E1DB4"/>
    <w:rsid w:val="7A11214D"/>
    <w:rsid w:val="7A1C3197"/>
    <w:rsid w:val="7A4F2396"/>
    <w:rsid w:val="7A516C18"/>
    <w:rsid w:val="7A787ECB"/>
    <w:rsid w:val="7A875FC6"/>
    <w:rsid w:val="7A8B51CB"/>
    <w:rsid w:val="7A984514"/>
    <w:rsid w:val="7AB507FA"/>
    <w:rsid w:val="7AC634CB"/>
    <w:rsid w:val="7ACB482C"/>
    <w:rsid w:val="7AE7260F"/>
    <w:rsid w:val="7AEA6401"/>
    <w:rsid w:val="7AEB331B"/>
    <w:rsid w:val="7AF137EF"/>
    <w:rsid w:val="7B100283"/>
    <w:rsid w:val="7B193819"/>
    <w:rsid w:val="7B2531D6"/>
    <w:rsid w:val="7B3D3F94"/>
    <w:rsid w:val="7B5B11D8"/>
    <w:rsid w:val="7B5D71AA"/>
    <w:rsid w:val="7B8E193F"/>
    <w:rsid w:val="7B947C9E"/>
    <w:rsid w:val="7BAE3C2D"/>
    <w:rsid w:val="7BF90DBF"/>
    <w:rsid w:val="7C41564D"/>
    <w:rsid w:val="7C5F0EF8"/>
    <w:rsid w:val="7C8A0448"/>
    <w:rsid w:val="7C8E16C9"/>
    <w:rsid w:val="7C91123B"/>
    <w:rsid w:val="7CA10AF6"/>
    <w:rsid w:val="7CB561C0"/>
    <w:rsid w:val="7CCC277F"/>
    <w:rsid w:val="7CCD3BF4"/>
    <w:rsid w:val="7CE3033A"/>
    <w:rsid w:val="7CE87D91"/>
    <w:rsid w:val="7D0A2590"/>
    <w:rsid w:val="7D550752"/>
    <w:rsid w:val="7D6A7A29"/>
    <w:rsid w:val="7D702076"/>
    <w:rsid w:val="7D712B47"/>
    <w:rsid w:val="7DA0035E"/>
    <w:rsid w:val="7DBE0A6E"/>
    <w:rsid w:val="7DCC5A45"/>
    <w:rsid w:val="7DED6343"/>
    <w:rsid w:val="7E3F65EE"/>
    <w:rsid w:val="7E401756"/>
    <w:rsid w:val="7E630B4F"/>
    <w:rsid w:val="7E642324"/>
    <w:rsid w:val="7E831180"/>
    <w:rsid w:val="7E8B6D0C"/>
    <w:rsid w:val="7E905E0D"/>
    <w:rsid w:val="7EDA5831"/>
    <w:rsid w:val="7EFA29D7"/>
    <w:rsid w:val="7F007923"/>
    <w:rsid w:val="7F1F02F6"/>
    <w:rsid w:val="7F285EA4"/>
    <w:rsid w:val="7F3E6A4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70EBA-560E-4E7C-A664-22A449C60D13}">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168</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2022-01-10T09:49:20Z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