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81005D">
        <w:rPr>
          <w:rFonts w:ascii="Arial" w:hAnsi="Arial" w:cs="Arial"/>
          <w:b/>
          <w:sz w:val="24"/>
          <w:szCs w:val="24"/>
        </w:rPr>
        <w:t>1</w:t>
      </w:r>
      <w:r w:rsidR="00283E4A">
        <w:rPr>
          <w:rFonts w:ascii="Arial" w:hAnsi="Arial" w:cs="Arial"/>
          <w:b/>
          <w:sz w:val="24"/>
          <w:szCs w:val="24"/>
        </w:rPr>
        <w:t>-</w:t>
      </w:r>
      <w:r w:rsidR="001C2478">
        <w:rPr>
          <w:rFonts w:ascii="Arial" w:hAnsi="Arial" w:cs="Arial" w:hint="eastAsia"/>
          <w:b/>
          <w:sz w:val="24"/>
          <w:szCs w:val="24"/>
          <w:lang w:eastAsia="ko-KR"/>
        </w:rPr>
        <w:t>bis-</w:t>
      </w:r>
      <w:r w:rsidR="00A43149" w:rsidRPr="00277FAB">
        <w:rPr>
          <w:rFonts w:ascii="Arial" w:hAnsi="Arial" w:cs="Arial"/>
          <w:b/>
          <w:sz w:val="24"/>
          <w:szCs w:val="24"/>
        </w:rPr>
        <w:t>e</w:t>
      </w:r>
      <w:r w:rsidRPr="00F644CF">
        <w:rPr>
          <w:rFonts w:ascii="Arial" w:hAnsi="Arial" w:cs="Arial"/>
          <w:b/>
          <w:sz w:val="24"/>
          <w:szCs w:val="24"/>
        </w:rPr>
        <w:tab/>
        <w:t>R4-</w:t>
      </w:r>
      <w:r w:rsidR="00772801" w:rsidRPr="00772801">
        <w:rPr>
          <w:rFonts w:ascii="Arial" w:hAnsi="Arial" w:cs="Arial"/>
          <w:b/>
          <w:sz w:val="24"/>
          <w:szCs w:val="24"/>
        </w:rPr>
        <w:t>2200564</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1C2478" w:rsidRPr="004E2857">
        <w:rPr>
          <w:rFonts w:ascii="Arial" w:eastAsia="SimSun" w:hAnsi="Arial" w:cs="Arial"/>
          <w:b/>
          <w:sz w:val="24"/>
          <w:szCs w:val="24"/>
          <w:lang w:eastAsia="zh-CN"/>
        </w:rPr>
        <w:t>January 17-25,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 xml:space="preserve">NTN </w:t>
      </w:r>
      <w:r w:rsidR="00C26225">
        <w:rPr>
          <w:rFonts w:ascii="Arial" w:hAnsi="Arial" w:cs="Arial" w:hint="eastAsia"/>
          <w:lang w:val="en-US" w:eastAsia="ko-KR"/>
        </w:rPr>
        <w:t>general</w:t>
      </w:r>
      <w:r w:rsidR="00FA32D0">
        <w:rPr>
          <w:rFonts w:ascii="Arial" w:hAnsi="Arial" w:cs="Arial"/>
          <w:lang w:val="en-US" w:eastAsia="ko-KR"/>
        </w:rPr>
        <w:t xml:space="preserve"> requirements</w:t>
      </w:r>
      <w:bookmarkStart w:id="0" w:name="_GoBack"/>
      <w:bookmarkEnd w:id="0"/>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C2478">
        <w:rPr>
          <w:rFonts w:ascii="Arial" w:hAnsi="Arial" w:cs="Arial"/>
          <w:lang w:val="en-US" w:eastAsia="ko-KR"/>
        </w:rPr>
        <w:t>6</w:t>
      </w:r>
      <w:r w:rsidR="00346A88">
        <w:rPr>
          <w:rFonts w:ascii="Arial" w:hAnsi="Arial" w:cs="Arial"/>
          <w:lang w:val="en-US" w:eastAsia="ko-KR"/>
        </w:rPr>
        <w:t>.1</w:t>
      </w:r>
      <w:r w:rsidR="00FA32D0">
        <w:rPr>
          <w:rFonts w:ascii="Arial" w:hAnsi="Arial" w:cs="Arial"/>
          <w:lang w:val="en-US" w:eastAsia="ko-KR"/>
        </w:rPr>
        <w:t>3</w:t>
      </w:r>
      <w:r w:rsidR="00346A88">
        <w:rPr>
          <w:rFonts w:ascii="Arial" w:hAnsi="Arial" w:cs="Arial"/>
          <w:lang w:val="en-US" w:eastAsia="ko-KR"/>
        </w:rPr>
        <w:t>.</w:t>
      </w:r>
      <w:r w:rsidR="00FA32D0">
        <w:rPr>
          <w:rFonts w:ascii="Arial" w:hAnsi="Arial" w:cs="Arial"/>
          <w:lang w:val="en-US" w:eastAsia="ko-KR"/>
        </w:rPr>
        <w:t>5</w:t>
      </w:r>
      <w:r w:rsidR="00346A88">
        <w:rPr>
          <w:rFonts w:ascii="Arial" w:hAnsi="Arial" w:cs="Arial"/>
          <w:lang w:val="en-US" w:eastAsia="ko-KR"/>
        </w:rPr>
        <w:t>.</w:t>
      </w:r>
      <w:r w:rsidR="00C26225">
        <w:rPr>
          <w:rFonts w:ascii="Arial" w:hAnsi="Arial" w:cs="Arial"/>
          <w:lang w:val="en-US" w:eastAsia="ko-KR"/>
        </w:rPr>
        <w:t>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w:t>
      </w:r>
      <w:r w:rsidR="004E72D3">
        <w:rPr>
          <w:lang w:val="en-US" w:eastAsia="ko-KR"/>
        </w:rPr>
        <w:t xml:space="preserve">the </w:t>
      </w:r>
      <w:r w:rsidR="00374DF4">
        <w:rPr>
          <w:lang w:val="en-US" w:eastAsia="ko-KR"/>
        </w:rPr>
        <w:t>NTN RRM requirements was approved. Several issues remain for general requirements. In this contribution, we provide our views on the general requirements for NTN.</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740E28" w:rsidRDefault="00740E28" w:rsidP="00293545">
      <w:pPr>
        <w:pStyle w:val="2"/>
        <w:rPr>
          <w:lang w:val="en-US" w:eastAsia="ko-KR"/>
        </w:rPr>
      </w:pPr>
      <w:r>
        <w:rPr>
          <w:rFonts w:hint="eastAsia"/>
          <w:lang w:val="en-US" w:eastAsia="ko-KR"/>
        </w:rPr>
        <w:t>RRM requirements for RRC Connected mode</w:t>
      </w:r>
    </w:p>
    <w:p w:rsidR="00740E28" w:rsidRDefault="00C44B35" w:rsidP="00C44B35">
      <w:pPr>
        <w:pStyle w:val="a0"/>
        <w:jc w:val="both"/>
        <w:rPr>
          <w:lang w:val="en-US" w:eastAsia="ko-KR"/>
        </w:rPr>
      </w:pPr>
      <w:r>
        <w:rPr>
          <w:rFonts w:hint="eastAsia"/>
          <w:lang w:val="en-US" w:eastAsia="ko-KR"/>
        </w:rPr>
        <w:t xml:space="preserve">In the last RAN4 meeting, the connected mode measurement/mobility requirements for TN-NTN are not precluded in Rel-17 since TN-NTN measurement/mobility requirements would be not much different NTN-NTN measurement/mobility </w:t>
      </w:r>
      <w:r>
        <w:rPr>
          <w:lang w:val="en-US" w:eastAsia="ko-KR"/>
        </w:rPr>
        <w:t>requirements</w:t>
      </w:r>
      <w:r>
        <w:rPr>
          <w:rFonts w:hint="eastAsia"/>
          <w:lang w:val="en-US" w:eastAsia="ko-KR"/>
        </w:rPr>
        <w:t xml:space="preserve">. </w:t>
      </w:r>
      <w:r>
        <w:rPr>
          <w:lang w:val="en-US" w:eastAsia="ko-KR"/>
        </w:rPr>
        <w:t>And, Rel-18 NTN WID [</w:t>
      </w:r>
      <w:r w:rsidR="00DA5C1A">
        <w:rPr>
          <w:lang w:val="en-US" w:eastAsia="ko-KR"/>
        </w:rPr>
        <w:t>2</w:t>
      </w:r>
      <w:r>
        <w:rPr>
          <w:lang w:val="en-US" w:eastAsia="ko-KR"/>
        </w:rPr>
        <w:t xml:space="preserve">] was approved in the RAN#94e meeting. One of the objectives is NTN-TN and NTN-NTN mobility and service continuity enhancements. So, RAN4 to specify NTN-TN and NTN-NTN measurement/mobility and service continuity enhancements in Rel-18. </w:t>
      </w:r>
      <w:r w:rsidR="00C425B6">
        <w:rPr>
          <w:lang w:val="en-US" w:eastAsia="ko-KR"/>
        </w:rPr>
        <w:t>Considering Rel-17 time frame and remaining issues, TN-NTN measurement/mobility requirements could be postponed in the next release, and RAN4 needs to focus on finalizing remaining issues.</w:t>
      </w:r>
    </w:p>
    <w:p w:rsidR="00C425B6" w:rsidRDefault="00C425B6" w:rsidP="00C425B6">
      <w:pPr>
        <w:pStyle w:val="a0"/>
        <w:numPr>
          <w:ilvl w:val="0"/>
          <w:numId w:val="9"/>
        </w:numPr>
        <w:jc w:val="both"/>
        <w:rPr>
          <w:lang w:val="en-US" w:eastAsia="ko-KR"/>
        </w:rPr>
      </w:pPr>
      <w:r w:rsidRPr="00C425B6">
        <w:rPr>
          <w:b/>
          <w:i/>
          <w:lang w:val="en-US" w:eastAsia="ko-KR"/>
        </w:rPr>
        <w:t>Proposal 1</w:t>
      </w:r>
      <w:r>
        <w:rPr>
          <w:lang w:val="en-US" w:eastAsia="ko-KR"/>
        </w:rPr>
        <w:t>: Postpone to define TN-NTN measurement/mobility requirements</w:t>
      </w:r>
      <w:r w:rsidR="0024741A">
        <w:rPr>
          <w:lang w:val="en-US" w:eastAsia="ko-KR"/>
        </w:rPr>
        <w:t xml:space="preserve"> for RRC Connected mode</w:t>
      </w:r>
      <w:r>
        <w:rPr>
          <w:lang w:val="en-US" w:eastAsia="ko-KR"/>
        </w:rPr>
        <w:t xml:space="preserve"> in Rel-18.</w:t>
      </w:r>
    </w:p>
    <w:p w:rsidR="003803E0" w:rsidRDefault="003803E0" w:rsidP="00740E28">
      <w:pPr>
        <w:pStyle w:val="a0"/>
        <w:rPr>
          <w:lang w:val="en-US" w:eastAsia="ko-KR"/>
        </w:rPr>
      </w:pPr>
    </w:p>
    <w:p w:rsidR="00CD1165" w:rsidRDefault="00CD1165" w:rsidP="00CD1165">
      <w:pPr>
        <w:pStyle w:val="2"/>
        <w:rPr>
          <w:lang w:val="en-US" w:eastAsia="ko-KR"/>
        </w:rPr>
      </w:pPr>
      <w:r>
        <w:rPr>
          <w:rFonts w:hint="eastAsia"/>
          <w:lang w:val="en-US" w:eastAsia="ko-KR"/>
        </w:rPr>
        <w:t>DRX Cycle</w:t>
      </w:r>
    </w:p>
    <w:p w:rsidR="00CD1165" w:rsidRDefault="002F71AD" w:rsidP="00740E28">
      <w:pPr>
        <w:pStyle w:val="a0"/>
        <w:rPr>
          <w:lang w:val="en-US" w:eastAsia="ko-KR"/>
        </w:rPr>
      </w:pPr>
      <w:r>
        <w:rPr>
          <w:rFonts w:hint="eastAsia"/>
          <w:lang w:val="en-US" w:eastAsia="ko-KR"/>
        </w:rPr>
        <w:t xml:space="preserve">For GEO and NGSO, RAN4 has made agreement that all Rel-16 DRX cycle lengths are applicable. </w:t>
      </w:r>
      <w:r>
        <w:rPr>
          <w:lang w:val="en-US" w:eastAsia="ko-KR"/>
        </w:rPr>
        <w:t xml:space="preserve">However, for earth moving satellite, it is still open whether existing DRX cycle lengths are applicable or not. In IDLE mode, timing information (a cell is going to stop serving the area) and location assisted cell reselection are for quasi-earth fixed cell based on RAN2 agreements. So, it is better to postpone moving cell related requirements in the next release. </w:t>
      </w:r>
    </w:p>
    <w:p w:rsidR="002F71AD" w:rsidRDefault="00374DF4" w:rsidP="002F71AD">
      <w:pPr>
        <w:pStyle w:val="a0"/>
        <w:numPr>
          <w:ilvl w:val="0"/>
          <w:numId w:val="9"/>
        </w:numPr>
        <w:rPr>
          <w:lang w:val="en-US" w:eastAsia="ko-KR"/>
        </w:rPr>
      </w:pPr>
      <w:r w:rsidRPr="00374DF4">
        <w:rPr>
          <w:b/>
          <w:i/>
          <w:lang w:val="en-US" w:eastAsia="ko-KR"/>
        </w:rPr>
        <w:t>Proposal 2</w:t>
      </w:r>
      <w:r>
        <w:rPr>
          <w:lang w:val="en-US" w:eastAsia="ko-KR"/>
        </w:rPr>
        <w:t>: RAN4 to define RRM requirements for quasi-earth fixed cell in Rel-17, and postpone to define RRM requirements for moving cell in the next release.</w:t>
      </w:r>
    </w:p>
    <w:p w:rsidR="00CD1165" w:rsidRPr="00740E28" w:rsidRDefault="00CD1165" w:rsidP="00740E28">
      <w:pPr>
        <w:pStyle w:val="a0"/>
        <w:rPr>
          <w:lang w:val="en-US" w:eastAsia="ko-KR"/>
        </w:rPr>
      </w:pPr>
    </w:p>
    <w:p w:rsidR="00740E28" w:rsidRPr="00740E28" w:rsidRDefault="00740E28" w:rsidP="00293545">
      <w:pPr>
        <w:pStyle w:val="2"/>
        <w:rPr>
          <w:lang w:val="en-US" w:eastAsia="ko-KR"/>
        </w:rPr>
      </w:pPr>
      <w:r>
        <w:rPr>
          <w:rFonts w:hint="eastAsia"/>
          <w:lang w:val="en-US" w:eastAsia="ko-KR"/>
        </w:rPr>
        <w:t>Measurement based on Cell Service Time</w:t>
      </w:r>
    </w:p>
    <w:p w:rsidR="00FA32D0" w:rsidRDefault="001F48E6" w:rsidP="009654CC">
      <w:pPr>
        <w:spacing w:line="276" w:lineRule="auto"/>
        <w:jc w:val="both"/>
        <w:rPr>
          <w:lang w:val="en-US" w:eastAsia="ko-KR"/>
        </w:rPr>
      </w:pPr>
      <w:r>
        <w:rPr>
          <w:rFonts w:hint="eastAsia"/>
          <w:lang w:val="en-US" w:eastAsia="ko-KR"/>
        </w:rPr>
        <w:t>In the last meeting, the measurement starti</w:t>
      </w:r>
      <w:r>
        <w:rPr>
          <w:lang w:val="en-US" w:eastAsia="ko-KR"/>
        </w:rPr>
        <w:t xml:space="preserve">ng time in IDLE mode when </w:t>
      </w:r>
      <w:r w:rsidR="00DB32EA">
        <w:rPr>
          <w:lang w:val="en-US" w:eastAsia="ko-KR"/>
        </w:rPr>
        <w:t xml:space="preserve">serving cell stop time is provided was discussed. Based on RAN2 agreements, if cell stop time is broadcast, a UE should start measurement on neighbor cells before the broadcast stop time of the serving cell, and measurement starting time is up to UE implementation. However, the measurement </w:t>
      </w:r>
      <w:r w:rsidR="00FC4677">
        <w:rPr>
          <w:lang w:val="en-US" w:eastAsia="ko-KR"/>
        </w:rPr>
        <w:t>starting time is related measurement requirements, so it should be RAN4 issue. In other words, to guarantee time to detect, measure, and evaluate intra/inter-frequency cells, a UE should start measurement on neighbor cells</w:t>
      </w:r>
      <w:r w:rsidR="00002B90">
        <w:rPr>
          <w:lang w:val="en-US" w:eastAsia="ko-KR"/>
        </w:rPr>
        <w:t xml:space="preserve"> at least</w:t>
      </w:r>
      <w:r w:rsidR="00FC4677">
        <w:rPr>
          <w:lang w:val="en-US" w:eastAsia="ko-KR"/>
        </w:rPr>
        <w:t xml:space="preserve"> before </w:t>
      </w:r>
      <w:r w:rsidR="00002B90">
        <w:rPr>
          <w:lang w:val="en-US" w:eastAsia="ko-KR"/>
        </w:rPr>
        <w:t xml:space="preserve">X ms </w:t>
      </w:r>
      <w:r w:rsidR="00942345">
        <w:rPr>
          <w:lang w:val="en-US" w:eastAsia="ko-KR"/>
        </w:rPr>
        <w:t>prior to</w:t>
      </w:r>
      <w:r w:rsidR="00002B90">
        <w:rPr>
          <w:lang w:val="en-US" w:eastAsia="ko-KR"/>
        </w:rPr>
        <w:t xml:space="preserve"> cell stop time. X could be measurement time for intra/inter-frequency cell depending on DRX cycle.</w:t>
      </w:r>
    </w:p>
    <w:p w:rsidR="00002B90" w:rsidRDefault="00002B90" w:rsidP="00002B90">
      <w:pPr>
        <w:pStyle w:val="ad"/>
        <w:numPr>
          <w:ilvl w:val="0"/>
          <w:numId w:val="9"/>
        </w:numPr>
        <w:spacing w:line="276" w:lineRule="auto"/>
        <w:ind w:leftChars="0"/>
        <w:jc w:val="both"/>
        <w:rPr>
          <w:lang w:val="en-US" w:eastAsia="ko-KR"/>
        </w:rPr>
      </w:pPr>
      <w:r w:rsidRPr="00002B90">
        <w:rPr>
          <w:rFonts w:hint="eastAsia"/>
          <w:b/>
          <w:i/>
          <w:lang w:val="en-US" w:eastAsia="ko-KR"/>
        </w:rPr>
        <w:t xml:space="preserve">Proposal </w:t>
      </w:r>
      <w:r w:rsidR="00374DF4">
        <w:rPr>
          <w:b/>
          <w:i/>
          <w:lang w:val="en-US" w:eastAsia="ko-KR"/>
        </w:rPr>
        <w:t>3</w:t>
      </w:r>
      <w:r>
        <w:rPr>
          <w:rFonts w:hint="eastAsia"/>
          <w:lang w:val="en-US" w:eastAsia="ko-KR"/>
        </w:rPr>
        <w:t xml:space="preserve">: </w:t>
      </w:r>
      <w:r>
        <w:rPr>
          <w:lang w:val="en-US" w:eastAsia="ko-KR"/>
        </w:rPr>
        <w:t>In IDLE mode, the measurement for intra/inter-frequency cells</w:t>
      </w:r>
      <w:r w:rsidR="00B11475">
        <w:rPr>
          <w:lang w:val="en-US" w:eastAsia="ko-KR"/>
        </w:rPr>
        <w:t xml:space="preserve"> (quasi-</w:t>
      </w:r>
      <w:r w:rsidR="003803E0">
        <w:rPr>
          <w:lang w:val="en-US" w:eastAsia="ko-KR"/>
        </w:rPr>
        <w:t>earth fixed cell)</w:t>
      </w:r>
      <w:r>
        <w:rPr>
          <w:lang w:val="en-US" w:eastAsia="ko-KR"/>
        </w:rPr>
        <w:t xml:space="preserve"> should start at least before X ms </w:t>
      </w:r>
      <w:r w:rsidR="00942345">
        <w:rPr>
          <w:lang w:val="en-US" w:eastAsia="ko-KR"/>
        </w:rPr>
        <w:t>prior to</w:t>
      </w:r>
      <w:r>
        <w:rPr>
          <w:lang w:val="en-US" w:eastAsia="ko-KR"/>
        </w:rPr>
        <w:t xml:space="preserve"> cell stop time if cell stop time is provided.</w:t>
      </w:r>
    </w:p>
    <w:p w:rsidR="00002B90" w:rsidRDefault="00002B90" w:rsidP="00002B90">
      <w:pPr>
        <w:pStyle w:val="ad"/>
        <w:numPr>
          <w:ilvl w:val="1"/>
          <w:numId w:val="9"/>
        </w:numPr>
        <w:spacing w:line="276" w:lineRule="auto"/>
        <w:ind w:leftChars="0" w:left="1701" w:hanging="141"/>
        <w:jc w:val="both"/>
        <w:rPr>
          <w:lang w:val="en-US" w:eastAsia="ko-KR"/>
        </w:rPr>
      </w:pPr>
      <w:r>
        <w:rPr>
          <w:lang w:val="en-US" w:eastAsia="ko-KR"/>
        </w:rPr>
        <w:t>X could be measurement time for intra/inter-frequency cell depending on DRX cycle.</w:t>
      </w:r>
    </w:p>
    <w:p w:rsidR="00942345" w:rsidRDefault="00942345" w:rsidP="00942345">
      <w:pPr>
        <w:spacing w:line="276" w:lineRule="auto"/>
        <w:jc w:val="both"/>
        <w:rPr>
          <w:lang w:val="en-US" w:eastAsia="ko-KR"/>
        </w:rPr>
      </w:pPr>
    </w:p>
    <w:p w:rsidR="003803E0" w:rsidRPr="00942345" w:rsidRDefault="00B11475" w:rsidP="00942345">
      <w:pPr>
        <w:spacing w:line="276" w:lineRule="auto"/>
        <w:jc w:val="both"/>
        <w:rPr>
          <w:lang w:val="en-US" w:eastAsia="ko-KR"/>
        </w:rPr>
      </w:pPr>
      <w:r>
        <w:rPr>
          <w:rFonts w:hint="eastAsia"/>
          <w:lang w:val="en-US" w:eastAsia="ko-KR"/>
        </w:rPr>
        <w:t xml:space="preserve">Following agreement </w:t>
      </w:r>
      <w:r>
        <w:rPr>
          <w:lang w:val="en-US" w:eastAsia="ko-KR"/>
        </w:rPr>
        <w:t>was</w:t>
      </w:r>
      <w:r>
        <w:rPr>
          <w:rFonts w:hint="eastAsia"/>
          <w:lang w:val="en-US" w:eastAsia="ko-KR"/>
        </w:rPr>
        <w:t xml:space="preserve"> made by RAN2. </w:t>
      </w:r>
      <w:r>
        <w:rPr>
          <w:lang w:val="en-US" w:eastAsia="ko-KR"/>
        </w:rPr>
        <w:t xml:space="preserve">The measurement on neighbor cells should start before the serving cell stops covering current area even if the legacy Srxlev/Squal condition is met. This is different UE measurement behavior from TN IDLE measurement behavior. </w:t>
      </w:r>
    </w:p>
    <w:tbl>
      <w:tblPr>
        <w:tblStyle w:val="a9"/>
        <w:tblW w:w="0" w:type="auto"/>
        <w:tblLook w:val="04A0" w:firstRow="1" w:lastRow="0" w:firstColumn="1" w:lastColumn="0" w:noHBand="0" w:noVBand="1"/>
      </w:tblPr>
      <w:tblGrid>
        <w:gridCol w:w="9855"/>
      </w:tblGrid>
      <w:tr w:rsidR="00A03030" w:rsidTr="00A03030">
        <w:tc>
          <w:tcPr>
            <w:tcW w:w="9855" w:type="dxa"/>
          </w:tcPr>
          <w:p w:rsidR="00A03030" w:rsidRPr="00A03030" w:rsidRDefault="00A03030" w:rsidP="00A03030">
            <w:pPr>
              <w:spacing w:line="276" w:lineRule="auto"/>
              <w:jc w:val="both"/>
              <w:rPr>
                <w:lang w:val="en-US" w:eastAsia="ko-KR"/>
              </w:rPr>
            </w:pPr>
            <w:r w:rsidRPr="00A03030">
              <w:rPr>
                <w:rFonts w:hint="eastAsia"/>
                <w:highlight w:val="green"/>
                <w:lang w:val="en-US" w:eastAsia="ko-KR"/>
              </w:rPr>
              <w:t>R</w:t>
            </w:r>
            <w:r w:rsidRPr="00A03030">
              <w:rPr>
                <w:highlight w:val="green"/>
                <w:lang w:val="en-US" w:eastAsia="ko-KR"/>
              </w:rPr>
              <w:t>AN2#116-e agreements</w:t>
            </w:r>
          </w:p>
          <w:p w:rsidR="00A03030" w:rsidRPr="00A03030" w:rsidRDefault="0028495E" w:rsidP="009654CC">
            <w:pPr>
              <w:pStyle w:val="ad"/>
              <w:numPr>
                <w:ilvl w:val="0"/>
                <w:numId w:val="12"/>
              </w:numPr>
              <w:spacing w:line="276" w:lineRule="auto"/>
              <w:ind w:leftChars="0" w:left="313" w:hanging="284"/>
              <w:jc w:val="both"/>
              <w:rPr>
                <w:lang w:val="en-US" w:eastAsia="ko-KR"/>
              </w:rPr>
            </w:pPr>
            <w:r w:rsidRPr="00A03030">
              <w:rPr>
                <w:lang w:val="en-US" w:eastAsia="ko-KR"/>
              </w:rPr>
              <w:lastRenderedPageBreak/>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tc>
      </w:tr>
    </w:tbl>
    <w:p w:rsidR="00B11475" w:rsidRDefault="00B11475" w:rsidP="009654CC">
      <w:pPr>
        <w:spacing w:line="276" w:lineRule="auto"/>
        <w:jc w:val="both"/>
        <w:rPr>
          <w:lang w:val="en-US" w:eastAsia="ko-KR"/>
        </w:rPr>
      </w:pPr>
      <w:r>
        <w:rPr>
          <w:lang w:val="en-US" w:eastAsia="ko-KR"/>
        </w:rPr>
        <w:lastRenderedPageBreak/>
        <w:t>T</w:t>
      </w:r>
      <w:r>
        <w:rPr>
          <w:rFonts w:hint="eastAsia"/>
          <w:lang w:val="en-US" w:eastAsia="ko-KR"/>
        </w:rPr>
        <w:t>herefore,</w:t>
      </w:r>
      <w:r>
        <w:rPr>
          <w:lang w:val="en-US" w:eastAsia="ko-KR"/>
        </w:rPr>
        <w:t xml:space="preserve"> </w:t>
      </w:r>
      <w:r w:rsidR="002A02AD">
        <w:rPr>
          <w:lang w:val="en-US" w:eastAsia="ko-KR"/>
        </w:rPr>
        <w:t xml:space="preserve">a </w:t>
      </w:r>
      <w:r>
        <w:rPr>
          <w:lang w:val="en-US" w:eastAsia="ko-KR"/>
        </w:rPr>
        <w:t xml:space="preserve">UE shall search and measure neighbor cells </w:t>
      </w:r>
      <w:r w:rsidR="002A02AD">
        <w:rPr>
          <w:lang w:val="en-US" w:eastAsia="ko-KR"/>
        </w:rPr>
        <w:t xml:space="preserve">at least </w:t>
      </w:r>
      <w:r>
        <w:rPr>
          <w:lang w:val="en-US" w:eastAsia="ko-KR"/>
        </w:rPr>
        <w:t>before</w:t>
      </w:r>
      <w:r w:rsidR="002A02AD">
        <w:rPr>
          <w:lang w:val="en-US" w:eastAsia="ko-KR"/>
        </w:rPr>
        <w:t xml:space="preserve"> X ms prior to cell stop time if the cell stop time is provided, regardless of </w:t>
      </w:r>
      <w:r>
        <w:rPr>
          <w:lang w:val="en-US" w:eastAsia="ko-KR"/>
        </w:rPr>
        <w:t xml:space="preserve">the </w:t>
      </w:r>
      <w:r w:rsidR="002A02AD">
        <w:rPr>
          <w:lang w:val="en-US" w:eastAsia="ko-KR"/>
        </w:rPr>
        <w:t>distance between the UE and serving cell location or if legacy S</w:t>
      </w:r>
      <w:r w:rsidR="002A02AD" w:rsidRPr="002A02AD">
        <w:rPr>
          <w:vertAlign w:val="subscript"/>
          <w:lang w:val="en-US" w:eastAsia="ko-KR"/>
        </w:rPr>
        <w:t>rxlev</w:t>
      </w:r>
      <w:r w:rsidR="002A02AD">
        <w:rPr>
          <w:lang w:val="en-US" w:eastAsia="ko-KR"/>
        </w:rPr>
        <w:t>/S</w:t>
      </w:r>
      <w:r w:rsidR="002A02AD" w:rsidRPr="002A02AD">
        <w:rPr>
          <w:vertAlign w:val="subscript"/>
          <w:lang w:val="en-US" w:eastAsia="ko-KR"/>
        </w:rPr>
        <w:t>qual</w:t>
      </w:r>
      <w:r w:rsidR="002A02AD">
        <w:rPr>
          <w:lang w:val="en-US" w:eastAsia="ko-KR"/>
        </w:rPr>
        <w:t xml:space="preserve"> condition is met. It should be captured in the RRM specification.</w:t>
      </w:r>
    </w:p>
    <w:p w:rsidR="002A02AD" w:rsidRPr="002A02AD" w:rsidRDefault="002A02AD" w:rsidP="002A02AD">
      <w:pPr>
        <w:pStyle w:val="ad"/>
        <w:numPr>
          <w:ilvl w:val="0"/>
          <w:numId w:val="9"/>
        </w:numPr>
        <w:spacing w:line="276" w:lineRule="auto"/>
        <w:ind w:leftChars="0"/>
        <w:jc w:val="both"/>
        <w:rPr>
          <w:lang w:val="en-US" w:eastAsia="ko-KR"/>
        </w:rPr>
      </w:pPr>
      <w:r w:rsidRPr="008B304A">
        <w:rPr>
          <w:rFonts w:hint="eastAsia"/>
          <w:b/>
          <w:i/>
          <w:lang w:val="en-US" w:eastAsia="ko-KR"/>
        </w:rPr>
        <w:t xml:space="preserve">Proposal </w:t>
      </w:r>
      <w:r w:rsidR="00374DF4">
        <w:rPr>
          <w:b/>
          <w:i/>
          <w:lang w:val="en-US" w:eastAsia="ko-KR"/>
        </w:rPr>
        <w:t>4</w:t>
      </w:r>
      <w:r>
        <w:rPr>
          <w:rFonts w:hint="eastAsia"/>
          <w:lang w:val="en-US" w:eastAsia="ko-KR"/>
        </w:rPr>
        <w:t>: Following condition should be captured in RRM specification</w:t>
      </w:r>
      <w:r>
        <w:rPr>
          <w:lang w:val="en-US" w:eastAsia="ko-KR"/>
        </w:rPr>
        <w:t>.</w:t>
      </w:r>
      <w:r>
        <w:rPr>
          <w:rFonts w:hint="eastAsia"/>
          <w:lang w:val="en-US" w:eastAsia="ko-KR"/>
        </w:rPr>
        <w:t xml:space="preserve"> </w:t>
      </w:r>
    </w:p>
    <w:p w:rsidR="00164438" w:rsidRDefault="002A02AD" w:rsidP="002A02AD">
      <w:pPr>
        <w:pStyle w:val="ad"/>
        <w:numPr>
          <w:ilvl w:val="1"/>
          <w:numId w:val="9"/>
        </w:numPr>
        <w:spacing w:line="276" w:lineRule="auto"/>
        <w:ind w:leftChars="0" w:left="1701" w:hanging="141"/>
        <w:jc w:val="both"/>
        <w:rPr>
          <w:lang w:val="en-US" w:eastAsia="ko-KR"/>
        </w:rPr>
      </w:pPr>
      <w:r>
        <w:rPr>
          <w:lang w:val="en-US" w:eastAsia="ko-KR"/>
        </w:rPr>
        <w:t>The UE shall search and measure neighbor cells at least before X ms prior to cell stop time if the cell stop time is provided, regardless of the distance between the UE and serving cell location or if legacy S</w:t>
      </w:r>
      <w:r w:rsidRPr="002A02AD">
        <w:rPr>
          <w:vertAlign w:val="subscript"/>
          <w:lang w:val="en-US" w:eastAsia="ko-KR"/>
        </w:rPr>
        <w:t>rxlev</w:t>
      </w:r>
      <w:r>
        <w:rPr>
          <w:lang w:val="en-US" w:eastAsia="ko-KR"/>
        </w:rPr>
        <w:t>/S</w:t>
      </w:r>
      <w:r w:rsidRPr="002A02AD">
        <w:rPr>
          <w:vertAlign w:val="subscript"/>
          <w:lang w:val="en-US" w:eastAsia="ko-KR"/>
        </w:rPr>
        <w:t>qual</w:t>
      </w:r>
      <w:r>
        <w:rPr>
          <w:lang w:val="en-US" w:eastAsia="ko-KR"/>
        </w:rPr>
        <w:t xml:space="preserve"> condition is met.</w:t>
      </w:r>
    </w:p>
    <w:p w:rsidR="00164438" w:rsidRPr="00C425B6" w:rsidRDefault="00164438" w:rsidP="009654CC">
      <w:pPr>
        <w:spacing w:line="276" w:lineRule="auto"/>
        <w:jc w:val="both"/>
        <w:rPr>
          <w:lang w:val="en-US" w:eastAsia="ko-KR"/>
        </w:rPr>
      </w:pPr>
    </w:p>
    <w:p w:rsidR="00740E28" w:rsidRDefault="00740E28"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374DF4">
        <w:rPr>
          <w:lang w:val="en-US" w:eastAsia="ko-KR"/>
        </w:rPr>
        <w:t>general requirements for</w:t>
      </w:r>
      <w:r w:rsidR="009404A8">
        <w:rPr>
          <w:lang w:val="en-US" w:eastAsia="ko-KR"/>
        </w:rPr>
        <w:t xml:space="preserve"> NTN, and we propose</w:t>
      </w:r>
      <w:r w:rsidR="00563CAF">
        <w:rPr>
          <w:lang w:val="en-US" w:eastAsia="ko-KR"/>
        </w:rPr>
        <w:t xml:space="preserve"> </w:t>
      </w:r>
    </w:p>
    <w:p w:rsidR="00374DF4" w:rsidRDefault="00374DF4" w:rsidP="00374DF4">
      <w:pPr>
        <w:pStyle w:val="a0"/>
        <w:numPr>
          <w:ilvl w:val="0"/>
          <w:numId w:val="7"/>
        </w:numPr>
        <w:jc w:val="both"/>
        <w:rPr>
          <w:lang w:val="en-US" w:eastAsia="ko-KR"/>
        </w:rPr>
      </w:pPr>
      <w:r w:rsidRPr="00C425B6">
        <w:rPr>
          <w:b/>
          <w:i/>
          <w:lang w:val="en-US" w:eastAsia="ko-KR"/>
        </w:rPr>
        <w:t>Proposal 1</w:t>
      </w:r>
      <w:r>
        <w:rPr>
          <w:lang w:val="en-US" w:eastAsia="ko-KR"/>
        </w:rPr>
        <w:t xml:space="preserve">: Postpone to define TN-NTN measurement/mobility requirements </w:t>
      </w:r>
      <w:r w:rsidR="0024741A">
        <w:rPr>
          <w:lang w:val="en-US" w:eastAsia="ko-KR"/>
        </w:rPr>
        <w:t xml:space="preserve">for RRC Connected mode </w:t>
      </w:r>
      <w:r>
        <w:rPr>
          <w:lang w:val="en-US" w:eastAsia="ko-KR"/>
        </w:rPr>
        <w:t>in Rel-18.</w:t>
      </w:r>
    </w:p>
    <w:p w:rsidR="009404A8" w:rsidRDefault="00374DF4" w:rsidP="009404A8">
      <w:pPr>
        <w:pStyle w:val="a0"/>
        <w:numPr>
          <w:ilvl w:val="0"/>
          <w:numId w:val="7"/>
        </w:numPr>
        <w:jc w:val="both"/>
        <w:rPr>
          <w:lang w:val="en-US" w:eastAsia="ko-KR"/>
        </w:rPr>
      </w:pPr>
      <w:r w:rsidRPr="00374DF4">
        <w:rPr>
          <w:b/>
          <w:i/>
          <w:lang w:val="en-US" w:eastAsia="ko-KR"/>
        </w:rPr>
        <w:t>Proposal 2</w:t>
      </w:r>
      <w:r>
        <w:rPr>
          <w:lang w:val="en-US" w:eastAsia="ko-KR"/>
        </w:rPr>
        <w:t>: RAN4 to define RRM requirements for quasi-earth fixed cell in Rel-17, and postpone to define RRM requirements for moving cell in the next release.</w:t>
      </w:r>
    </w:p>
    <w:p w:rsidR="00374DF4" w:rsidRDefault="00374DF4" w:rsidP="00374DF4">
      <w:pPr>
        <w:pStyle w:val="ad"/>
        <w:numPr>
          <w:ilvl w:val="0"/>
          <w:numId w:val="7"/>
        </w:numPr>
        <w:spacing w:line="276" w:lineRule="auto"/>
        <w:ind w:leftChars="0"/>
        <w:jc w:val="both"/>
        <w:rPr>
          <w:lang w:val="en-US" w:eastAsia="ko-KR"/>
        </w:rPr>
      </w:pPr>
      <w:r w:rsidRPr="00002B90">
        <w:rPr>
          <w:rFonts w:hint="eastAsia"/>
          <w:b/>
          <w:i/>
          <w:lang w:val="en-US" w:eastAsia="ko-KR"/>
        </w:rPr>
        <w:t xml:space="preserve">Proposal </w:t>
      </w:r>
      <w:r>
        <w:rPr>
          <w:b/>
          <w:i/>
          <w:lang w:val="en-US" w:eastAsia="ko-KR"/>
        </w:rPr>
        <w:t>3</w:t>
      </w:r>
      <w:r>
        <w:rPr>
          <w:rFonts w:hint="eastAsia"/>
          <w:lang w:val="en-US" w:eastAsia="ko-KR"/>
        </w:rPr>
        <w:t xml:space="preserve">: </w:t>
      </w:r>
      <w:r>
        <w:rPr>
          <w:lang w:val="en-US" w:eastAsia="ko-KR"/>
        </w:rPr>
        <w:t>In IDLE mode, the measurement for intra/inter-frequency cells (quasi-earth fixed cell) should start at least before X ms prior to cell stop time if cell stop time is provided.</w:t>
      </w:r>
    </w:p>
    <w:p w:rsidR="00DA5C1A" w:rsidRDefault="00374DF4" w:rsidP="00DA5C1A">
      <w:pPr>
        <w:pStyle w:val="ad"/>
        <w:numPr>
          <w:ilvl w:val="1"/>
          <w:numId w:val="9"/>
        </w:numPr>
        <w:spacing w:line="276" w:lineRule="auto"/>
        <w:ind w:leftChars="0" w:left="1701" w:hanging="141"/>
        <w:jc w:val="both"/>
        <w:rPr>
          <w:lang w:val="en-US" w:eastAsia="ko-KR"/>
        </w:rPr>
      </w:pPr>
      <w:r>
        <w:rPr>
          <w:lang w:val="en-US" w:eastAsia="ko-KR"/>
        </w:rPr>
        <w:t>X could be measurement time for intra/inter-frequency cell depending on DRX cycle.</w:t>
      </w:r>
    </w:p>
    <w:p w:rsidR="00DA5C1A" w:rsidRPr="002A02AD" w:rsidRDefault="00DA5C1A" w:rsidP="00DA5C1A">
      <w:pPr>
        <w:pStyle w:val="ad"/>
        <w:numPr>
          <w:ilvl w:val="0"/>
          <w:numId w:val="9"/>
        </w:numPr>
        <w:spacing w:line="276" w:lineRule="auto"/>
        <w:ind w:leftChars="0"/>
        <w:jc w:val="both"/>
        <w:rPr>
          <w:lang w:val="en-US" w:eastAsia="ko-KR"/>
        </w:rPr>
      </w:pPr>
      <w:r w:rsidRPr="008B304A">
        <w:rPr>
          <w:rFonts w:hint="eastAsia"/>
          <w:b/>
          <w:i/>
          <w:lang w:val="en-US" w:eastAsia="ko-KR"/>
        </w:rPr>
        <w:t xml:space="preserve">Proposal </w:t>
      </w:r>
      <w:r>
        <w:rPr>
          <w:b/>
          <w:i/>
          <w:lang w:val="en-US" w:eastAsia="ko-KR"/>
        </w:rPr>
        <w:t>4</w:t>
      </w:r>
      <w:r>
        <w:rPr>
          <w:rFonts w:hint="eastAsia"/>
          <w:lang w:val="en-US" w:eastAsia="ko-KR"/>
        </w:rPr>
        <w:t>: Following condition should be captured in RRM specification</w:t>
      </w:r>
      <w:r>
        <w:rPr>
          <w:lang w:val="en-US" w:eastAsia="ko-KR"/>
        </w:rPr>
        <w:t>.</w:t>
      </w:r>
      <w:r>
        <w:rPr>
          <w:rFonts w:hint="eastAsia"/>
          <w:lang w:val="en-US" w:eastAsia="ko-KR"/>
        </w:rPr>
        <w:t xml:space="preserve"> </w:t>
      </w:r>
    </w:p>
    <w:p w:rsidR="00DA5C1A" w:rsidRDefault="00DA5C1A" w:rsidP="00DA5C1A">
      <w:pPr>
        <w:pStyle w:val="ad"/>
        <w:numPr>
          <w:ilvl w:val="1"/>
          <w:numId w:val="9"/>
        </w:numPr>
        <w:spacing w:line="276" w:lineRule="auto"/>
        <w:ind w:leftChars="0" w:left="1701" w:hanging="141"/>
        <w:jc w:val="both"/>
        <w:rPr>
          <w:lang w:val="en-US" w:eastAsia="ko-KR"/>
        </w:rPr>
      </w:pPr>
      <w:r>
        <w:rPr>
          <w:lang w:val="en-US" w:eastAsia="ko-KR"/>
        </w:rPr>
        <w:t>The UE shall search and measure neighbor cells at least before X ms prior to cell stop time if the cell stop time is provided, regardless of the distance between the UE and serving cell location or if legacy S</w:t>
      </w:r>
      <w:r w:rsidRPr="002A02AD">
        <w:rPr>
          <w:vertAlign w:val="subscript"/>
          <w:lang w:val="en-US" w:eastAsia="ko-KR"/>
        </w:rPr>
        <w:t>rxlev</w:t>
      </w:r>
      <w:r>
        <w:rPr>
          <w:lang w:val="en-US" w:eastAsia="ko-KR"/>
        </w:rPr>
        <w:t>/S</w:t>
      </w:r>
      <w:r w:rsidRPr="002A02AD">
        <w:rPr>
          <w:vertAlign w:val="subscript"/>
          <w:lang w:val="en-US" w:eastAsia="ko-KR"/>
        </w:rPr>
        <w:t>qual</w:t>
      </w:r>
      <w:r>
        <w:rPr>
          <w:lang w:val="en-US" w:eastAsia="ko-KR"/>
        </w:rPr>
        <w:t xml:space="preserve"> condition is met.</w:t>
      </w:r>
    </w:p>
    <w:p w:rsidR="00B21AC0" w:rsidRPr="00DA5C1A" w:rsidRDefault="00B21AC0" w:rsidP="00B21AC0">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874AE4">
        <w:rPr>
          <w:lang w:val="en-US" w:eastAsia="ko-KR"/>
        </w:rPr>
        <w:t>20</w:t>
      </w:r>
      <w:r w:rsidR="00FA32D0">
        <w:rPr>
          <w:lang w:val="en-US" w:eastAsia="ko-KR"/>
        </w:rPr>
        <w:t>3</w:t>
      </w:r>
      <w:r w:rsidR="00C44B35">
        <w:rPr>
          <w:lang w:val="en-US" w:eastAsia="ko-KR"/>
        </w:rPr>
        <w:t>07</w:t>
      </w:r>
      <w:r w:rsidR="00CD0965">
        <w:rPr>
          <w:lang w:val="en-US" w:eastAsia="ko-KR"/>
        </w:rPr>
        <w:t>, “</w:t>
      </w:r>
      <w:r w:rsidR="00C44B35">
        <w:rPr>
          <w:lang w:val="en-US" w:eastAsia="ko-KR"/>
        </w:rPr>
        <w:t>WF on NR NTN RRM requirements</w:t>
      </w:r>
      <w:r w:rsidR="00CD0965">
        <w:rPr>
          <w:lang w:val="en-US" w:eastAsia="ko-KR"/>
        </w:rPr>
        <w:t xml:space="preserve">,” </w:t>
      </w:r>
      <w:r w:rsidR="00C44B35">
        <w:rPr>
          <w:lang w:val="en-US" w:eastAsia="ko-KR"/>
        </w:rPr>
        <w:t>Qualcomm Inc.</w:t>
      </w:r>
    </w:p>
    <w:p w:rsidR="00FA32D0" w:rsidRDefault="00FA32D0" w:rsidP="00CD0965">
      <w:pPr>
        <w:pStyle w:val="a0"/>
        <w:rPr>
          <w:lang w:val="en-US" w:eastAsia="ko-KR"/>
        </w:rPr>
      </w:pPr>
      <w:r>
        <w:rPr>
          <w:lang w:val="en-US" w:eastAsia="ko-KR"/>
        </w:rPr>
        <w:t>[2] R</w:t>
      </w:r>
      <w:r w:rsidR="00D12A26">
        <w:rPr>
          <w:lang w:val="en-US" w:eastAsia="ko-KR"/>
        </w:rPr>
        <w:t>P</w:t>
      </w:r>
      <w:r>
        <w:rPr>
          <w:lang w:val="en-US" w:eastAsia="ko-KR"/>
        </w:rPr>
        <w:t>-21</w:t>
      </w:r>
      <w:r w:rsidR="00C44B35">
        <w:rPr>
          <w:lang w:val="en-US" w:eastAsia="ko-KR"/>
        </w:rPr>
        <w:t>3690</w:t>
      </w:r>
      <w:r>
        <w:rPr>
          <w:lang w:val="en-US" w:eastAsia="ko-KR"/>
        </w:rPr>
        <w:t>, “</w:t>
      </w:r>
      <w:r w:rsidR="00C44B35" w:rsidRPr="00C44B35">
        <w:rPr>
          <w:lang w:val="en-US" w:eastAsia="ko-KR"/>
        </w:rPr>
        <w:t>New WI: NR NTN (Non-Terrestrial Networks) enhancements</w:t>
      </w:r>
      <w:r>
        <w:rPr>
          <w:lang w:val="en-US" w:eastAsia="ko-KR"/>
        </w:rPr>
        <w:t xml:space="preserve">,” </w:t>
      </w:r>
      <w:r w:rsidR="00C44B35">
        <w:rPr>
          <w:lang w:val="en-US" w:eastAsia="ko-KR"/>
        </w:rPr>
        <w:t>AT&amp;T, Thales</w:t>
      </w:r>
      <w:r>
        <w:rPr>
          <w:lang w:val="en-US" w:eastAsia="ko-KR"/>
        </w:rPr>
        <w:t>.</w:t>
      </w:r>
    </w:p>
    <w:sectPr w:rsidR="00FA32D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441" w:rsidRDefault="00F74441" w:rsidP="00D306DF">
      <w:r>
        <w:separator/>
      </w:r>
    </w:p>
  </w:endnote>
  <w:endnote w:type="continuationSeparator" w:id="0">
    <w:p w:rsidR="00F74441" w:rsidRDefault="00F7444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441" w:rsidRDefault="00F74441" w:rsidP="00D306DF">
      <w:r>
        <w:separator/>
      </w:r>
    </w:p>
  </w:footnote>
  <w:footnote w:type="continuationSeparator" w:id="0">
    <w:p w:rsidR="00F74441" w:rsidRDefault="00F7444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3pt;height:74.65pt" o:bullet="t">
        <v:imagedata r:id="rId1" o:title=""/>
      </v:shape>
    </w:pict>
  </w:numPicBullet>
  <w:numPicBullet w:numPicBulletId="1">
    <w:pict>
      <v:shape id="_x0000_i1029" type="#_x0000_t75" style="width:9pt;height:9pt" o:bullet="t">
        <v:imagedata r:id="rId2" o:title="artDC84"/>
      </v:shape>
    </w:pict>
  </w:numPicBullet>
  <w:abstractNum w:abstractNumId="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EE4587"/>
    <w:multiLevelType w:val="hybridMultilevel"/>
    <w:tmpl w:val="2456573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60EA0"/>
    <w:multiLevelType w:val="hybridMultilevel"/>
    <w:tmpl w:val="82684A32"/>
    <w:lvl w:ilvl="0" w:tplc="2C5077AE">
      <w:start w:val="1"/>
      <w:numFmt w:val="bullet"/>
      <w:lvlText w:val=""/>
      <w:lvlPicBulletId w:val="1"/>
      <w:lvlJc w:val="left"/>
      <w:pPr>
        <w:tabs>
          <w:tab w:val="num" w:pos="720"/>
        </w:tabs>
        <w:ind w:left="720" w:hanging="360"/>
      </w:pPr>
      <w:rPr>
        <w:rFonts w:ascii="Symbol" w:hAnsi="Symbol" w:hint="default"/>
      </w:rPr>
    </w:lvl>
    <w:lvl w:ilvl="1" w:tplc="FFFFFFFF">
      <w:start w:val="1"/>
      <w:numFmt w:val="bullet"/>
      <w:lvlText w:val=""/>
      <w:lvlPicBulletId w:val="1"/>
      <w:lvlJc w:val="left"/>
      <w:pPr>
        <w:tabs>
          <w:tab w:val="num" w:pos="1440"/>
        </w:tabs>
        <w:ind w:left="1440" w:hanging="360"/>
      </w:pPr>
      <w:rPr>
        <w:rFonts w:ascii="Symbol" w:hAnsi="Symbol" w:hint="default"/>
      </w:rPr>
    </w:lvl>
    <w:lvl w:ilvl="2" w:tplc="BD529FAC" w:tentative="1">
      <w:start w:val="1"/>
      <w:numFmt w:val="bullet"/>
      <w:lvlText w:val=""/>
      <w:lvlPicBulletId w:val="1"/>
      <w:lvlJc w:val="left"/>
      <w:pPr>
        <w:tabs>
          <w:tab w:val="num" w:pos="2160"/>
        </w:tabs>
        <w:ind w:left="2160" w:hanging="360"/>
      </w:pPr>
      <w:rPr>
        <w:rFonts w:ascii="Symbol" w:hAnsi="Symbol" w:hint="default"/>
      </w:rPr>
    </w:lvl>
    <w:lvl w:ilvl="3" w:tplc="35DCB58E" w:tentative="1">
      <w:start w:val="1"/>
      <w:numFmt w:val="bullet"/>
      <w:lvlText w:val=""/>
      <w:lvlPicBulletId w:val="1"/>
      <w:lvlJc w:val="left"/>
      <w:pPr>
        <w:tabs>
          <w:tab w:val="num" w:pos="2880"/>
        </w:tabs>
        <w:ind w:left="2880" w:hanging="360"/>
      </w:pPr>
      <w:rPr>
        <w:rFonts w:ascii="Symbol" w:hAnsi="Symbol" w:hint="default"/>
      </w:rPr>
    </w:lvl>
    <w:lvl w:ilvl="4" w:tplc="7CAE89AC" w:tentative="1">
      <w:start w:val="1"/>
      <w:numFmt w:val="bullet"/>
      <w:lvlText w:val=""/>
      <w:lvlPicBulletId w:val="1"/>
      <w:lvlJc w:val="left"/>
      <w:pPr>
        <w:tabs>
          <w:tab w:val="num" w:pos="3600"/>
        </w:tabs>
        <w:ind w:left="3600" w:hanging="360"/>
      </w:pPr>
      <w:rPr>
        <w:rFonts w:ascii="Symbol" w:hAnsi="Symbol" w:hint="default"/>
      </w:rPr>
    </w:lvl>
    <w:lvl w:ilvl="5" w:tplc="11264ACA" w:tentative="1">
      <w:start w:val="1"/>
      <w:numFmt w:val="bullet"/>
      <w:lvlText w:val=""/>
      <w:lvlPicBulletId w:val="1"/>
      <w:lvlJc w:val="left"/>
      <w:pPr>
        <w:tabs>
          <w:tab w:val="num" w:pos="4320"/>
        </w:tabs>
        <w:ind w:left="4320" w:hanging="360"/>
      </w:pPr>
      <w:rPr>
        <w:rFonts w:ascii="Symbol" w:hAnsi="Symbol" w:hint="default"/>
      </w:rPr>
    </w:lvl>
    <w:lvl w:ilvl="6" w:tplc="A96294CA" w:tentative="1">
      <w:start w:val="1"/>
      <w:numFmt w:val="bullet"/>
      <w:lvlText w:val=""/>
      <w:lvlPicBulletId w:val="1"/>
      <w:lvlJc w:val="left"/>
      <w:pPr>
        <w:tabs>
          <w:tab w:val="num" w:pos="5040"/>
        </w:tabs>
        <w:ind w:left="5040" w:hanging="360"/>
      </w:pPr>
      <w:rPr>
        <w:rFonts w:ascii="Symbol" w:hAnsi="Symbol" w:hint="default"/>
      </w:rPr>
    </w:lvl>
    <w:lvl w:ilvl="7" w:tplc="7B12CA2E" w:tentative="1">
      <w:start w:val="1"/>
      <w:numFmt w:val="bullet"/>
      <w:lvlText w:val=""/>
      <w:lvlPicBulletId w:val="1"/>
      <w:lvlJc w:val="left"/>
      <w:pPr>
        <w:tabs>
          <w:tab w:val="num" w:pos="5760"/>
        </w:tabs>
        <w:ind w:left="5760" w:hanging="360"/>
      </w:pPr>
      <w:rPr>
        <w:rFonts w:ascii="Symbol" w:hAnsi="Symbol" w:hint="default"/>
      </w:rPr>
    </w:lvl>
    <w:lvl w:ilvl="8" w:tplc="C4824802"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7">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E621481"/>
    <w:multiLevelType w:val="hybridMultilevel"/>
    <w:tmpl w:val="B608CD78"/>
    <w:lvl w:ilvl="0" w:tplc="2C5077AE">
      <w:start w:val="1"/>
      <w:numFmt w:val="bullet"/>
      <w:lvlText w:val=""/>
      <w:lvlPicBulletId w:val="1"/>
      <w:lvlJc w:val="left"/>
      <w:pPr>
        <w:tabs>
          <w:tab w:val="num" w:pos="720"/>
        </w:tabs>
        <w:ind w:left="720" w:hanging="360"/>
      </w:pPr>
      <w:rPr>
        <w:rFonts w:ascii="Symbol" w:hAnsi="Symbol" w:hint="default"/>
      </w:rPr>
    </w:lvl>
    <w:lvl w:ilvl="1" w:tplc="B3BCE4B6">
      <w:start w:val="1"/>
      <w:numFmt w:val="bullet"/>
      <w:lvlText w:val=""/>
      <w:lvlPicBulletId w:val="1"/>
      <w:lvlJc w:val="left"/>
      <w:pPr>
        <w:tabs>
          <w:tab w:val="num" w:pos="1440"/>
        </w:tabs>
        <w:ind w:left="1440" w:hanging="360"/>
      </w:pPr>
      <w:rPr>
        <w:rFonts w:ascii="Symbol" w:hAnsi="Symbol" w:hint="default"/>
      </w:rPr>
    </w:lvl>
    <w:lvl w:ilvl="2" w:tplc="BD529FAC" w:tentative="1">
      <w:start w:val="1"/>
      <w:numFmt w:val="bullet"/>
      <w:lvlText w:val=""/>
      <w:lvlPicBulletId w:val="1"/>
      <w:lvlJc w:val="left"/>
      <w:pPr>
        <w:tabs>
          <w:tab w:val="num" w:pos="2160"/>
        </w:tabs>
        <w:ind w:left="2160" w:hanging="360"/>
      </w:pPr>
      <w:rPr>
        <w:rFonts w:ascii="Symbol" w:hAnsi="Symbol" w:hint="default"/>
      </w:rPr>
    </w:lvl>
    <w:lvl w:ilvl="3" w:tplc="35DCB58E" w:tentative="1">
      <w:start w:val="1"/>
      <w:numFmt w:val="bullet"/>
      <w:lvlText w:val=""/>
      <w:lvlPicBulletId w:val="1"/>
      <w:lvlJc w:val="left"/>
      <w:pPr>
        <w:tabs>
          <w:tab w:val="num" w:pos="2880"/>
        </w:tabs>
        <w:ind w:left="2880" w:hanging="360"/>
      </w:pPr>
      <w:rPr>
        <w:rFonts w:ascii="Symbol" w:hAnsi="Symbol" w:hint="default"/>
      </w:rPr>
    </w:lvl>
    <w:lvl w:ilvl="4" w:tplc="7CAE89AC" w:tentative="1">
      <w:start w:val="1"/>
      <w:numFmt w:val="bullet"/>
      <w:lvlText w:val=""/>
      <w:lvlPicBulletId w:val="1"/>
      <w:lvlJc w:val="left"/>
      <w:pPr>
        <w:tabs>
          <w:tab w:val="num" w:pos="3600"/>
        </w:tabs>
        <w:ind w:left="3600" w:hanging="360"/>
      </w:pPr>
      <w:rPr>
        <w:rFonts w:ascii="Symbol" w:hAnsi="Symbol" w:hint="default"/>
      </w:rPr>
    </w:lvl>
    <w:lvl w:ilvl="5" w:tplc="11264ACA" w:tentative="1">
      <w:start w:val="1"/>
      <w:numFmt w:val="bullet"/>
      <w:lvlText w:val=""/>
      <w:lvlPicBulletId w:val="1"/>
      <w:lvlJc w:val="left"/>
      <w:pPr>
        <w:tabs>
          <w:tab w:val="num" w:pos="4320"/>
        </w:tabs>
        <w:ind w:left="4320" w:hanging="360"/>
      </w:pPr>
      <w:rPr>
        <w:rFonts w:ascii="Symbol" w:hAnsi="Symbol" w:hint="default"/>
      </w:rPr>
    </w:lvl>
    <w:lvl w:ilvl="6" w:tplc="A96294CA" w:tentative="1">
      <w:start w:val="1"/>
      <w:numFmt w:val="bullet"/>
      <w:lvlText w:val=""/>
      <w:lvlPicBulletId w:val="1"/>
      <w:lvlJc w:val="left"/>
      <w:pPr>
        <w:tabs>
          <w:tab w:val="num" w:pos="5040"/>
        </w:tabs>
        <w:ind w:left="5040" w:hanging="360"/>
      </w:pPr>
      <w:rPr>
        <w:rFonts w:ascii="Symbol" w:hAnsi="Symbol" w:hint="default"/>
      </w:rPr>
    </w:lvl>
    <w:lvl w:ilvl="7" w:tplc="7B12CA2E" w:tentative="1">
      <w:start w:val="1"/>
      <w:numFmt w:val="bullet"/>
      <w:lvlText w:val=""/>
      <w:lvlPicBulletId w:val="1"/>
      <w:lvlJc w:val="left"/>
      <w:pPr>
        <w:tabs>
          <w:tab w:val="num" w:pos="5760"/>
        </w:tabs>
        <w:ind w:left="5760" w:hanging="360"/>
      </w:pPr>
      <w:rPr>
        <w:rFonts w:ascii="Symbol" w:hAnsi="Symbol" w:hint="default"/>
      </w:rPr>
    </w:lvl>
    <w:lvl w:ilvl="8" w:tplc="C4824802"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72864376"/>
    <w:multiLevelType w:val="hybridMultilevel"/>
    <w:tmpl w:val="A8124BBA"/>
    <w:lvl w:ilvl="0" w:tplc="64A8164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0"/>
  </w:num>
  <w:num w:numId="3">
    <w:abstractNumId w:val="7"/>
  </w:num>
  <w:num w:numId="4">
    <w:abstractNumId w:val="6"/>
  </w:num>
  <w:num w:numId="5">
    <w:abstractNumId w:val="8"/>
  </w:num>
  <w:num w:numId="6">
    <w:abstractNumId w:val="5"/>
  </w:num>
  <w:num w:numId="7">
    <w:abstractNumId w:val="1"/>
  </w:num>
  <w:num w:numId="8">
    <w:abstractNumId w:val="4"/>
  </w:num>
  <w:num w:numId="9">
    <w:abstractNumId w:val="10"/>
  </w:num>
  <w:num w:numId="10">
    <w:abstractNumId w:val="9"/>
  </w:num>
  <w:num w:numId="11">
    <w:abstractNumId w:val="3"/>
  </w:num>
  <w:num w:numId="12">
    <w:abstractNumId w:val="2"/>
  </w:num>
  <w:num w:numId="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qQUAsknWliwAAAA="/>
  </w:docVars>
  <w:rsids>
    <w:rsidRoot w:val="001171FA"/>
    <w:rsid w:val="0000173F"/>
    <w:rsid w:val="00002B90"/>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45A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438"/>
    <w:rsid w:val="00164C03"/>
    <w:rsid w:val="0016502C"/>
    <w:rsid w:val="00165DA8"/>
    <w:rsid w:val="001663E3"/>
    <w:rsid w:val="00166717"/>
    <w:rsid w:val="00166F0D"/>
    <w:rsid w:val="001672D8"/>
    <w:rsid w:val="001700D6"/>
    <w:rsid w:val="0017048E"/>
    <w:rsid w:val="00170ED7"/>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48E6"/>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741A"/>
    <w:rsid w:val="00250168"/>
    <w:rsid w:val="00250186"/>
    <w:rsid w:val="00250C07"/>
    <w:rsid w:val="002519F4"/>
    <w:rsid w:val="00253F9A"/>
    <w:rsid w:val="00255C49"/>
    <w:rsid w:val="0025609E"/>
    <w:rsid w:val="0025612D"/>
    <w:rsid w:val="0025674D"/>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95E"/>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02AD"/>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1909"/>
    <w:rsid w:val="002F304F"/>
    <w:rsid w:val="002F42A0"/>
    <w:rsid w:val="002F4599"/>
    <w:rsid w:val="002F5748"/>
    <w:rsid w:val="002F71AD"/>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4DF4"/>
    <w:rsid w:val="00375D16"/>
    <w:rsid w:val="00376852"/>
    <w:rsid w:val="00376B0A"/>
    <w:rsid w:val="00376DF1"/>
    <w:rsid w:val="003770C7"/>
    <w:rsid w:val="00377A63"/>
    <w:rsid w:val="003803E0"/>
    <w:rsid w:val="00381DC2"/>
    <w:rsid w:val="003820EE"/>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9A3"/>
    <w:rsid w:val="00417E7D"/>
    <w:rsid w:val="00421007"/>
    <w:rsid w:val="00421871"/>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B6F84"/>
    <w:rsid w:val="005B7459"/>
    <w:rsid w:val="005B74D0"/>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4D88"/>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28"/>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2801"/>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450C"/>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17E5"/>
    <w:rsid w:val="0082354F"/>
    <w:rsid w:val="00823E4D"/>
    <w:rsid w:val="008249FE"/>
    <w:rsid w:val="008264C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304A"/>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4A8"/>
    <w:rsid w:val="00940A9B"/>
    <w:rsid w:val="00940F6D"/>
    <w:rsid w:val="00941813"/>
    <w:rsid w:val="00941D1C"/>
    <w:rsid w:val="00942345"/>
    <w:rsid w:val="0094372D"/>
    <w:rsid w:val="00943AD8"/>
    <w:rsid w:val="009444AC"/>
    <w:rsid w:val="00945184"/>
    <w:rsid w:val="00946585"/>
    <w:rsid w:val="009467F1"/>
    <w:rsid w:val="00946D70"/>
    <w:rsid w:val="009473D0"/>
    <w:rsid w:val="009478CA"/>
    <w:rsid w:val="00950944"/>
    <w:rsid w:val="00950CC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30FC"/>
    <w:rsid w:val="009F32A9"/>
    <w:rsid w:val="009F5D76"/>
    <w:rsid w:val="009F6ABD"/>
    <w:rsid w:val="009F74A1"/>
    <w:rsid w:val="00A01BA0"/>
    <w:rsid w:val="00A01F44"/>
    <w:rsid w:val="00A02AB3"/>
    <w:rsid w:val="00A02D3E"/>
    <w:rsid w:val="00A03030"/>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C9E"/>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1475"/>
    <w:rsid w:val="00B12589"/>
    <w:rsid w:val="00B14DA7"/>
    <w:rsid w:val="00B15B0A"/>
    <w:rsid w:val="00B16A83"/>
    <w:rsid w:val="00B17217"/>
    <w:rsid w:val="00B173BF"/>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225"/>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5B6"/>
    <w:rsid w:val="00C426A1"/>
    <w:rsid w:val="00C42C83"/>
    <w:rsid w:val="00C42DF8"/>
    <w:rsid w:val="00C44B35"/>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1165"/>
    <w:rsid w:val="00CD2E16"/>
    <w:rsid w:val="00CD33C4"/>
    <w:rsid w:val="00CD362B"/>
    <w:rsid w:val="00CD4E32"/>
    <w:rsid w:val="00CD5209"/>
    <w:rsid w:val="00CD641D"/>
    <w:rsid w:val="00CD777E"/>
    <w:rsid w:val="00CE0D2A"/>
    <w:rsid w:val="00CE1678"/>
    <w:rsid w:val="00CE1C46"/>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2A26"/>
    <w:rsid w:val="00D13AE1"/>
    <w:rsid w:val="00D14705"/>
    <w:rsid w:val="00D16294"/>
    <w:rsid w:val="00D17124"/>
    <w:rsid w:val="00D2178D"/>
    <w:rsid w:val="00D21831"/>
    <w:rsid w:val="00D21B1D"/>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5C1A"/>
    <w:rsid w:val="00DA6189"/>
    <w:rsid w:val="00DA6DE7"/>
    <w:rsid w:val="00DA7527"/>
    <w:rsid w:val="00DA7996"/>
    <w:rsid w:val="00DA7C23"/>
    <w:rsid w:val="00DB1637"/>
    <w:rsid w:val="00DB2197"/>
    <w:rsid w:val="00DB252C"/>
    <w:rsid w:val="00DB316C"/>
    <w:rsid w:val="00DB32EA"/>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25FC"/>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707F1"/>
    <w:rsid w:val="00F722AD"/>
    <w:rsid w:val="00F72C97"/>
    <w:rsid w:val="00F737DC"/>
    <w:rsid w:val="00F7388B"/>
    <w:rsid w:val="00F74441"/>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677"/>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93382705">
      <w:bodyDiv w:val="1"/>
      <w:marLeft w:val="0"/>
      <w:marRight w:val="0"/>
      <w:marTop w:val="0"/>
      <w:marBottom w:val="0"/>
      <w:divBdr>
        <w:top w:val="none" w:sz="0" w:space="0" w:color="auto"/>
        <w:left w:val="none" w:sz="0" w:space="0" w:color="auto"/>
        <w:bottom w:val="none" w:sz="0" w:space="0" w:color="auto"/>
        <w:right w:val="none" w:sz="0" w:space="0" w:color="auto"/>
      </w:divBdr>
      <w:divsChild>
        <w:div w:id="2083017244">
          <w:marLeft w:val="1166"/>
          <w:marRight w:val="0"/>
          <w:marTop w:val="91"/>
          <w:marBottom w:val="0"/>
          <w:divBdr>
            <w:top w:val="none" w:sz="0" w:space="0" w:color="auto"/>
            <w:left w:val="none" w:sz="0" w:space="0" w:color="auto"/>
            <w:bottom w:val="none" w:sz="0" w:space="0" w:color="auto"/>
            <w:right w:val="none" w:sz="0" w:space="0" w:color="auto"/>
          </w:divBdr>
        </w:div>
        <w:div w:id="1677075797">
          <w:marLeft w:val="1166"/>
          <w:marRight w:val="0"/>
          <w:marTop w:val="91"/>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84F4F-8E16-4964-9B42-81F6C18C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783</Words>
  <Characters>4468</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2022-01-10T01:06:00Z</dcterms:created>
  <dcterms:modified xsi:type="dcterms:W3CDTF">2022-01-10T01:06:00Z</dcterms:modified>
</cp:coreProperties>
</file>