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66473C" w14:textId="5D90963A" w:rsidR="00017FEE" w:rsidRPr="0061565E" w:rsidRDefault="00017FEE" w:rsidP="00017FEE">
      <w:pPr>
        <w:pStyle w:val="Header"/>
        <w:keepLines/>
        <w:tabs>
          <w:tab w:val="clear" w:pos="4153"/>
          <w:tab w:val="clear" w:pos="8306"/>
          <w:tab w:val="right" w:pos="10440"/>
          <w:tab w:val="right" w:pos="13323"/>
        </w:tabs>
        <w:rPr>
          <w:b/>
          <w:sz w:val="24"/>
          <w:szCs w:val="24"/>
        </w:rPr>
      </w:pPr>
      <w:bookmarkStart w:id="0" w:name="Title"/>
      <w:bookmarkStart w:id="1" w:name="DocumentFor"/>
      <w:bookmarkEnd w:id="0"/>
      <w:bookmarkEnd w:id="1"/>
      <w:r w:rsidRPr="0061565E">
        <w:rPr>
          <w:b/>
          <w:sz w:val="24"/>
          <w:szCs w:val="24"/>
        </w:rPr>
        <w:t>3GPP TSG-RAN WG4 Meeting # 10</w:t>
      </w:r>
      <w:r w:rsidR="006324A9" w:rsidRPr="0061565E">
        <w:rPr>
          <w:b/>
          <w:sz w:val="24"/>
          <w:szCs w:val="24"/>
        </w:rPr>
        <w:t>1</w:t>
      </w:r>
      <w:r w:rsidR="00831E57" w:rsidRPr="0061565E">
        <w:rPr>
          <w:b/>
          <w:sz w:val="24"/>
          <w:szCs w:val="24"/>
        </w:rPr>
        <w:t>bis</w:t>
      </w:r>
      <w:r w:rsidRPr="0061565E">
        <w:rPr>
          <w:b/>
          <w:sz w:val="24"/>
          <w:szCs w:val="24"/>
        </w:rPr>
        <w:t>-e</w:t>
      </w:r>
      <w:r w:rsidRPr="0061565E" w:rsidDel="00277FAB">
        <w:rPr>
          <w:b/>
          <w:sz w:val="24"/>
          <w:szCs w:val="24"/>
        </w:rPr>
        <w:t xml:space="preserve"> </w:t>
      </w:r>
      <w:r w:rsidRPr="0061565E">
        <w:rPr>
          <w:b/>
          <w:sz w:val="24"/>
          <w:szCs w:val="24"/>
        </w:rPr>
        <w:tab/>
      </w:r>
      <w:r w:rsidR="00F03B97" w:rsidRPr="00F03B97">
        <w:rPr>
          <w:b/>
          <w:sz w:val="24"/>
          <w:szCs w:val="24"/>
        </w:rPr>
        <w:t>R4-2200535</w:t>
      </w:r>
    </w:p>
    <w:p w14:paraId="79C7876F" w14:textId="0C28AA6C" w:rsidR="00017FEE" w:rsidRPr="0061565E" w:rsidRDefault="00017FEE" w:rsidP="00017FEE">
      <w:pPr>
        <w:pStyle w:val="Header"/>
        <w:keepLines/>
        <w:tabs>
          <w:tab w:val="clear" w:pos="4153"/>
          <w:tab w:val="clear" w:pos="8306"/>
          <w:tab w:val="right" w:pos="10440"/>
          <w:tab w:val="right" w:pos="13323"/>
        </w:tabs>
        <w:rPr>
          <w:b/>
          <w:sz w:val="24"/>
          <w:szCs w:val="24"/>
        </w:rPr>
      </w:pPr>
      <w:r w:rsidRPr="0061565E">
        <w:rPr>
          <w:b/>
          <w:sz w:val="24"/>
          <w:szCs w:val="24"/>
        </w:rPr>
        <w:t xml:space="preserve">Electronic Meeting, </w:t>
      </w:r>
      <w:r w:rsidR="000E74F0" w:rsidRPr="0061565E">
        <w:rPr>
          <w:b/>
          <w:sz w:val="24"/>
          <w:szCs w:val="24"/>
        </w:rPr>
        <w:t>17th–25th, Jan., 2022</w:t>
      </w:r>
    </w:p>
    <w:p w14:paraId="381AC2C7" w14:textId="77777777" w:rsidR="001F1316" w:rsidRPr="0061565E" w:rsidRDefault="001F1316" w:rsidP="001F1316">
      <w:pPr>
        <w:ind w:left="1985" w:hanging="1985"/>
        <w:rPr>
          <w:rFonts w:ascii="Times New Roman" w:hAnsi="Times New Roman"/>
          <w:b/>
          <w:bCs/>
          <w:sz w:val="24"/>
        </w:rPr>
      </w:pPr>
    </w:p>
    <w:p w14:paraId="75AF2E4C" w14:textId="42C5FAEC" w:rsidR="001F1316" w:rsidRPr="0061565E" w:rsidRDefault="001F1316" w:rsidP="001F1316">
      <w:pPr>
        <w:ind w:left="1985" w:hanging="1985"/>
        <w:rPr>
          <w:rFonts w:ascii="Times New Roman" w:hAnsi="Times New Roman"/>
          <w:b/>
          <w:bCs/>
          <w:sz w:val="24"/>
        </w:rPr>
      </w:pPr>
      <w:r w:rsidRPr="0061565E">
        <w:rPr>
          <w:rFonts w:ascii="Times New Roman" w:hAnsi="Times New Roman"/>
          <w:b/>
          <w:bCs/>
          <w:sz w:val="24"/>
        </w:rPr>
        <w:t>Agenda Item:</w:t>
      </w:r>
      <w:r w:rsidRPr="0061565E">
        <w:rPr>
          <w:rFonts w:ascii="Times New Roman" w:hAnsi="Times New Roman"/>
          <w:b/>
          <w:bCs/>
          <w:sz w:val="24"/>
        </w:rPr>
        <w:tab/>
      </w:r>
      <w:bookmarkStart w:id="2" w:name="Source"/>
      <w:bookmarkEnd w:id="2"/>
      <w:r w:rsidR="00F4222D">
        <w:rPr>
          <w:rFonts w:ascii="Times New Roman" w:hAnsi="Times New Roman"/>
          <w:b/>
          <w:bCs/>
          <w:sz w:val="24"/>
        </w:rPr>
        <w:t>6.19.3.3</w:t>
      </w:r>
    </w:p>
    <w:p w14:paraId="5C9009ED" w14:textId="77777777" w:rsidR="001F1316" w:rsidRPr="0061565E" w:rsidRDefault="001F1316" w:rsidP="001F1316">
      <w:pPr>
        <w:ind w:left="1985" w:hanging="1985"/>
        <w:rPr>
          <w:rFonts w:ascii="Times New Roman" w:hAnsi="Times New Roman"/>
          <w:b/>
          <w:bCs/>
          <w:sz w:val="24"/>
        </w:rPr>
      </w:pPr>
      <w:r w:rsidRPr="0061565E">
        <w:rPr>
          <w:rFonts w:ascii="Times New Roman" w:hAnsi="Times New Roman"/>
          <w:b/>
          <w:bCs/>
          <w:sz w:val="24"/>
        </w:rPr>
        <w:t>Source:</w:t>
      </w:r>
      <w:r w:rsidRPr="0061565E">
        <w:rPr>
          <w:rFonts w:ascii="Times New Roman" w:hAnsi="Times New Roman"/>
          <w:b/>
          <w:bCs/>
          <w:sz w:val="24"/>
        </w:rPr>
        <w:tab/>
        <w:t xml:space="preserve">Intel Corporation </w:t>
      </w:r>
    </w:p>
    <w:p w14:paraId="1CD9ADBB" w14:textId="41744889" w:rsidR="001F1316" w:rsidRPr="0061565E" w:rsidRDefault="001F1316" w:rsidP="001F1316">
      <w:pPr>
        <w:ind w:left="1985" w:hanging="1985"/>
        <w:rPr>
          <w:rFonts w:ascii="Times New Roman" w:hAnsi="Times New Roman"/>
          <w:b/>
          <w:bCs/>
          <w:sz w:val="24"/>
          <w:lang w:val="en-GB"/>
        </w:rPr>
      </w:pPr>
      <w:r w:rsidRPr="0061565E">
        <w:rPr>
          <w:rFonts w:ascii="Times New Roman" w:hAnsi="Times New Roman"/>
          <w:b/>
          <w:bCs/>
          <w:sz w:val="24"/>
        </w:rPr>
        <w:t>Title:</w:t>
      </w:r>
      <w:r w:rsidRPr="0061565E">
        <w:rPr>
          <w:rFonts w:ascii="Times New Roman" w:hAnsi="Times New Roman"/>
          <w:b/>
          <w:bCs/>
          <w:sz w:val="24"/>
        </w:rPr>
        <w:tab/>
      </w:r>
      <w:r w:rsidR="00196846" w:rsidRPr="00196846">
        <w:rPr>
          <w:rFonts w:ascii="Times New Roman" w:hAnsi="Times New Roman"/>
          <w:b/>
          <w:bCs/>
          <w:sz w:val="24"/>
        </w:rPr>
        <w:t>Discussion on remaining issues in FeMIMO</w:t>
      </w:r>
    </w:p>
    <w:p w14:paraId="65EA903C" w14:textId="77777777" w:rsidR="001F1316" w:rsidRPr="0061565E" w:rsidRDefault="001F1316" w:rsidP="001F1316">
      <w:pPr>
        <w:ind w:left="1985" w:hanging="1985"/>
        <w:rPr>
          <w:rFonts w:ascii="Times New Roman" w:hAnsi="Times New Roman"/>
          <w:b/>
          <w:bCs/>
          <w:sz w:val="24"/>
        </w:rPr>
      </w:pPr>
      <w:r w:rsidRPr="0061565E">
        <w:rPr>
          <w:rFonts w:ascii="Times New Roman" w:hAnsi="Times New Roman"/>
          <w:b/>
          <w:bCs/>
          <w:sz w:val="24"/>
        </w:rPr>
        <w:t>Document for:</w:t>
      </w:r>
      <w:r w:rsidRPr="0061565E">
        <w:rPr>
          <w:rFonts w:ascii="Times New Roman" w:hAnsi="Times New Roman"/>
          <w:b/>
          <w:bCs/>
          <w:sz w:val="24"/>
        </w:rPr>
        <w:tab/>
        <w:t>Discussion</w:t>
      </w:r>
    </w:p>
    <w:p w14:paraId="72AC3B90" w14:textId="77777777" w:rsidR="001F1316" w:rsidRPr="0061565E" w:rsidRDefault="001F1316" w:rsidP="001F1316">
      <w:pPr>
        <w:pStyle w:val="Heading1"/>
        <w:numPr>
          <w:ilvl w:val="0"/>
          <w:numId w:val="1"/>
        </w:numPr>
        <w:rPr>
          <w:rFonts w:ascii="Times New Roman" w:hAnsi="Times New Roman"/>
          <w:lang w:eastAsia="zh-CN"/>
        </w:rPr>
      </w:pPr>
      <w:r w:rsidRPr="0061565E">
        <w:rPr>
          <w:rFonts w:ascii="Times New Roman" w:hAnsi="Times New Roman"/>
        </w:rPr>
        <w:t>Introduction</w:t>
      </w:r>
    </w:p>
    <w:p w14:paraId="482BEFE9" w14:textId="575DE6F9" w:rsidR="00C82B9C" w:rsidRPr="0061565E" w:rsidRDefault="00C82B9C" w:rsidP="00C82B9C">
      <w:pPr>
        <w:rPr>
          <w:rFonts w:ascii="Times New Roman" w:hAnsi="Times New Roman"/>
        </w:rPr>
      </w:pPr>
      <w:r w:rsidRPr="0061565E">
        <w:rPr>
          <w:rFonts w:ascii="Times New Roman" w:hAnsi="Times New Roman"/>
        </w:rPr>
        <w:t xml:space="preserve">In this meeting, we will provide our view regarding to </w:t>
      </w:r>
      <w:r w:rsidR="00E45597" w:rsidRPr="0061565E">
        <w:rPr>
          <w:rFonts w:ascii="Times New Roman" w:hAnsi="Times New Roman"/>
        </w:rPr>
        <w:t>QCL and RRM impact</w:t>
      </w:r>
      <w:r w:rsidRPr="0061565E">
        <w:rPr>
          <w:rFonts w:ascii="Times New Roman" w:hAnsi="Times New Roman"/>
        </w:rPr>
        <w:t>, the WF</w:t>
      </w:r>
      <w:r w:rsidR="00EC42CD" w:rsidRPr="0061565E">
        <w:rPr>
          <w:rFonts w:ascii="Times New Roman" w:hAnsi="Times New Roman"/>
        </w:rPr>
        <w:t>[1]</w:t>
      </w:r>
      <w:r w:rsidRPr="0061565E">
        <w:rPr>
          <w:rFonts w:ascii="Times New Roman" w:hAnsi="Times New Roman"/>
        </w:rPr>
        <w:t xml:space="preserve"> in last meeting is as follows:</w:t>
      </w:r>
    </w:p>
    <w:tbl>
      <w:tblPr>
        <w:tblStyle w:val="TableGrid"/>
        <w:tblW w:w="0" w:type="auto"/>
        <w:tblLook w:val="04A0" w:firstRow="1" w:lastRow="0" w:firstColumn="1" w:lastColumn="0" w:noHBand="0" w:noVBand="1"/>
      </w:tblPr>
      <w:tblGrid>
        <w:gridCol w:w="9350"/>
      </w:tblGrid>
      <w:tr w:rsidR="00C82B9C" w:rsidRPr="0061565E" w14:paraId="3474E653" w14:textId="77777777" w:rsidTr="00C11884">
        <w:tc>
          <w:tcPr>
            <w:tcW w:w="9628" w:type="dxa"/>
          </w:tcPr>
          <w:p w14:paraId="2AECE7D3" w14:textId="77777777" w:rsidR="000D6556" w:rsidRPr="0061565E" w:rsidRDefault="000D6556" w:rsidP="000D6556">
            <w:pPr>
              <w:pStyle w:val="ListParagraph"/>
              <w:widowControl/>
              <w:numPr>
                <w:ilvl w:val="0"/>
                <w:numId w:val="12"/>
              </w:numPr>
              <w:overflowPunct w:val="0"/>
              <w:spacing w:after="180" w:line="240" w:lineRule="auto"/>
              <w:ind w:firstLineChars="0"/>
              <w:textAlignment w:val="baseline"/>
              <w:rPr>
                <w:bCs/>
                <w:lang w:eastAsia="en-GB"/>
              </w:rPr>
            </w:pPr>
            <w:r w:rsidRPr="0061565E">
              <w:rPr>
                <w:bCs/>
                <w:lang w:eastAsia="en-GB"/>
              </w:rPr>
              <w:t>RAN4 will further discuss the QCL definition update based on RAN1 agreements</w:t>
            </w:r>
          </w:p>
          <w:p w14:paraId="506E59B9" w14:textId="37B84334" w:rsidR="00C82B9C" w:rsidRPr="0061565E" w:rsidRDefault="000D6556" w:rsidP="000D6556">
            <w:pPr>
              <w:pStyle w:val="ListParagraph"/>
              <w:widowControl/>
              <w:numPr>
                <w:ilvl w:val="0"/>
                <w:numId w:val="12"/>
              </w:numPr>
              <w:overflowPunct w:val="0"/>
              <w:spacing w:after="180" w:line="240" w:lineRule="auto"/>
              <w:ind w:firstLineChars="0"/>
              <w:textAlignment w:val="baseline"/>
              <w:rPr>
                <w:bCs/>
                <w:lang w:eastAsia="en-GB"/>
              </w:rPr>
            </w:pPr>
            <w:r w:rsidRPr="0061565E">
              <w:rPr>
                <w:bCs/>
                <w:lang w:eastAsia="en-GB"/>
              </w:rPr>
              <w:t>RAN4 will specify the TRP specific BFR including requirements for BFD, CBD and BFRQ assuming 2 BFD-RS sets in mTRP operations</w:t>
            </w:r>
          </w:p>
        </w:tc>
      </w:tr>
    </w:tbl>
    <w:p w14:paraId="49518655" w14:textId="695FF688" w:rsidR="00350440" w:rsidRPr="0061565E" w:rsidRDefault="004210F9" w:rsidP="00AC0109">
      <w:pPr>
        <w:pStyle w:val="Heading1"/>
        <w:numPr>
          <w:ilvl w:val="0"/>
          <w:numId w:val="1"/>
        </w:numPr>
        <w:rPr>
          <w:rFonts w:ascii="Times New Roman" w:hAnsi="Times New Roman"/>
        </w:rPr>
      </w:pPr>
      <w:r w:rsidRPr="0061565E">
        <w:rPr>
          <w:rFonts w:ascii="Times New Roman" w:hAnsi="Times New Roman"/>
        </w:rPr>
        <w:t>TCI chain update</w:t>
      </w:r>
    </w:p>
    <w:p w14:paraId="1494A391" w14:textId="5B2189FD" w:rsidR="008B1B71" w:rsidRPr="0061565E" w:rsidRDefault="004210F9" w:rsidP="004210F9">
      <w:pPr>
        <w:snapToGrid w:val="0"/>
        <w:rPr>
          <w:rFonts w:ascii="Times New Roman" w:eastAsia="?? ??" w:hAnsi="Times New Roman"/>
          <w:lang w:eastAsia="ko-KR"/>
        </w:rPr>
      </w:pPr>
      <w:r w:rsidRPr="0061565E">
        <w:rPr>
          <w:rFonts w:ascii="Times New Roman" w:eastAsia="Malgun Gothic" w:hAnsi="Times New Roman"/>
          <w:szCs w:val="20"/>
        </w:rPr>
        <w:t>In legacy Rel-</w:t>
      </w:r>
      <w:r w:rsidR="008A6696">
        <w:rPr>
          <w:rFonts w:ascii="Times New Roman" w:eastAsia="Malgun Gothic" w:hAnsi="Times New Roman"/>
          <w:szCs w:val="20"/>
        </w:rPr>
        <w:t>15/</w:t>
      </w:r>
      <w:r w:rsidRPr="0061565E">
        <w:rPr>
          <w:rFonts w:ascii="Times New Roman" w:eastAsia="Malgun Gothic" w:hAnsi="Times New Roman"/>
          <w:szCs w:val="20"/>
        </w:rPr>
        <w:t xml:space="preserve">16, </w:t>
      </w:r>
      <w:r w:rsidR="0061565E" w:rsidRPr="0061565E">
        <w:rPr>
          <w:rFonts w:ascii="Times New Roman" w:eastAsia="Malgun Gothic" w:hAnsi="Times New Roman"/>
          <w:szCs w:val="20"/>
        </w:rPr>
        <w:t xml:space="preserve">only </w:t>
      </w:r>
      <w:r w:rsidRPr="0061565E">
        <w:rPr>
          <w:rFonts w:ascii="Times New Roman" w:eastAsia="Malgun Gothic" w:hAnsi="Times New Roman"/>
          <w:szCs w:val="20"/>
        </w:rPr>
        <w:t xml:space="preserve">DL TCI state switching is applied, therefore, we have the </w:t>
      </w:r>
      <w:r w:rsidR="000F0BE8" w:rsidRPr="0061565E">
        <w:rPr>
          <w:rFonts w:ascii="Times New Roman" w:eastAsia="Malgun Gothic" w:hAnsi="Times New Roman"/>
          <w:szCs w:val="20"/>
        </w:rPr>
        <w:t>definition</w:t>
      </w:r>
      <w:r w:rsidRPr="0061565E">
        <w:rPr>
          <w:rFonts w:ascii="Times New Roman" w:eastAsia="Malgun Gothic" w:hAnsi="Times New Roman"/>
          <w:szCs w:val="20"/>
        </w:rPr>
        <w:t xml:space="preserve"> of TCI chain. However, </w:t>
      </w:r>
      <w:r w:rsidR="00050BE5" w:rsidRPr="0061565E">
        <w:rPr>
          <w:rFonts w:ascii="Times New Roman" w:eastAsia="?? ??" w:hAnsi="Times New Roman"/>
          <w:lang w:eastAsia="ko-KR"/>
        </w:rPr>
        <w:t xml:space="preserve">In Rel-17, Unified TCI framework is introduced, </w:t>
      </w:r>
      <w:r w:rsidR="000F0BE8" w:rsidRPr="0061565E">
        <w:rPr>
          <w:rFonts w:ascii="Times New Roman" w:eastAsia="?? ??" w:hAnsi="Times New Roman"/>
          <w:lang w:eastAsia="ko-KR"/>
        </w:rPr>
        <w:t>and there are</w:t>
      </w:r>
      <w:r w:rsidRPr="0061565E">
        <w:rPr>
          <w:rFonts w:ascii="Times New Roman" w:eastAsia="?? ??" w:hAnsi="Times New Roman"/>
          <w:lang w:eastAsia="ko-KR"/>
        </w:rPr>
        <w:t xml:space="preserve"> TCI state chain for both DL and UL. Therefore, we suggest to update the TCI chain concept for Rel-17. It’s not kind of update of QCL definition, </w:t>
      </w:r>
      <w:r w:rsidR="000F0BE8" w:rsidRPr="0061565E">
        <w:rPr>
          <w:rFonts w:ascii="Times New Roman" w:eastAsia="?? ??" w:hAnsi="Times New Roman"/>
          <w:lang w:eastAsia="ko-KR"/>
        </w:rPr>
        <w:t>while</w:t>
      </w:r>
      <w:r w:rsidRPr="0061565E">
        <w:rPr>
          <w:rFonts w:ascii="Times New Roman" w:eastAsia="?? ??" w:hAnsi="Times New Roman"/>
          <w:lang w:eastAsia="ko-KR"/>
        </w:rPr>
        <w:t xml:space="preserve"> it’s update for TCI chain.</w:t>
      </w:r>
    </w:p>
    <w:p w14:paraId="6044B363" w14:textId="3CD8D88E" w:rsidR="000F0BE8" w:rsidRPr="0061565E" w:rsidRDefault="000F0BE8" w:rsidP="004210F9">
      <w:pPr>
        <w:snapToGrid w:val="0"/>
        <w:rPr>
          <w:rFonts w:ascii="Times New Roman" w:eastAsia="?? ??" w:hAnsi="Times New Roman"/>
          <w:b/>
          <w:bCs/>
          <w:lang w:eastAsia="ko-KR"/>
        </w:rPr>
      </w:pPr>
      <w:r w:rsidRPr="0061565E">
        <w:rPr>
          <w:rFonts w:ascii="Times New Roman" w:eastAsia="?? ??" w:hAnsi="Times New Roman"/>
          <w:b/>
          <w:bCs/>
          <w:lang w:eastAsia="ko-KR"/>
        </w:rPr>
        <w:t xml:space="preserve">Proposal 1: </w:t>
      </w:r>
      <w:r w:rsidR="00B258CC" w:rsidRPr="0061565E">
        <w:rPr>
          <w:rFonts w:ascii="Times New Roman" w:eastAsia="?? ??" w:hAnsi="Times New Roman"/>
          <w:b/>
          <w:bCs/>
          <w:lang w:eastAsia="ko-KR"/>
        </w:rPr>
        <w:t>F</w:t>
      </w:r>
      <w:r w:rsidRPr="0061565E">
        <w:rPr>
          <w:rFonts w:ascii="Times New Roman" w:eastAsia="?? ??" w:hAnsi="Times New Roman"/>
          <w:b/>
          <w:bCs/>
          <w:lang w:eastAsia="ko-KR"/>
        </w:rPr>
        <w:t xml:space="preserve">or Rel-17, TCI chain </w:t>
      </w:r>
      <w:r w:rsidR="00B258CC" w:rsidRPr="0061565E">
        <w:rPr>
          <w:rFonts w:ascii="Times New Roman" w:eastAsia="?? ??" w:hAnsi="Times New Roman"/>
          <w:b/>
          <w:bCs/>
          <w:lang w:eastAsia="ko-KR"/>
        </w:rPr>
        <w:t xml:space="preserve">needs to be defined for </w:t>
      </w:r>
      <w:r w:rsidRPr="0061565E">
        <w:rPr>
          <w:rFonts w:ascii="Times New Roman" w:eastAsia="?? ??" w:hAnsi="Times New Roman"/>
          <w:b/>
          <w:bCs/>
          <w:lang w:eastAsia="ko-KR"/>
        </w:rPr>
        <w:t xml:space="preserve">DL/UL </w:t>
      </w:r>
      <w:r w:rsidR="0061565E" w:rsidRPr="0061565E">
        <w:rPr>
          <w:rFonts w:ascii="Times New Roman" w:eastAsia="?? ??" w:hAnsi="Times New Roman"/>
          <w:b/>
          <w:bCs/>
          <w:lang w:eastAsia="ko-KR"/>
        </w:rPr>
        <w:t xml:space="preserve">TCI state </w:t>
      </w:r>
      <w:r w:rsidR="00B258CC" w:rsidRPr="0061565E">
        <w:rPr>
          <w:rFonts w:ascii="Times New Roman" w:eastAsia="?? ??" w:hAnsi="Times New Roman"/>
          <w:b/>
          <w:bCs/>
          <w:lang w:eastAsia="ko-KR"/>
        </w:rPr>
        <w:t>separately</w:t>
      </w:r>
      <w:r w:rsidRPr="0061565E">
        <w:rPr>
          <w:rFonts w:ascii="Times New Roman" w:eastAsia="?? ??" w:hAnsi="Times New Roman"/>
          <w:b/>
          <w:bCs/>
          <w:lang w:eastAsia="ko-KR"/>
        </w:rPr>
        <w:t>.</w:t>
      </w:r>
    </w:p>
    <w:p w14:paraId="212BA46B" w14:textId="77777777" w:rsidR="00B258CC" w:rsidRPr="0061565E" w:rsidRDefault="000F0BE8" w:rsidP="00B258CC">
      <w:pPr>
        <w:snapToGrid w:val="0"/>
        <w:rPr>
          <w:rFonts w:ascii="Times New Roman" w:eastAsia="DengXian" w:hAnsi="Times New Roman"/>
          <w:szCs w:val="20"/>
          <w:lang w:val="en-GB"/>
        </w:rPr>
      </w:pPr>
      <w:r w:rsidRPr="0061565E">
        <w:rPr>
          <w:rFonts w:ascii="Times New Roman" w:eastAsia="?? ??" w:hAnsi="Times New Roman"/>
          <w:lang w:eastAsia="ko-KR"/>
        </w:rPr>
        <w:t xml:space="preserve">For DL, </w:t>
      </w:r>
      <w:r w:rsidR="00B258CC" w:rsidRPr="0061565E">
        <w:rPr>
          <w:rFonts w:ascii="Times New Roman" w:eastAsia="DengXian" w:hAnsi="Times New Roman"/>
          <w:szCs w:val="20"/>
          <w:lang w:val="en-GB"/>
        </w:rPr>
        <w:t>In Rel-17, inter-cell beam management(BM) are also discussed in RAN1:</w:t>
      </w:r>
    </w:p>
    <w:tbl>
      <w:tblPr>
        <w:tblStyle w:val="TableGrid"/>
        <w:tblW w:w="0" w:type="auto"/>
        <w:tblLook w:val="04A0" w:firstRow="1" w:lastRow="0" w:firstColumn="1" w:lastColumn="0" w:noHBand="0" w:noVBand="1"/>
      </w:tblPr>
      <w:tblGrid>
        <w:gridCol w:w="9350"/>
      </w:tblGrid>
      <w:tr w:rsidR="00B258CC" w:rsidRPr="0061565E" w14:paraId="743F2C6B" w14:textId="77777777" w:rsidTr="003F5518">
        <w:tc>
          <w:tcPr>
            <w:tcW w:w="9350" w:type="dxa"/>
          </w:tcPr>
          <w:p w14:paraId="224F712B" w14:textId="77777777" w:rsidR="00B258CC" w:rsidRPr="0061565E" w:rsidRDefault="00B258CC" w:rsidP="003F5518">
            <w:pPr>
              <w:snapToGrid w:val="0"/>
              <w:rPr>
                <w:rFonts w:ascii="Times New Roman" w:eastAsia="Malgun Gothic" w:hAnsi="Times New Roman"/>
                <w:sz w:val="20"/>
                <w:szCs w:val="20"/>
                <w:lang w:val="x-none"/>
              </w:rPr>
            </w:pPr>
            <w:r w:rsidRPr="0061565E">
              <w:rPr>
                <w:rFonts w:ascii="Times New Roman" w:hAnsi="Times New Roman"/>
                <w:bCs/>
                <w:sz w:val="20"/>
                <w:szCs w:val="20"/>
                <w:highlight w:val="green"/>
              </w:rPr>
              <w:t>Agreement</w:t>
            </w:r>
          </w:p>
          <w:p w14:paraId="5CB53F5C" w14:textId="77777777" w:rsidR="00B258CC" w:rsidRPr="0061565E" w:rsidRDefault="00B258CC" w:rsidP="003F5518">
            <w:pPr>
              <w:snapToGrid w:val="0"/>
              <w:rPr>
                <w:rFonts w:ascii="Times New Roman" w:eastAsia="Malgun Gothic" w:hAnsi="Times New Roman"/>
                <w:sz w:val="20"/>
                <w:szCs w:val="20"/>
              </w:rPr>
            </w:pPr>
            <w:r w:rsidRPr="0061565E">
              <w:rPr>
                <w:rFonts w:ascii="Times New Roman" w:eastAsia="Malgun Gothic" w:hAnsi="Times New Roman"/>
                <w:sz w:val="20"/>
                <w:szCs w:val="20"/>
              </w:rPr>
              <w:t>On Rel.17 beam indication enhancements for inter-cell beam management, the supported Rel-17 MAC-CE-based and/or DCI-based beam indication (at least using DCI formats 1_1/1_2 with and without DL assignment including the associated MAC-CE-based TCI state activation) applies to:</w:t>
            </w:r>
          </w:p>
          <w:p w14:paraId="304C83DD" w14:textId="77777777" w:rsidR="00B258CC" w:rsidRPr="0061565E" w:rsidRDefault="00B258CC" w:rsidP="00B258CC">
            <w:pPr>
              <w:numPr>
                <w:ilvl w:val="0"/>
                <w:numId w:val="5"/>
              </w:numPr>
              <w:snapToGrid w:val="0"/>
              <w:spacing w:after="0" w:line="240" w:lineRule="auto"/>
              <w:rPr>
                <w:rFonts w:ascii="Times New Roman" w:eastAsia="Malgun Gothic" w:hAnsi="Times New Roman"/>
                <w:sz w:val="20"/>
                <w:szCs w:val="20"/>
              </w:rPr>
            </w:pPr>
            <w:r w:rsidRPr="0061565E">
              <w:rPr>
                <w:rFonts w:ascii="Times New Roman" w:eastAsia="Malgun Gothic" w:hAnsi="Times New Roman"/>
                <w:sz w:val="20"/>
                <w:szCs w:val="20"/>
              </w:rPr>
              <w:t xml:space="preserve">The channels and signals as for intra-cell beam management except for non-UE dedicated channels/signals </w:t>
            </w:r>
          </w:p>
          <w:p w14:paraId="026B8E27" w14:textId="77777777" w:rsidR="00B258CC" w:rsidRPr="0061565E" w:rsidRDefault="00B258CC" w:rsidP="00B258CC">
            <w:pPr>
              <w:numPr>
                <w:ilvl w:val="0"/>
                <w:numId w:val="5"/>
              </w:numPr>
              <w:snapToGrid w:val="0"/>
              <w:spacing w:after="0" w:line="240" w:lineRule="auto"/>
              <w:rPr>
                <w:rFonts w:ascii="Times New Roman" w:eastAsia="Malgun Gothic" w:hAnsi="Times New Roman"/>
                <w:sz w:val="20"/>
                <w:szCs w:val="20"/>
                <w:highlight w:val="yellow"/>
              </w:rPr>
            </w:pPr>
            <w:r w:rsidRPr="0061565E">
              <w:rPr>
                <w:rFonts w:ascii="Times New Roman" w:eastAsia="Malgun Gothic" w:hAnsi="Times New Roman"/>
                <w:sz w:val="20"/>
                <w:szCs w:val="20"/>
                <w:highlight w:val="yellow"/>
              </w:rPr>
              <w:t>For the aforementioned applicable channels and signals, SSB associated with a physical cell ID different from that of the serving cell is used as an indirect QCL reference for DL TCI (in case of separate DL/UL TCI) or joint TCI, or an indirect/direct QCL reference for UL TCI (in case of separate DL/UL TCI)</w:t>
            </w:r>
          </w:p>
          <w:p w14:paraId="733931FA" w14:textId="77777777" w:rsidR="00B258CC" w:rsidRPr="0061565E" w:rsidRDefault="00B258CC" w:rsidP="00B258CC">
            <w:pPr>
              <w:numPr>
                <w:ilvl w:val="1"/>
                <w:numId w:val="5"/>
              </w:numPr>
              <w:snapToGrid w:val="0"/>
              <w:spacing w:after="0" w:line="240" w:lineRule="auto"/>
              <w:rPr>
                <w:rFonts w:ascii="Times New Roman" w:eastAsia="Malgun Gothic" w:hAnsi="Times New Roman"/>
                <w:sz w:val="20"/>
                <w:szCs w:val="20"/>
              </w:rPr>
            </w:pPr>
            <w:r w:rsidRPr="0061565E">
              <w:rPr>
                <w:rFonts w:ascii="Times New Roman" w:eastAsia="Malgun Gothic" w:hAnsi="Times New Roman"/>
                <w:sz w:val="20"/>
                <w:szCs w:val="20"/>
              </w:rPr>
              <w:t>Note: When RS X is an indirect QCL reference of a target channel, there exists at least one other source signal on the QCL chain between RS X and the target channel. Here, Rel-15/16 QCL rule is reused by replacing SSB with SSB associated with a physical cell ID different from that of the serving cell</w:t>
            </w:r>
          </w:p>
        </w:tc>
      </w:tr>
    </w:tbl>
    <w:p w14:paraId="1AA3F3D5" w14:textId="77777777" w:rsidR="00B258CC" w:rsidRPr="0061565E" w:rsidRDefault="00B258CC" w:rsidP="00B258CC">
      <w:pPr>
        <w:snapToGrid w:val="0"/>
        <w:rPr>
          <w:rFonts w:ascii="Times New Roman" w:eastAsia="DengXian" w:hAnsi="Times New Roman"/>
          <w:szCs w:val="20"/>
        </w:rPr>
      </w:pPr>
    </w:p>
    <w:p w14:paraId="7F53D60A" w14:textId="25F75558" w:rsidR="00B258CC" w:rsidRPr="0061565E" w:rsidRDefault="00B258CC" w:rsidP="00B258CC">
      <w:pPr>
        <w:snapToGrid w:val="0"/>
        <w:rPr>
          <w:rFonts w:ascii="Times New Roman" w:eastAsia="DengXian" w:hAnsi="Times New Roman"/>
          <w:szCs w:val="20"/>
        </w:rPr>
      </w:pPr>
      <w:r w:rsidRPr="0061565E">
        <w:rPr>
          <w:rFonts w:ascii="Times New Roman" w:eastAsia="DengXian" w:hAnsi="Times New Roman"/>
          <w:szCs w:val="20"/>
        </w:rPr>
        <w:lastRenderedPageBreak/>
        <w:t>For inter-cell BM, SSB associated with a different PCID can be used as the source RS in the TCI chain for inter-cell BM, which is different from the serving cell TCI chain. Therefore, we prefer to add SSB associated with a different PCID in the DL TCI chain</w:t>
      </w:r>
      <w:r w:rsidR="0061565E" w:rsidRPr="0061565E">
        <w:rPr>
          <w:rFonts w:ascii="Times New Roman" w:eastAsia="DengXian" w:hAnsi="Times New Roman"/>
          <w:szCs w:val="20"/>
        </w:rPr>
        <w:t xml:space="preserve"> as well</w:t>
      </w:r>
      <w:r w:rsidRPr="0061565E">
        <w:rPr>
          <w:rFonts w:ascii="Times New Roman" w:eastAsia="DengXian" w:hAnsi="Times New Roman"/>
          <w:szCs w:val="20"/>
        </w:rPr>
        <w:t xml:space="preserve">.  </w:t>
      </w:r>
      <w:r w:rsidR="00634E6D" w:rsidRPr="00634E6D">
        <w:rPr>
          <w:rFonts w:ascii="Times New Roman" w:eastAsia="DengXian" w:hAnsi="Times New Roman"/>
          <w:szCs w:val="20"/>
        </w:rPr>
        <w:t>DL TCI chain can apply for separate DL TCI state or joint TCI state switching</w:t>
      </w:r>
      <w:r w:rsidR="00634E6D">
        <w:rPr>
          <w:rFonts w:ascii="Times New Roman" w:eastAsia="DengXian" w:hAnsi="Times New Roman"/>
          <w:szCs w:val="20"/>
        </w:rPr>
        <w:t>.</w:t>
      </w:r>
    </w:p>
    <w:p w14:paraId="3FEFDC75" w14:textId="48CB8E1D" w:rsidR="00B258CC" w:rsidRDefault="00B258CC" w:rsidP="00B258CC">
      <w:pPr>
        <w:snapToGrid w:val="0"/>
        <w:rPr>
          <w:rFonts w:ascii="Times New Roman" w:eastAsia="?? ??" w:hAnsi="Times New Roman"/>
          <w:b/>
          <w:bCs/>
          <w:lang w:eastAsia="ko-KR"/>
        </w:rPr>
      </w:pPr>
      <w:r w:rsidRPr="0061565E">
        <w:rPr>
          <w:rFonts w:ascii="Times New Roman" w:eastAsia="?? ??" w:hAnsi="Times New Roman"/>
          <w:b/>
          <w:bCs/>
          <w:lang w:eastAsia="ko-KR"/>
        </w:rPr>
        <w:t xml:space="preserve">Proposal 2: For DL TCI chain, SSB associated with a different PCID is </w:t>
      </w:r>
      <w:r w:rsidR="00BC774A" w:rsidRPr="0061565E">
        <w:rPr>
          <w:rFonts w:ascii="Times New Roman" w:eastAsia="?? ??" w:hAnsi="Times New Roman"/>
          <w:b/>
          <w:bCs/>
          <w:lang w:eastAsia="ko-KR"/>
        </w:rPr>
        <w:t>added</w:t>
      </w:r>
      <w:r w:rsidRPr="0061565E">
        <w:rPr>
          <w:rFonts w:ascii="Times New Roman" w:eastAsia="?? ??" w:hAnsi="Times New Roman"/>
          <w:b/>
          <w:bCs/>
          <w:lang w:eastAsia="ko-KR"/>
        </w:rPr>
        <w:t xml:space="preserve"> as a source RS.</w:t>
      </w:r>
    </w:p>
    <w:p w14:paraId="69E6A9BA" w14:textId="4E87AE63" w:rsidR="00A1473C" w:rsidRPr="0061565E" w:rsidRDefault="00A1473C" w:rsidP="00B258CC">
      <w:pPr>
        <w:snapToGrid w:val="0"/>
        <w:rPr>
          <w:rFonts w:ascii="Times New Roman" w:eastAsia="DengXian" w:hAnsi="Times New Roman"/>
          <w:szCs w:val="20"/>
        </w:rPr>
      </w:pPr>
      <w:r>
        <w:rPr>
          <w:rFonts w:ascii="Times New Roman" w:eastAsia="?? ??" w:hAnsi="Times New Roman"/>
          <w:b/>
          <w:bCs/>
          <w:lang w:eastAsia="ko-KR"/>
        </w:rPr>
        <w:t xml:space="preserve">Proposal 3: DL TCI chain can apply for </w:t>
      </w:r>
      <w:r w:rsidRPr="00A1473C">
        <w:rPr>
          <w:rFonts w:ascii="Times New Roman" w:eastAsia="?? ??" w:hAnsi="Times New Roman"/>
          <w:b/>
          <w:bCs/>
          <w:lang w:eastAsia="ko-KR"/>
        </w:rPr>
        <w:t>separate DL TCI state or joint TCI state switching</w:t>
      </w:r>
      <w:r>
        <w:rPr>
          <w:rFonts w:ascii="Times New Roman" w:eastAsia="?? ??" w:hAnsi="Times New Roman"/>
          <w:b/>
          <w:bCs/>
          <w:lang w:eastAsia="ko-KR"/>
        </w:rPr>
        <w:t>.</w:t>
      </w:r>
    </w:p>
    <w:p w14:paraId="037F8552" w14:textId="4EC41E63" w:rsidR="00B258CC" w:rsidRPr="0061565E" w:rsidRDefault="00B258CC" w:rsidP="00B258CC">
      <w:pPr>
        <w:snapToGrid w:val="0"/>
        <w:rPr>
          <w:rFonts w:ascii="Times New Roman" w:eastAsia="DengXian" w:hAnsi="Times New Roman"/>
          <w:szCs w:val="20"/>
        </w:rPr>
      </w:pPr>
      <w:r w:rsidRPr="0061565E">
        <w:rPr>
          <w:rFonts w:ascii="Times New Roman" w:eastAsia="DengXian" w:hAnsi="Times New Roman"/>
          <w:szCs w:val="20"/>
        </w:rPr>
        <w:t>The modification is as follows</w:t>
      </w:r>
      <w:r w:rsidR="00B4017A">
        <w:rPr>
          <w:rFonts w:ascii="Times New Roman" w:eastAsia="DengXian" w:hAnsi="Times New Roman"/>
          <w:szCs w:val="20"/>
        </w:rPr>
        <w:t>, which is submitted as a draftCR in [2]:</w:t>
      </w:r>
    </w:p>
    <w:tbl>
      <w:tblPr>
        <w:tblStyle w:val="TableGrid"/>
        <w:tblW w:w="0" w:type="auto"/>
        <w:tblLook w:val="04A0" w:firstRow="1" w:lastRow="0" w:firstColumn="1" w:lastColumn="0" w:noHBand="0" w:noVBand="1"/>
      </w:tblPr>
      <w:tblGrid>
        <w:gridCol w:w="9350"/>
      </w:tblGrid>
      <w:tr w:rsidR="00B258CC" w:rsidRPr="0061565E" w14:paraId="1A0CE48F" w14:textId="77777777" w:rsidTr="00B258CC">
        <w:tc>
          <w:tcPr>
            <w:tcW w:w="9350" w:type="dxa"/>
          </w:tcPr>
          <w:p w14:paraId="6DA9CEA3" w14:textId="77777777" w:rsidR="00B258CC" w:rsidRPr="0061565E" w:rsidRDefault="00B258CC" w:rsidP="00B258CC">
            <w:pPr>
              <w:pStyle w:val="Heading3"/>
              <w:outlineLvl w:val="2"/>
              <w:rPr>
                <w:rFonts w:ascii="Times New Roman" w:hAnsi="Times New Roman" w:cs="Times New Roman"/>
                <w:lang w:eastAsia="ko-KR"/>
              </w:rPr>
            </w:pPr>
            <w:r w:rsidRPr="0061565E">
              <w:rPr>
                <w:rFonts w:ascii="Times New Roman" w:hAnsi="Times New Roman" w:cs="Times New Roman"/>
                <w:lang w:eastAsia="ko-KR"/>
              </w:rPr>
              <w:t>3.6.7</w:t>
            </w:r>
            <w:r w:rsidRPr="0061565E">
              <w:rPr>
                <w:rFonts w:ascii="Times New Roman" w:hAnsi="Times New Roman" w:cs="Times New Roman"/>
                <w:lang w:eastAsia="ko-KR"/>
              </w:rPr>
              <w:tab/>
              <w:t xml:space="preserve">Applicability </w:t>
            </w:r>
            <w:r w:rsidRPr="0061565E">
              <w:rPr>
                <w:rFonts w:ascii="Times New Roman" w:hAnsi="Times New Roman" w:cs="Times New Roman"/>
                <w:noProof/>
              </w:rPr>
              <w:t>of QCL</w:t>
            </w:r>
          </w:p>
          <w:p w14:paraId="266932C9" w14:textId="4EADB2F6" w:rsidR="00B258CC" w:rsidRPr="0061565E" w:rsidRDefault="00B258CC" w:rsidP="00B258CC">
            <w:pPr>
              <w:rPr>
                <w:rFonts w:ascii="Times New Roman" w:eastAsia="?? ??" w:hAnsi="Times New Roman"/>
                <w:lang w:eastAsia="ko-KR"/>
              </w:rPr>
            </w:pPr>
            <w:r w:rsidRPr="0061565E">
              <w:rPr>
                <w:rFonts w:ascii="Times New Roman" w:eastAsia="?? ??" w:hAnsi="Times New Roman"/>
                <w:lang w:eastAsia="ko-KR"/>
              </w:rPr>
              <w:t>For the requirements specified in this version of the specification</w:t>
            </w:r>
            <w:r w:rsidR="00A16B85">
              <w:rPr>
                <w:rFonts w:ascii="Times New Roman" w:eastAsia="?? ??" w:hAnsi="Times New Roman"/>
                <w:lang w:eastAsia="ko-KR"/>
              </w:rPr>
              <w:t xml:space="preserve"> for TCI state sw</w:t>
            </w:r>
            <w:r w:rsidR="00D82DAF">
              <w:rPr>
                <w:rFonts w:ascii="Times New Roman" w:eastAsia="?? ??" w:hAnsi="Times New Roman"/>
                <w:lang w:eastAsia="ko-KR"/>
              </w:rPr>
              <w:t>itching</w:t>
            </w:r>
            <w:r w:rsidRPr="0061565E">
              <w:rPr>
                <w:rFonts w:ascii="Times New Roman" w:eastAsia="?? ??" w:hAnsi="Times New Roman"/>
                <w:lang w:eastAsia="ko-KR"/>
              </w:rPr>
              <w:t>, a reference signal is considered to be QCLed to another reference signal if it is in the same TCI chain as the other reference signal, provided that the number of Reference Signals in the chain is no more than 4. It is assumed there is single QCL type per TCI chain.</w:t>
            </w:r>
          </w:p>
          <w:p w14:paraId="2CCE0E54" w14:textId="0F437271" w:rsidR="00B258CC" w:rsidRPr="0061565E" w:rsidRDefault="00B258CC" w:rsidP="00B258CC">
            <w:pPr>
              <w:rPr>
                <w:rFonts w:ascii="Times New Roman" w:eastAsia="?? ??" w:hAnsi="Times New Roman"/>
                <w:lang w:eastAsia="ko-KR"/>
              </w:rPr>
            </w:pPr>
            <w:r w:rsidRPr="0061565E">
              <w:rPr>
                <w:rFonts w:ascii="Times New Roman" w:eastAsia="?? ??" w:hAnsi="Times New Roman"/>
                <w:lang w:eastAsia="ko-KR"/>
              </w:rPr>
              <w:t xml:space="preserve">A TCI chain consists of an SSB, and one or more CSI-RS resources, and the TCI state of each Reference Signal includes another Reference Signal in the same TCI chain. </w:t>
            </w:r>
          </w:p>
          <w:p w14:paraId="3A73F1C4" w14:textId="77777777" w:rsidR="00B258CC" w:rsidRDefault="00B258CC" w:rsidP="00B258CC">
            <w:pPr>
              <w:snapToGrid w:val="0"/>
              <w:rPr>
                <w:rFonts w:ascii="Times New Roman" w:hAnsi="Times New Roman"/>
                <w:noProof/>
              </w:rPr>
            </w:pPr>
            <w:r w:rsidRPr="0061565E">
              <w:rPr>
                <w:rFonts w:ascii="Times New Roman" w:hAnsi="Times New Roman"/>
                <w:noProof/>
              </w:rPr>
              <w:t>DMRS of PDCCH or PDSCH is QCLed with the reference signal in its active TCI state and any other reference signal that is QCLed, based on above criteria, with the reference signal in the active TCI state.</w:t>
            </w:r>
          </w:p>
          <w:p w14:paraId="0D0EC5BF" w14:textId="66004075" w:rsidR="00621C29" w:rsidRPr="005245A4" w:rsidRDefault="00621C29" w:rsidP="00621C29">
            <w:pPr>
              <w:rPr>
                <w:rFonts w:ascii="Times New Roman" w:eastAsia="?? ??" w:hAnsi="Times New Roman"/>
                <w:highlight w:val="yellow"/>
                <w:lang w:eastAsia="ko-KR"/>
              </w:rPr>
            </w:pPr>
            <w:r w:rsidRPr="005245A4">
              <w:rPr>
                <w:rFonts w:ascii="Times New Roman" w:eastAsia="?? ??" w:hAnsi="Times New Roman"/>
                <w:highlight w:val="yellow"/>
                <w:lang w:eastAsia="ko-KR"/>
              </w:rPr>
              <w:t>For the requirements specified in this version of the specification for separate DL TCI</w:t>
            </w:r>
            <w:r w:rsidR="00863DA2" w:rsidRPr="005245A4">
              <w:rPr>
                <w:rFonts w:ascii="Times New Roman" w:eastAsia="?? ??" w:hAnsi="Times New Roman"/>
                <w:highlight w:val="yellow"/>
                <w:lang w:eastAsia="ko-KR"/>
              </w:rPr>
              <w:t xml:space="preserve"> state or joint TCI state switching</w:t>
            </w:r>
            <w:r w:rsidRPr="005245A4">
              <w:rPr>
                <w:rFonts w:ascii="Times New Roman" w:eastAsia="?? ??" w:hAnsi="Times New Roman"/>
                <w:highlight w:val="yellow"/>
                <w:lang w:eastAsia="ko-KR"/>
              </w:rPr>
              <w:t xml:space="preserve">, a reference signal is considered to be QCLed to another reference signal if it is in the same </w:t>
            </w:r>
            <w:r w:rsidR="00863DA2" w:rsidRPr="005245A4">
              <w:rPr>
                <w:rFonts w:ascii="Times New Roman" w:eastAsia="?? ??" w:hAnsi="Times New Roman"/>
                <w:highlight w:val="yellow"/>
                <w:lang w:eastAsia="ko-KR"/>
              </w:rPr>
              <w:t xml:space="preserve">DL </w:t>
            </w:r>
            <w:r w:rsidRPr="005245A4">
              <w:rPr>
                <w:rFonts w:ascii="Times New Roman" w:eastAsia="?? ??" w:hAnsi="Times New Roman"/>
                <w:highlight w:val="yellow"/>
                <w:lang w:eastAsia="ko-KR"/>
              </w:rPr>
              <w:t xml:space="preserve">TCI chain as the other reference signal, provided that the number of Reference Signals in the chain is no more than 4. It is assumed there is single QCL type per </w:t>
            </w:r>
            <w:r w:rsidR="00B4017A">
              <w:rPr>
                <w:rFonts w:ascii="Times New Roman" w:eastAsia="?? ??" w:hAnsi="Times New Roman"/>
                <w:highlight w:val="yellow"/>
                <w:lang w:eastAsia="ko-KR"/>
              </w:rPr>
              <w:t xml:space="preserve">DL </w:t>
            </w:r>
            <w:r w:rsidRPr="005245A4">
              <w:rPr>
                <w:rFonts w:ascii="Times New Roman" w:eastAsia="?? ??" w:hAnsi="Times New Roman"/>
                <w:highlight w:val="yellow"/>
                <w:lang w:eastAsia="ko-KR"/>
              </w:rPr>
              <w:t>TCI chain.</w:t>
            </w:r>
          </w:p>
          <w:p w14:paraId="0AC4E630" w14:textId="7BB1BA93" w:rsidR="00621C29" w:rsidRPr="005245A4" w:rsidRDefault="00621C29" w:rsidP="00621C29">
            <w:pPr>
              <w:rPr>
                <w:rFonts w:ascii="Times New Roman" w:eastAsia="?? ??" w:hAnsi="Times New Roman"/>
                <w:highlight w:val="yellow"/>
                <w:lang w:eastAsia="ko-KR"/>
              </w:rPr>
            </w:pPr>
            <w:r w:rsidRPr="005245A4">
              <w:rPr>
                <w:rFonts w:ascii="Times New Roman" w:eastAsia="?? ??" w:hAnsi="Times New Roman"/>
                <w:highlight w:val="yellow"/>
                <w:lang w:eastAsia="ko-KR"/>
              </w:rPr>
              <w:t xml:space="preserve">A DL TCI chain consists of an SSB, and one or more CSI-RS resources, or SSB associated with a different PCID, and the TCI state of each Reference Signal includes another Reference Signal in the same </w:t>
            </w:r>
            <w:r w:rsidR="00B4017A">
              <w:rPr>
                <w:rFonts w:ascii="Times New Roman" w:eastAsia="?? ??" w:hAnsi="Times New Roman"/>
                <w:highlight w:val="yellow"/>
                <w:lang w:eastAsia="ko-KR"/>
              </w:rPr>
              <w:t>DL</w:t>
            </w:r>
            <w:r w:rsidRPr="005245A4">
              <w:rPr>
                <w:rFonts w:ascii="Times New Roman" w:eastAsia="?? ??" w:hAnsi="Times New Roman"/>
                <w:highlight w:val="yellow"/>
                <w:lang w:eastAsia="ko-KR"/>
              </w:rPr>
              <w:t xml:space="preserve">TCI chain. </w:t>
            </w:r>
          </w:p>
          <w:p w14:paraId="7B44D0D8" w14:textId="3EBF82F3" w:rsidR="00621C29" w:rsidRPr="0061565E" w:rsidRDefault="00621C29" w:rsidP="00621C29">
            <w:pPr>
              <w:snapToGrid w:val="0"/>
              <w:rPr>
                <w:rFonts w:ascii="Times New Roman" w:eastAsia="DengXian" w:hAnsi="Times New Roman"/>
                <w:szCs w:val="20"/>
              </w:rPr>
            </w:pPr>
            <w:r w:rsidRPr="005245A4">
              <w:rPr>
                <w:rFonts w:ascii="Times New Roman" w:hAnsi="Times New Roman"/>
                <w:noProof/>
                <w:highlight w:val="yellow"/>
              </w:rPr>
              <w:t>DMRS of PDCCH or PDSCH is QCLed with the reference signal in its active TCI state and any other reference signal that is QCLed, based on above criteria, with the reference signal in the active TCI state.</w:t>
            </w:r>
          </w:p>
        </w:tc>
      </w:tr>
    </w:tbl>
    <w:p w14:paraId="1DAD1195" w14:textId="77777777" w:rsidR="00B258CC" w:rsidRPr="0061565E" w:rsidRDefault="00B258CC" w:rsidP="00B258CC">
      <w:pPr>
        <w:snapToGrid w:val="0"/>
        <w:rPr>
          <w:rFonts w:ascii="Times New Roman" w:eastAsia="DengXian" w:hAnsi="Times New Roman"/>
          <w:szCs w:val="20"/>
        </w:rPr>
      </w:pPr>
    </w:p>
    <w:p w14:paraId="059EBBD5" w14:textId="2935B5C1" w:rsidR="000F0BE8" w:rsidRPr="0061565E" w:rsidRDefault="00B258CC" w:rsidP="004210F9">
      <w:pPr>
        <w:snapToGrid w:val="0"/>
        <w:rPr>
          <w:rFonts w:ascii="Times New Roman" w:eastAsia="?? ??" w:hAnsi="Times New Roman"/>
          <w:lang w:eastAsia="ko-KR"/>
        </w:rPr>
      </w:pPr>
      <w:r w:rsidRPr="0061565E">
        <w:rPr>
          <w:rFonts w:ascii="Times New Roman" w:eastAsia="?? ??" w:hAnsi="Times New Roman"/>
          <w:lang w:eastAsia="ko-KR"/>
        </w:rPr>
        <w:t xml:space="preserve">For UL TCI state switching, </w:t>
      </w:r>
      <w:r w:rsidR="0061565E" w:rsidRPr="0061565E">
        <w:rPr>
          <w:rFonts w:ascii="Times New Roman" w:eastAsia="?? ??" w:hAnsi="Times New Roman"/>
          <w:lang w:eastAsia="ko-KR"/>
        </w:rPr>
        <w:t>SSB, SRS or CSI-RS will be considered as source RS in the UL TCI chain. UL TCI chain will be used for UL spatial relation switching. A</w:t>
      </w:r>
      <w:r w:rsidR="00FF046D" w:rsidRPr="0061565E">
        <w:rPr>
          <w:rFonts w:ascii="Times New Roman" w:eastAsia="?? ??" w:hAnsi="Times New Roman"/>
          <w:lang w:eastAsia="ko-KR"/>
        </w:rPr>
        <w:t xml:space="preserve"> similar way can be defined:</w:t>
      </w:r>
    </w:p>
    <w:tbl>
      <w:tblPr>
        <w:tblStyle w:val="TableGrid"/>
        <w:tblW w:w="0" w:type="auto"/>
        <w:tblLook w:val="04A0" w:firstRow="1" w:lastRow="0" w:firstColumn="1" w:lastColumn="0" w:noHBand="0" w:noVBand="1"/>
      </w:tblPr>
      <w:tblGrid>
        <w:gridCol w:w="9350"/>
      </w:tblGrid>
      <w:tr w:rsidR="000F0BE8" w:rsidRPr="0061565E" w14:paraId="5567AB15" w14:textId="77777777" w:rsidTr="000F0BE8">
        <w:tc>
          <w:tcPr>
            <w:tcW w:w="9350" w:type="dxa"/>
          </w:tcPr>
          <w:p w14:paraId="018C58F2" w14:textId="13D75733" w:rsidR="000F0BE8" w:rsidRPr="0061565E" w:rsidRDefault="00F87882" w:rsidP="000F0BE8">
            <w:pPr>
              <w:pStyle w:val="Heading3"/>
              <w:outlineLvl w:val="2"/>
              <w:rPr>
                <w:rFonts w:ascii="Times New Roman" w:hAnsi="Times New Roman" w:cs="Times New Roman"/>
                <w:lang w:eastAsia="ko-KR"/>
              </w:rPr>
            </w:pPr>
            <w:r>
              <w:rPr>
                <w:rFonts w:ascii="Times New Roman" w:hAnsi="Times New Roman" w:cs="Times New Roman"/>
                <w:lang w:eastAsia="ko-KR"/>
              </w:rPr>
              <w:lastRenderedPageBreak/>
              <w:t>3.7.</w:t>
            </w:r>
            <w:r w:rsidR="00B4017A">
              <w:rPr>
                <w:rFonts w:ascii="Times New Roman" w:hAnsi="Times New Roman" w:cs="Times New Roman"/>
                <w:lang w:eastAsia="ko-KR"/>
              </w:rPr>
              <w:t>x</w:t>
            </w:r>
            <w:r>
              <w:rPr>
                <w:rFonts w:ascii="Times New Roman" w:hAnsi="Times New Roman" w:cs="Times New Roman"/>
                <w:lang w:eastAsia="ko-KR"/>
              </w:rPr>
              <w:t xml:space="preserve"> </w:t>
            </w:r>
            <w:r w:rsidR="000F0BE8" w:rsidRPr="0061565E">
              <w:rPr>
                <w:rFonts w:ascii="Times New Roman" w:hAnsi="Times New Roman" w:cs="Times New Roman"/>
                <w:lang w:eastAsia="ko-KR"/>
              </w:rPr>
              <w:t xml:space="preserve">Applicability </w:t>
            </w:r>
            <w:r w:rsidR="000F0BE8" w:rsidRPr="0061565E">
              <w:rPr>
                <w:rFonts w:ascii="Times New Roman" w:hAnsi="Times New Roman" w:cs="Times New Roman"/>
                <w:noProof/>
              </w:rPr>
              <w:t xml:space="preserve">of UL </w:t>
            </w:r>
            <w:r w:rsidR="00FF046D" w:rsidRPr="0061565E">
              <w:rPr>
                <w:rFonts w:ascii="Times New Roman" w:hAnsi="Times New Roman" w:cs="Times New Roman"/>
                <w:noProof/>
              </w:rPr>
              <w:t>spatial relation</w:t>
            </w:r>
            <w:r w:rsidR="000F0BE8" w:rsidRPr="0061565E">
              <w:rPr>
                <w:rFonts w:ascii="Times New Roman" w:hAnsi="Times New Roman" w:cs="Times New Roman"/>
                <w:noProof/>
              </w:rPr>
              <w:t xml:space="preserve"> </w:t>
            </w:r>
          </w:p>
          <w:p w14:paraId="062CD8F8" w14:textId="77777777" w:rsidR="000F0BE8" w:rsidRPr="0061565E" w:rsidRDefault="000F0BE8" w:rsidP="000F0BE8">
            <w:pPr>
              <w:rPr>
                <w:rFonts w:ascii="Times New Roman" w:eastAsia="?? ??" w:hAnsi="Times New Roman"/>
                <w:lang w:eastAsia="ko-KR"/>
              </w:rPr>
            </w:pPr>
          </w:p>
          <w:p w14:paraId="229CD8AA" w14:textId="651F79D1" w:rsidR="000F0BE8" w:rsidRPr="0061565E" w:rsidRDefault="000F0BE8" w:rsidP="000F0BE8">
            <w:pPr>
              <w:rPr>
                <w:rFonts w:ascii="Times New Roman" w:eastAsia="?? ??" w:hAnsi="Times New Roman"/>
                <w:lang w:eastAsia="ko-KR"/>
              </w:rPr>
            </w:pPr>
            <w:r w:rsidRPr="0061565E">
              <w:rPr>
                <w:rFonts w:ascii="Times New Roman" w:eastAsia="?? ??" w:hAnsi="Times New Roman"/>
                <w:lang w:eastAsia="ko-KR"/>
              </w:rPr>
              <w:t>For the requirements specified in this version of the specification</w:t>
            </w:r>
            <w:r w:rsidR="00A33B0D" w:rsidRPr="0061565E">
              <w:rPr>
                <w:rFonts w:ascii="Times New Roman" w:eastAsia="?? ??" w:hAnsi="Times New Roman"/>
                <w:lang w:eastAsia="ko-KR"/>
              </w:rPr>
              <w:t xml:space="preserve"> for separate UL TCI state</w:t>
            </w:r>
            <w:r w:rsidR="00D82DAF">
              <w:rPr>
                <w:rFonts w:ascii="Times New Roman" w:eastAsia="?? ??" w:hAnsi="Times New Roman"/>
                <w:lang w:eastAsia="ko-KR"/>
              </w:rPr>
              <w:t xml:space="preserve"> switching</w:t>
            </w:r>
            <w:r w:rsidRPr="0061565E">
              <w:rPr>
                <w:rFonts w:ascii="Times New Roman" w:eastAsia="?? ??" w:hAnsi="Times New Roman"/>
                <w:lang w:eastAsia="ko-KR"/>
              </w:rPr>
              <w:t xml:space="preserve">, a reference signal is considered to provide reference for determining </w:t>
            </w:r>
            <w:r w:rsidR="00FF046D" w:rsidRPr="0061565E">
              <w:rPr>
                <w:rFonts w:ascii="Times New Roman" w:eastAsia="?? ??" w:hAnsi="Times New Roman"/>
                <w:lang w:eastAsia="ko-KR"/>
              </w:rPr>
              <w:t xml:space="preserve">UL spatial relation </w:t>
            </w:r>
            <w:r w:rsidRPr="0061565E">
              <w:rPr>
                <w:rFonts w:ascii="Times New Roman" w:eastAsia="?? ??" w:hAnsi="Times New Roman"/>
                <w:lang w:eastAsia="ko-KR"/>
              </w:rPr>
              <w:t xml:space="preserve">for another reference signal if it is in the same UL TCI chain as the other reference signal, provided that the number of Reference Signals in the chain is no more than 4. </w:t>
            </w:r>
          </w:p>
          <w:p w14:paraId="39FDB724" w14:textId="72EB4FB3" w:rsidR="000F0BE8" w:rsidRPr="0061565E" w:rsidRDefault="00FF046D" w:rsidP="008B5122">
            <w:pPr>
              <w:rPr>
                <w:rFonts w:ascii="Times New Roman" w:eastAsia="?? ??" w:hAnsi="Times New Roman"/>
                <w:lang w:eastAsia="ko-KR"/>
              </w:rPr>
            </w:pPr>
            <w:r w:rsidRPr="0061565E">
              <w:rPr>
                <w:rFonts w:ascii="Times New Roman" w:eastAsia="?? ??" w:hAnsi="Times New Roman"/>
                <w:lang w:eastAsia="ko-KR"/>
              </w:rPr>
              <w:t xml:space="preserve">A UL TCI chain consists of an SSB, and one or more CSI-RS resources, or SRS, and the TCI state of each Reference Signal includes another Reference Signal in the same </w:t>
            </w:r>
            <w:r w:rsidR="00B4017A">
              <w:rPr>
                <w:rFonts w:ascii="Times New Roman" w:eastAsia="?? ??" w:hAnsi="Times New Roman"/>
                <w:lang w:eastAsia="ko-KR"/>
              </w:rPr>
              <w:t>UL</w:t>
            </w:r>
            <w:r w:rsidRPr="0061565E">
              <w:rPr>
                <w:rFonts w:ascii="Times New Roman" w:eastAsia="?? ??" w:hAnsi="Times New Roman"/>
                <w:lang w:eastAsia="ko-KR"/>
              </w:rPr>
              <w:t xml:space="preserve">TCI chain. </w:t>
            </w:r>
          </w:p>
        </w:tc>
      </w:tr>
    </w:tbl>
    <w:p w14:paraId="735B5B50" w14:textId="4A77E151" w:rsidR="000F0BE8" w:rsidRDefault="000F0BE8" w:rsidP="004210F9">
      <w:pPr>
        <w:snapToGrid w:val="0"/>
        <w:rPr>
          <w:rFonts w:ascii="Times New Roman" w:eastAsia="?? ??" w:hAnsi="Times New Roman"/>
          <w:lang w:eastAsia="ko-KR"/>
        </w:rPr>
      </w:pPr>
    </w:p>
    <w:p w14:paraId="633DB387" w14:textId="6783BF16" w:rsidR="003C055D" w:rsidRPr="0061565E" w:rsidRDefault="002B6D0C" w:rsidP="003C055D">
      <w:pPr>
        <w:rPr>
          <w:rFonts w:ascii="Times New Roman" w:eastAsia="?? ??" w:hAnsi="Times New Roman"/>
          <w:lang w:eastAsia="ko-KR"/>
        </w:rPr>
      </w:pPr>
      <w:r>
        <w:rPr>
          <w:rFonts w:ascii="Times New Roman" w:eastAsia="?? ??" w:hAnsi="Times New Roman"/>
          <w:b/>
          <w:bCs/>
          <w:lang w:eastAsia="ko-KR"/>
        </w:rPr>
        <w:t>Proposal 4:</w:t>
      </w:r>
      <w:r w:rsidRPr="002B6D0C">
        <w:rPr>
          <w:rFonts w:ascii="Times New Roman" w:eastAsia="?? ??" w:hAnsi="Times New Roman"/>
          <w:b/>
          <w:bCs/>
          <w:lang w:eastAsia="ko-KR"/>
        </w:rPr>
        <w:t xml:space="preserve"> </w:t>
      </w:r>
      <w:r w:rsidRPr="0061565E">
        <w:rPr>
          <w:rFonts w:ascii="Times New Roman" w:eastAsia="?? ??" w:hAnsi="Times New Roman"/>
          <w:b/>
          <w:bCs/>
          <w:lang w:eastAsia="ko-KR"/>
        </w:rPr>
        <w:t xml:space="preserve">For </w:t>
      </w:r>
      <w:r>
        <w:rPr>
          <w:rFonts w:ascii="Times New Roman" w:eastAsia="?? ??" w:hAnsi="Times New Roman"/>
          <w:b/>
          <w:bCs/>
          <w:lang w:eastAsia="ko-KR"/>
        </w:rPr>
        <w:t>U</w:t>
      </w:r>
      <w:r w:rsidRPr="0061565E">
        <w:rPr>
          <w:rFonts w:ascii="Times New Roman" w:eastAsia="?? ??" w:hAnsi="Times New Roman"/>
          <w:b/>
          <w:bCs/>
          <w:lang w:eastAsia="ko-KR"/>
        </w:rPr>
        <w:t>L TCI chain,</w:t>
      </w:r>
      <w:r w:rsidR="003C055D" w:rsidRPr="003C055D">
        <w:rPr>
          <w:rFonts w:ascii="Times New Roman" w:eastAsia="?? ??" w:hAnsi="Times New Roman"/>
          <w:lang w:eastAsia="ko-KR"/>
        </w:rPr>
        <w:t xml:space="preserve"> </w:t>
      </w:r>
      <w:r w:rsidR="003C055D" w:rsidRPr="003C055D">
        <w:rPr>
          <w:rFonts w:ascii="Times New Roman" w:eastAsia="?? ??" w:hAnsi="Times New Roman"/>
          <w:b/>
          <w:bCs/>
          <w:lang w:eastAsia="ko-KR"/>
        </w:rPr>
        <w:t>SSB, SRS or CSI-RS will be considered as source RS in the UL TCI chain. the number of Reference Signals in the chain is no more than 4.</w:t>
      </w:r>
      <w:r w:rsidR="003C055D" w:rsidRPr="0061565E">
        <w:rPr>
          <w:rFonts w:ascii="Times New Roman" w:eastAsia="?? ??" w:hAnsi="Times New Roman"/>
          <w:lang w:eastAsia="ko-KR"/>
        </w:rPr>
        <w:t xml:space="preserve"> </w:t>
      </w:r>
    </w:p>
    <w:p w14:paraId="04844958" w14:textId="72A15208" w:rsidR="00870971" w:rsidRPr="0061565E" w:rsidRDefault="00640CB5" w:rsidP="00870971">
      <w:pPr>
        <w:pStyle w:val="Heading1"/>
        <w:numPr>
          <w:ilvl w:val="0"/>
          <w:numId w:val="1"/>
        </w:numPr>
        <w:rPr>
          <w:rFonts w:ascii="Times New Roman" w:hAnsi="Times New Roman"/>
        </w:rPr>
      </w:pPr>
      <w:r w:rsidRPr="0061565E">
        <w:rPr>
          <w:rFonts w:ascii="Times New Roman" w:hAnsi="Times New Roman"/>
        </w:rPr>
        <w:t>TRP specific BFR</w:t>
      </w:r>
    </w:p>
    <w:p w14:paraId="31D4FCCF" w14:textId="10E49911" w:rsidR="006D42FF" w:rsidRPr="0061565E" w:rsidRDefault="006D42FF" w:rsidP="006D42FF">
      <w:pPr>
        <w:rPr>
          <w:rFonts w:ascii="Times New Roman" w:hAnsi="Times New Roman"/>
          <w:lang w:val="en-GB" w:eastAsia="en-US"/>
        </w:rPr>
      </w:pPr>
      <w:r w:rsidRPr="0061565E">
        <w:rPr>
          <w:rFonts w:ascii="Times New Roman" w:hAnsi="Times New Roman"/>
          <w:lang w:val="en-GB" w:eastAsia="en-US"/>
        </w:rPr>
        <w:t>In last meeting, it’s agree</w:t>
      </w:r>
      <w:r w:rsidR="004D5163">
        <w:rPr>
          <w:rFonts w:ascii="Times New Roman" w:hAnsi="Times New Roman"/>
          <w:lang w:val="en-GB" w:eastAsia="en-US"/>
        </w:rPr>
        <w:t>d</w:t>
      </w:r>
      <w:r w:rsidRPr="0061565E">
        <w:rPr>
          <w:rFonts w:ascii="Times New Roman" w:hAnsi="Times New Roman"/>
          <w:lang w:val="en-GB" w:eastAsia="en-US"/>
        </w:rPr>
        <w:t xml:space="preserve"> that</w:t>
      </w:r>
      <w:r w:rsidR="0061565E" w:rsidRPr="0061565E">
        <w:rPr>
          <w:rFonts w:ascii="Times New Roman" w:hAnsi="Times New Roman"/>
          <w:bCs/>
          <w:lang w:eastAsia="en-GB"/>
        </w:rPr>
        <w:t xml:space="preserve"> TRP specific BFR</w:t>
      </w:r>
      <w:r w:rsidR="0061565E">
        <w:rPr>
          <w:rFonts w:ascii="Times New Roman" w:hAnsi="Times New Roman"/>
          <w:bCs/>
          <w:lang w:eastAsia="en-GB"/>
        </w:rPr>
        <w:t xml:space="preserve"> requirement needs to be studied:</w:t>
      </w:r>
    </w:p>
    <w:tbl>
      <w:tblPr>
        <w:tblStyle w:val="TableGrid"/>
        <w:tblW w:w="0" w:type="auto"/>
        <w:tblLook w:val="04A0" w:firstRow="1" w:lastRow="0" w:firstColumn="1" w:lastColumn="0" w:noHBand="0" w:noVBand="1"/>
      </w:tblPr>
      <w:tblGrid>
        <w:gridCol w:w="9350"/>
      </w:tblGrid>
      <w:tr w:rsidR="00870971" w:rsidRPr="0061565E" w14:paraId="71780B7A" w14:textId="77777777" w:rsidTr="00870971">
        <w:tc>
          <w:tcPr>
            <w:tcW w:w="9350" w:type="dxa"/>
          </w:tcPr>
          <w:p w14:paraId="19AF3459" w14:textId="255D3CA9" w:rsidR="00870971" w:rsidRPr="0061565E" w:rsidRDefault="00870971" w:rsidP="00F12B0E">
            <w:pPr>
              <w:snapToGrid w:val="0"/>
              <w:rPr>
                <w:rFonts w:ascii="Times New Roman" w:eastAsia="DengXian" w:hAnsi="Times New Roman"/>
                <w:b/>
                <w:bCs/>
                <w:szCs w:val="20"/>
              </w:rPr>
            </w:pPr>
            <w:r w:rsidRPr="0061565E">
              <w:rPr>
                <w:rFonts w:ascii="Times New Roman" w:hAnsi="Times New Roman"/>
                <w:bCs/>
                <w:lang w:eastAsia="en-GB"/>
              </w:rPr>
              <w:t>RAN4 will specify the TRP specific BFR including requirements for BFD, CBD and BFRQ assuming 2 BFD-RS sets in mTRP operations</w:t>
            </w:r>
          </w:p>
        </w:tc>
      </w:tr>
    </w:tbl>
    <w:p w14:paraId="79837D5D" w14:textId="4560EB8A" w:rsidR="00870971" w:rsidRPr="0061565E" w:rsidRDefault="00870971" w:rsidP="00F12B0E">
      <w:pPr>
        <w:snapToGrid w:val="0"/>
        <w:rPr>
          <w:rFonts w:ascii="Times New Roman" w:eastAsia="DengXian" w:hAnsi="Times New Roman"/>
          <w:b/>
          <w:bCs/>
          <w:szCs w:val="20"/>
        </w:rPr>
      </w:pPr>
    </w:p>
    <w:p w14:paraId="3238EF5D" w14:textId="45896C64" w:rsidR="00B50844" w:rsidRPr="0061565E" w:rsidRDefault="006D79F9" w:rsidP="00F12B0E">
      <w:pPr>
        <w:snapToGrid w:val="0"/>
        <w:rPr>
          <w:rFonts w:ascii="Times New Roman" w:hAnsi="Times New Roman"/>
        </w:rPr>
      </w:pPr>
      <w:r w:rsidRPr="0061565E">
        <w:rPr>
          <w:rFonts w:ascii="Times New Roman" w:hAnsi="Times New Roman"/>
        </w:rPr>
        <w:t>For TRP</w:t>
      </w:r>
      <w:r w:rsidR="00C05444" w:rsidRPr="0061565E">
        <w:rPr>
          <w:rFonts w:ascii="Times New Roman" w:hAnsi="Times New Roman"/>
        </w:rPr>
        <w:t>-</w:t>
      </w:r>
      <w:r w:rsidRPr="0061565E">
        <w:rPr>
          <w:rFonts w:ascii="Times New Roman" w:hAnsi="Times New Roman"/>
        </w:rPr>
        <w:t>specific BFR, it has been agreed that the UE PHY layer reports to the MAC layer that beam failure happens for a given TRP when estimated hypothetic BLER, Qout,LR, is above a threshold for all measured BFD RS(s) in the BFD RS set corresponding to that TRP.</w:t>
      </w:r>
      <w:r w:rsidR="0061565E">
        <w:rPr>
          <w:rFonts w:ascii="Times New Roman" w:hAnsi="Times New Roman"/>
        </w:rPr>
        <w:t xml:space="preserve"> Some RAN1 agreements are as follow:</w:t>
      </w:r>
    </w:p>
    <w:tbl>
      <w:tblPr>
        <w:tblStyle w:val="TableGrid"/>
        <w:tblW w:w="0" w:type="auto"/>
        <w:tblLook w:val="04A0" w:firstRow="1" w:lastRow="0" w:firstColumn="1" w:lastColumn="0" w:noHBand="0" w:noVBand="1"/>
      </w:tblPr>
      <w:tblGrid>
        <w:gridCol w:w="9350"/>
      </w:tblGrid>
      <w:tr w:rsidR="005E7B1F" w:rsidRPr="0061565E" w14:paraId="12207AEB" w14:textId="77777777" w:rsidTr="005E7B1F">
        <w:tc>
          <w:tcPr>
            <w:tcW w:w="9350" w:type="dxa"/>
          </w:tcPr>
          <w:p w14:paraId="0318513B" w14:textId="155B49E0" w:rsidR="005E7B1F" w:rsidRPr="0061565E" w:rsidRDefault="0061565E" w:rsidP="0061565E">
            <w:pPr>
              <w:pStyle w:val="0Maintext"/>
              <w:ind w:firstLine="0"/>
              <w:rPr>
                <w:rFonts w:cs="Times New Roman"/>
                <w:b/>
                <w:lang w:val="en-US" w:eastAsia="zh-CN"/>
              </w:rPr>
            </w:pPr>
            <w:r w:rsidRPr="0061565E">
              <w:rPr>
                <w:rFonts w:cs="Times New Roman"/>
                <w:b/>
                <w:lang w:val="en-US" w:eastAsia="zh-CN"/>
              </w:rPr>
              <w:t>RAN1 agreement:</w:t>
            </w:r>
          </w:p>
          <w:p w14:paraId="1A35F043" w14:textId="77777777" w:rsidR="005E7B1F" w:rsidRPr="0061565E" w:rsidRDefault="005E7B1F" w:rsidP="005E7B1F">
            <w:pPr>
              <w:rPr>
                <w:rFonts w:ascii="Times New Roman" w:hAnsi="Times New Roman"/>
                <w:highlight w:val="green"/>
              </w:rPr>
            </w:pPr>
            <w:r w:rsidRPr="0061565E">
              <w:rPr>
                <w:rFonts w:ascii="Times New Roman" w:hAnsi="Times New Roman"/>
                <w:highlight w:val="green"/>
              </w:rPr>
              <w:t>Agreement</w:t>
            </w:r>
          </w:p>
          <w:p w14:paraId="224F02CC" w14:textId="77777777" w:rsidR="005E7B1F" w:rsidRPr="0061565E" w:rsidRDefault="005E7B1F" w:rsidP="005E7B1F">
            <w:pPr>
              <w:rPr>
                <w:rFonts w:ascii="Times New Roman" w:hAnsi="Times New Roman"/>
              </w:rPr>
            </w:pPr>
            <w:r w:rsidRPr="0061565E">
              <w:rPr>
                <w:rFonts w:ascii="Times New Roman" w:hAnsi="Times New Roman"/>
              </w:rPr>
              <w:t xml:space="preserve">The maximum number of BFD-RS resources per set is a UE capability, including a possible candidate value of 1 in Rel.17. </w:t>
            </w:r>
          </w:p>
          <w:p w14:paraId="635D14BC" w14:textId="77777777" w:rsidR="005E7B1F" w:rsidRPr="0061565E" w:rsidRDefault="005E7B1F" w:rsidP="005E7B1F">
            <w:pPr>
              <w:rPr>
                <w:rFonts w:ascii="Times New Roman" w:hAnsi="Times New Roman"/>
                <w:highlight w:val="green"/>
              </w:rPr>
            </w:pPr>
            <w:r w:rsidRPr="0061565E">
              <w:rPr>
                <w:rFonts w:ascii="Times New Roman" w:hAnsi="Times New Roman"/>
                <w:highlight w:val="green"/>
              </w:rPr>
              <w:t>Agreement</w:t>
            </w:r>
          </w:p>
          <w:p w14:paraId="04F16723" w14:textId="77777777" w:rsidR="005E7B1F" w:rsidRPr="0061565E" w:rsidRDefault="005E7B1F" w:rsidP="005E7B1F">
            <w:pPr>
              <w:rPr>
                <w:rFonts w:ascii="Times New Roman" w:hAnsi="Times New Roman"/>
              </w:rPr>
            </w:pPr>
            <w:r w:rsidRPr="0061565E">
              <w:rPr>
                <w:rFonts w:ascii="Times New Roman" w:hAnsi="Times New Roman"/>
              </w:rPr>
              <w:t>Support the following BFD-RS configurations in Rel.17 for UEs with one activated TCI state per CORESET:</w:t>
            </w:r>
          </w:p>
          <w:p w14:paraId="3C0E6057" w14:textId="77777777" w:rsidR="005E7B1F" w:rsidRPr="0061565E" w:rsidRDefault="005E7B1F" w:rsidP="005E7B1F">
            <w:pPr>
              <w:pStyle w:val="ListParagraph"/>
              <w:widowControl/>
              <w:numPr>
                <w:ilvl w:val="0"/>
                <w:numId w:val="15"/>
              </w:numPr>
              <w:overflowPunct w:val="0"/>
              <w:spacing w:after="180" w:line="240" w:lineRule="auto"/>
              <w:ind w:firstLineChars="0"/>
              <w:contextualSpacing/>
              <w:textAlignment w:val="baseline"/>
            </w:pPr>
            <w:r w:rsidRPr="0061565E">
              <w:t>Explicit configuration of BFD-RS resources in BFD-RS set k, k = 0, 1</w:t>
            </w:r>
          </w:p>
          <w:p w14:paraId="0E92AD0B" w14:textId="77777777" w:rsidR="005E7B1F" w:rsidRPr="0061565E" w:rsidRDefault="005E7B1F" w:rsidP="005E7B1F">
            <w:pPr>
              <w:pStyle w:val="ListParagraph"/>
              <w:widowControl/>
              <w:numPr>
                <w:ilvl w:val="0"/>
                <w:numId w:val="15"/>
              </w:numPr>
              <w:overflowPunct w:val="0"/>
              <w:spacing w:after="180" w:line="240" w:lineRule="auto"/>
              <w:ind w:firstLineChars="0"/>
              <w:contextualSpacing/>
              <w:textAlignment w:val="baseline"/>
            </w:pPr>
            <w:r w:rsidRPr="0061565E">
              <w:t>FFS: CORESETs with more than 1 activated TCI state.</w:t>
            </w:r>
          </w:p>
          <w:p w14:paraId="56F0FF53" w14:textId="77777777" w:rsidR="005E7B1F" w:rsidRPr="0061565E" w:rsidRDefault="005E7B1F" w:rsidP="005E7B1F">
            <w:pPr>
              <w:rPr>
                <w:rFonts w:ascii="Times New Roman" w:hAnsi="Times New Roman"/>
                <w:b/>
                <w:bCs/>
                <w:highlight w:val="green"/>
                <w:lang w:eastAsia="x-none"/>
              </w:rPr>
            </w:pPr>
            <w:r w:rsidRPr="0061565E">
              <w:rPr>
                <w:rFonts w:ascii="Times New Roman" w:hAnsi="Times New Roman"/>
                <w:b/>
                <w:bCs/>
                <w:highlight w:val="green"/>
                <w:lang w:eastAsia="x-none"/>
              </w:rPr>
              <w:t>Agreement</w:t>
            </w:r>
          </w:p>
          <w:p w14:paraId="76800A83" w14:textId="77777777" w:rsidR="005E7B1F" w:rsidRPr="0061565E" w:rsidRDefault="005E7B1F" w:rsidP="005E7B1F">
            <w:pPr>
              <w:rPr>
                <w:rFonts w:ascii="Times New Roman" w:hAnsi="Times New Roman"/>
                <w:color w:val="1F497D"/>
              </w:rPr>
            </w:pPr>
            <w:r w:rsidRPr="0061565E">
              <w:rPr>
                <w:rFonts w:ascii="Times New Roman" w:hAnsi="Times New Roman"/>
              </w:rPr>
              <w:t>To associate BFD-RS set k and NBI-RS set j</w:t>
            </w:r>
          </w:p>
          <w:p w14:paraId="292041FF" w14:textId="77777777" w:rsidR="005E7B1F" w:rsidRPr="0061565E" w:rsidRDefault="005E7B1F" w:rsidP="005E7B1F">
            <w:pPr>
              <w:numPr>
                <w:ilvl w:val="0"/>
                <w:numId w:val="14"/>
              </w:numPr>
              <w:spacing w:after="0" w:line="240" w:lineRule="auto"/>
              <w:ind w:left="720"/>
              <w:rPr>
                <w:rFonts w:ascii="Times New Roman" w:eastAsia="DengXian" w:hAnsi="Times New Roman"/>
                <w:bCs/>
                <w:iCs/>
                <w:kern w:val="32"/>
              </w:rPr>
            </w:pPr>
            <w:r w:rsidRPr="0061565E">
              <w:rPr>
                <w:rFonts w:ascii="Times New Roman" w:eastAsia="DengXian" w:hAnsi="Times New Roman"/>
                <w:bCs/>
                <w:iCs/>
                <w:kern w:val="32"/>
              </w:rPr>
              <w:lastRenderedPageBreak/>
              <w:t>Alt-1: 1-to-1, fixed in spec</w:t>
            </w:r>
          </w:p>
          <w:p w14:paraId="55909798" w14:textId="77777777" w:rsidR="005E7B1F" w:rsidRPr="0061565E" w:rsidRDefault="005E7B1F" w:rsidP="005E7B1F">
            <w:pPr>
              <w:numPr>
                <w:ilvl w:val="0"/>
                <w:numId w:val="14"/>
              </w:numPr>
              <w:spacing w:after="0" w:line="240" w:lineRule="auto"/>
              <w:ind w:left="720"/>
              <w:rPr>
                <w:rFonts w:ascii="Times New Roman" w:eastAsia="DengXian" w:hAnsi="Times New Roman"/>
                <w:bCs/>
                <w:iCs/>
                <w:kern w:val="32"/>
              </w:rPr>
            </w:pPr>
            <w:r w:rsidRPr="0061565E">
              <w:rPr>
                <w:rFonts w:ascii="Times New Roman" w:eastAsia="DengXian" w:hAnsi="Times New Roman"/>
                <w:bCs/>
                <w:iCs/>
                <w:kern w:val="32"/>
              </w:rPr>
              <w:t>Whether NBI-RS configuration is mandatory is separate discussion</w:t>
            </w:r>
          </w:p>
          <w:p w14:paraId="396179A5" w14:textId="77777777" w:rsidR="005E7B1F" w:rsidRPr="0061565E" w:rsidRDefault="005E7B1F" w:rsidP="005E7B1F">
            <w:pPr>
              <w:pStyle w:val="xmsonormal"/>
              <w:rPr>
                <w:rFonts w:ascii="Times New Roman" w:hAnsi="Times New Roman" w:cs="Times New Roman"/>
                <w:b/>
                <w:sz w:val="20"/>
                <w:szCs w:val="20"/>
                <w:lang w:val="en-GB" w:eastAsia="zh-CN"/>
              </w:rPr>
            </w:pPr>
          </w:p>
          <w:p w14:paraId="5CCE7884" w14:textId="25FB6BC0" w:rsidR="005E7B1F" w:rsidRPr="0061565E" w:rsidRDefault="005E7B1F" w:rsidP="005E7B1F">
            <w:pPr>
              <w:pStyle w:val="xmsonormal"/>
              <w:rPr>
                <w:rFonts w:ascii="Times New Roman" w:eastAsia="SimSun" w:hAnsi="Times New Roman" w:cs="Times New Roman"/>
                <w:b/>
                <w:sz w:val="20"/>
                <w:szCs w:val="20"/>
                <w:lang w:val="en-GB" w:eastAsia="zh-CN"/>
              </w:rPr>
            </w:pPr>
            <w:r w:rsidRPr="0061565E">
              <w:rPr>
                <w:rFonts w:ascii="Times New Roman" w:hAnsi="Times New Roman" w:cs="Times New Roman"/>
                <w:b/>
                <w:sz w:val="20"/>
                <w:szCs w:val="20"/>
                <w:lang w:val="en-GB" w:eastAsia="zh-CN"/>
              </w:rPr>
              <w:t>Conclusion</w:t>
            </w:r>
          </w:p>
          <w:p w14:paraId="77F521D9" w14:textId="4410171D" w:rsidR="005E7B1F" w:rsidRPr="0061565E" w:rsidRDefault="005E7B1F" w:rsidP="0061565E">
            <w:pPr>
              <w:pStyle w:val="xx0maintext"/>
              <w:rPr>
                <w:rFonts w:ascii="Times New Roman" w:hAnsi="Times New Roman" w:cs="Times New Roman"/>
              </w:rPr>
            </w:pPr>
            <w:r w:rsidRPr="0061565E">
              <w:rPr>
                <w:rFonts w:ascii="Times New Roman" w:hAnsi="Times New Roman" w:cs="Times New Roman"/>
                <w:sz w:val="20"/>
                <w:szCs w:val="20"/>
                <w:lang w:val="en-GB"/>
              </w:rPr>
              <w:t>TRP -specific BFR for the case of CORESET with 2 TCI states is not supported in Rel-17.</w:t>
            </w:r>
          </w:p>
        </w:tc>
      </w:tr>
    </w:tbl>
    <w:p w14:paraId="2E8A2741" w14:textId="207F37BB" w:rsidR="005E7B1F" w:rsidRPr="0061565E" w:rsidRDefault="005E7B1F" w:rsidP="00F12B0E">
      <w:pPr>
        <w:snapToGrid w:val="0"/>
        <w:rPr>
          <w:rFonts w:ascii="Times New Roman" w:eastAsia="DengXian" w:hAnsi="Times New Roman"/>
          <w:b/>
          <w:bCs/>
          <w:szCs w:val="20"/>
        </w:rPr>
      </w:pPr>
    </w:p>
    <w:p w14:paraId="4B89C950" w14:textId="205BCBD6" w:rsidR="009637F3" w:rsidRPr="0061565E" w:rsidRDefault="009637F3" w:rsidP="00F12B0E">
      <w:pPr>
        <w:snapToGrid w:val="0"/>
        <w:rPr>
          <w:rFonts w:ascii="Times New Roman" w:hAnsi="Times New Roman"/>
        </w:rPr>
      </w:pPr>
      <w:r w:rsidRPr="0061565E">
        <w:rPr>
          <w:rFonts w:ascii="Times New Roman" w:hAnsi="Times New Roman"/>
        </w:rPr>
        <w:t>Different from cell</w:t>
      </w:r>
      <w:r w:rsidR="00C05444" w:rsidRPr="0061565E">
        <w:rPr>
          <w:rFonts w:ascii="Times New Roman" w:hAnsi="Times New Roman"/>
        </w:rPr>
        <w:t>-</w:t>
      </w:r>
      <w:r w:rsidRPr="0061565E">
        <w:rPr>
          <w:rFonts w:ascii="Times New Roman" w:hAnsi="Times New Roman"/>
        </w:rPr>
        <w:t xml:space="preserve">specific BFD, </w:t>
      </w:r>
      <w:r w:rsidR="00C05444" w:rsidRPr="0061565E">
        <w:rPr>
          <w:rFonts w:ascii="Times New Roman" w:hAnsi="Times New Roman"/>
        </w:rPr>
        <w:t xml:space="preserve">there are at most two BFD-RS sets and </w:t>
      </w:r>
      <w:r w:rsidRPr="0061565E">
        <w:rPr>
          <w:rFonts w:ascii="Times New Roman" w:hAnsi="Times New Roman"/>
        </w:rPr>
        <w:t>one BFD</w:t>
      </w:r>
      <w:r w:rsidR="00C05444" w:rsidRPr="0061565E">
        <w:rPr>
          <w:rFonts w:ascii="Times New Roman" w:hAnsi="Times New Roman"/>
        </w:rPr>
        <w:t>-</w:t>
      </w:r>
      <w:r w:rsidRPr="0061565E">
        <w:rPr>
          <w:rFonts w:ascii="Times New Roman" w:hAnsi="Times New Roman"/>
        </w:rPr>
        <w:t>RS set will be configured for one TRP.</w:t>
      </w:r>
      <w:r w:rsidR="00C05444" w:rsidRPr="0061565E">
        <w:rPr>
          <w:rFonts w:ascii="Times New Roman" w:hAnsi="Times New Roman"/>
        </w:rPr>
        <w:t xml:space="preserve">  Since it’s still under discussion that whether UE can support simultaneous reception from two TRP, we can define delay requirement for BFD assuming that UE will perform BFD in TDM manner for the two TRPs firstly.</w:t>
      </w:r>
    </w:p>
    <w:p w14:paraId="0432D8B4" w14:textId="2B7101F3" w:rsidR="00C05444" w:rsidRPr="0061565E" w:rsidRDefault="00C05444" w:rsidP="00C05444">
      <w:pPr>
        <w:snapToGrid w:val="0"/>
        <w:rPr>
          <w:rFonts w:ascii="Times New Roman" w:hAnsi="Times New Roman"/>
          <w:b/>
          <w:bCs/>
        </w:rPr>
      </w:pPr>
      <w:r w:rsidRPr="0061565E">
        <w:rPr>
          <w:rFonts w:ascii="Times New Roman" w:hAnsi="Times New Roman"/>
          <w:b/>
          <w:bCs/>
        </w:rPr>
        <w:t>Proposal</w:t>
      </w:r>
      <w:r w:rsidR="003C055D">
        <w:rPr>
          <w:rFonts w:ascii="Times New Roman" w:hAnsi="Times New Roman"/>
          <w:b/>
          <w:bCs/>
        </w:rPr>
        <w:t xml:space="preserve"> 5</w:t>
      </w:r>
      <w:r w:rsidRPr="0061565E">
        <w:rPr>
          <w:rFonts w:ascii="Times New Roman" w:hAnsi="Times New Roman"/>
          <w:b/>
          <w:bCs/>
        </w:rPr>
        <w:t>: For TRP-specific BFD, delay requirement is defined assuming that UE will perform BFD in TDM manner.</w:t>
      </w:r>
    </w:p>
    <w:p w14:paraId="252B3329" w14:textId="476C892A" w:rsidR="00C05444" w:rsidRPr="0061565E" w:rsidRDefault="00C05444" w:rsidP="00F12B0E">
      <w:pPr>
        <w:snapToGrid w:val="0"/>
        <w:rPr>
          <w:rFonts w:ascii="Times New Roman" w:hAnsi="Times New Roman"/>
        </w:rPr>
      </w:pPr>
      <w:r w:rsidRPr="0061565E">
        <w:rPr>
          <w:rFonts w:ascii="Times New Roman" w:hAnsi="Times New Roman"/>
        </w:rPr>
        <w:t>Therefore, the measurement delay will be scaled by the number of BFD-RS sets. Currently, there are at most two BFD-RS sets</w:t>
      </w:r>
      <w:r w:rsidR="003D07FE" w:rsidRPr="0061565E">
        <w:rPr>
          <w:rFonts w:ascii="Times New Roman" w:hAnsi="Times New Roman"/>
        </w:rPr>
        <w:t xml:space="preserve"> defined in RAN1.</w:t>
      </w:r>
    </w:p>
    <w:p w14:paraId="1730D2E3" w14:textId="0F7847C5" w:rsidR="00E05C4C" w:rsidRPr="0061565E" w:rsidRDefault="00E05C4C" w:rsidP="00E05C4C">
      <w:pPr>
        <w:snapToGrid w:val="0"/>
        <w:rPr>
          <w:rFonts w:ascii="Times New Roman" w:hAnsi="Times New Roman"/>
          <w:b/>
          <w:bCs/>
        </w:rPr>
      </w:pPr>
      <w:r w:rsidRPr="0061565E">
        <w:rPr>
          <w:rFonts w:ascii="Times New Roman" w:hAnsi="Times New Roman"/>
          <w:b/>
          <w:bCs/>
        </w:rPr>
        <w:t>Proposal</w:t>
      </w:r>
      <w:r w:rsidR="003C055D">
        <w:rPr>
          <w:rFonts w:ascii="Times New Roman" w:hAnsi="Times New Roman"/>
          <w:b/>
          <w:bCs/>
        </w:rPr>
        <w:t xml:space="preserve"> 6</w:t>
      </w:r>
      <w:r w:rsidRPr="0061565E">
        <w:rPr>
          <w:rFonts w:ascii="Times New Roman" w:hAnsi="Times New Roman"/>
          <w:b/>
          <w:bCs/>
        </w:rPr>
        <w:t>: For TRP-specific BFD, measurement delay will be scaled by the number of BFD-RS sets.</w:t>
      </w:r>
    </w:p>
    <w:p w14:paraId="29D6DDA9" w14:textId="2E337394" w:rsidR="003D07FE" w:rsidRPr="0061565E" w:rsidRDefault="006D42FF" w:rsidP="00F12B0E">
      <w:pPr>
        <w:snapToGrid w:val="0"/>
        <w:rPr>
          <w:rFonts w:ascii="Times New Roman" w:hAnsi="Times New Roman"/>
        </w:rPr>
      </w:pPr>
      <w:r w:rsidRPr="0061565E">
        <w:rPr>
          <w:rFonts w:ascii="Times New Roman" w:hAnsi="Times New Roman"/>
        </w:rPr>
        <w:t>For CBD, since BFD-RS and NBI-RS are one to one mapping, the same assumption and requirement can be assumed.</w:t>
      </w:r>
    </w:p>
    <w:p w14:paraId="2F9396D8" w14:textId="55A6C4CB" w:rsidR="00F323BB" w:rsidRPr="0061565E" w:rsidRDefault="00CD49AB" w:rsidP="00F323BB">
      <w:pPr>
        <w:pStyle w:val="Heading1"/>
        <w:numPr>
          <w:ilvl w:val="0"/>
          <w:numId w:val="1"/>
        </w:numPr>
        <w:rPr>
          <w:rFonts w:ascii="Times New Roman" w:hAnsi="Times New Roman"/>
        </w:rPr>
      </w:pPr>
      <w:r w:rsidRPr="0061565E">
        <w:rPr>
          <w:rFonts w:ascii="Times New Roman" w:hAnsi="Times New Roman"/>
        </w:rPr>
        <w:t>LS discussion</w:t>
      </w:r>
    </w:p>
    <w:p w14:paraId="1EA6E1A0" w14:textId="3E1445C6" w:rsidR="00CD49AB" w:rsidRPr="0061565E" w:rsidRDefault="008A7BAF" w:rsidP="00CD49AB">
      <w:pPr>
        <w:rPr>
          <w:rFonts w:ascii="Times New Roman" w:hAnsi="Times New Roman"/>
          <w:lang w:val="en-GB" w:eastAsia="en-US"/>
        </w:rPr>
      </w:pPr>
      <w:r w:rsidRPr="0061565E">
        <w:rPr>
          <w:rFonts w:ascii="Times New Roman" w:hAnsi="Times New Roman"/>
          <w:lang w:val="en-GB" w:eastAsia="en-US"/>
        </w:rPr>
        <w:t>In last meeting, there is a LS[</w:t>
      </w:r>
      <w:r w:rsidR="00A644B0">
        <w:rPr>
          <w:rFonts w:ascii="Times New Roman" w:hAnsi="Times New Roman"/>
          <w:lang w:val="en-GB" w:eastAsia="en-US"/>
        </w:rPr>
        <w:t>3</w:t>
      </w:r>
      <w:r w:rsidRPr="0061565E">
        <w:rPr>
          <w:rFonts w:ascii="Times New Roman" w:hAnsi="Times New Roman"/>
          <w:lang w:val="en-GB" w:eastAsia="en-US"/>
        </w:rPr>
        <w:t>] sent from RAN1:</w:t>
      </w:r>
    </w:p>
    <w:tbl>
      <w:tblPr>
        <w:tblStyle w:val="TableGrid"/>
        <w:tblW w:w="0" w:type="auto"/>
        <w:tblLook w:val="04A0" w:firstRow="1" w:lastRow="0" w:firstColumn="1" w:lastColumn="0" w:noHBand="0" w:noVBand="1"/>
      </w:tblPr>
      <w:tblGrid>
        <w:gridCol w:w="9350"/>
      </w:tblGrid>
      <w:tr w:rsidR="00CD49AB" w:rsidRPr="0061565E" w14:paraId="6BC004FA" w14:textId="77777777" w:rsidTr="00CD49AB">
        <w:tc>
          <w:tcPr>
            <w:tcW w:w="9350" w:type="dxa"/>
          </w:tcPr>
          <w:p w14:paraId="408BE4E1" w14:textId="77777777" w:rsidR="00CD49AB" w:rsidRPr="0061565E" w:rsidRDefault="00CD49AB" w:rsidP="00CD49AB">
            <w:pPr>
              <w:pStyle w:val="CRCoverPage"/>
              <w:snapToGrid w:val="0"/>
              <w:jc w:val="both"/>
              <w:rPr>
                <w:rFonts w:ascii="Times New Roman" w:eastAsiaTheme="minorEastAsia" w:hAnsi="Times New Roman"/>
              </w:rPr>
            </w:pPr>
            <w:r w:rsidRPr="0061565E">
              <w:rPr>
                <w:rFonts w:ascii="Times New Roman" w:eastAsiaTheme="minorEastAsia" w:hAnsi="Times New Roman"/>
                <w:lang w:eastAsia="zh-CN"/>
              </w:rPr>
              <w:t>F</w:t>
            </w:r>
            <w:r w:rsidRPr="0061565E">
              <w:rPr>
                <w:rFonts w:ascii="Times New Roman" w:eastAsiaTheme="minorEastAsia" w:hAnsi="Times New Roman"/>
              </w:rPr>
              <w:t xml:space="preserve">or implicit BFD RS based on a CORESET with two activated TCI states, RAN1 has agreed that how to calculate radio link quality for RLM /BFD is up to RAN4 discussion. </w:t>
            </w:r>
          </w:p>
          <w:p w14:paraId="51D86188" w14:textId="77777777" w:rsidR="00CD49AB" w:rsidRPr="0061565E" w:rsidRDefault="00CD49AB" w:rsidP="00CD49AB">
            <w:pPr>
              <w:pStyle w:val="CRCoverPage"/>
              <w:snapToGrid w:val="0"/>
              <w:jc w:val="both"/>
              <w:rPr>
                <w:rFonts w:ascii="Times New Roman" w:eastAsiaTheme="minorEastAsia" w:hAnsi="Times New Roman"/>
              </w:rPr>
            </w:pPr>
            <w:r w:rsidRPr="0061565E">
              <w:rPr>
                <w:rFonts w:ascii="Times New Roman" w:eastAsiaTheme="minorEastAsia" w:hAnsi="Times New Roman"/>
              </w:rPr>
              <w:t xml:space="preserve">Two options have been discussed in RAN1: </w:t>
            </w:r>
          </w:p>
          <w:p w14:paraId="7522776B" w14:textId="77777777" w:rsidR="00CD49AB" w:rsidRPr="0061565E" w:rsidRDefault="00CD49AB" w:rsidP="00CD49AB">
            <w:pPr>
              <w:pStyle w:val="CRCoverPage"/>
              <w:numPr>
                <w:ilvl w:val="0"/>
                <w:numId w:val="13"/>
              </w:numPr>
              <w:snapToGrid w:val="0"/>
              <w:jc w:val="both"/>
              <w:rPr>
                <w:rFonts w:ascii="Times New Roman" w:eastAsiaTheme="minorEastAsia" w:hAnsi="Times New Roman"/>
                <w:lang w:eastAsia="zh-CN"/>
              </w:rPr>
            </w:pPr>
            <w:r w:rsidRPr="0061565E">
              <w:rPr>
                <w:rFonts w:ascii="Times New Roman" w:eastAsiaTheme="minorEastAsia" w:hAnsi="Times New Roman"/>
              </w:rPr>
              <w:t xml:space="preserve">Option 1: For a CORESET with two activated TCI states, two RS indexes are included in </w:t>
            </w:r>
            <m:oMath>
              <m:sSub>
                <m:sSubPr>
                  <m:ctrlPr>
                    <w:rPr>
                      <w:rFonts w:ascii="Cambria Math" w:eastAsiaTheme="minorEastAsia" w:hAnsi="Cambria Math"/>
                    </w:rPr>
                  </m:ctrlPr>
                </m:sSubPr>
                <m:e>
                  <m:acc>
                    <m:accPr>
                      <m:chr m:val="̅"/>
                      <m:ctrlPr>
                        <w:rPr>
                          <w:rFonts w:ascii="Cambria Math" w:eastAsiaTheme="minorEastAsia" w:hAnsi="Cambria Math"/>
                        </w:rPr>
                      </m:ctrlPr>
                    </m:accPr>
                    <m:e>
                      <m:r>
                        <w:rPr>
                          <w:rFonts w:ascii="Cambria Math" w:eastAsiaTheme="minorEastAsia" w:hAnsi="Cambria Math"/>
                        </w:rPr>
                        <m:t>q</m:t>
                      </m:r>
                    </m:e>
                  </m:acc>
                </m:e>
                <m:sub>
                  <m:r>
                    <m:rPr>
                      <m:sty m:val="p"/>
                    </m:rPr>
                    <w:rPr>
                      <w:rFonts w:ascii="Cambria Math" w:eastAsiaTheme="minorEastAsia" w:hAnsi="Cambria Math"/>
                    </w:rPr>
                    <m:t>0</m:t>
                  </m:r>
                </m:sub>
              </m:sSub>
            </m:oMath>
            <w:r w:rsidRPr="0061565E">
              <w:rPr>
                <w:rFonts w:ascii="Times New Roman" w:eastAsiaTheme="minorEastAsia" w:hAnsi="Times New Roman"/>
              </w:rPr>
              <w:t xml:space="preserve">(as two BFD RS resources). Otherwise, UE follows </w:t>
            </w:r>
            <w:r w:rsidRPr="0061565E">
              <w:rPr>
                <w:rFonts w:ascii="Times New Roman" w:eastAsiaTheme="minorEastAsia" w:hAnsi="Times New Roman"/>
                <w:lang w:eastAsia="zh-CN"/>
              </w:rPr>
              <w:t>the Rel-15/16 specification for BFD</w:t>
            </w:r>
          </w:p>
          <w:p w14:paraId="33C6C6A9" w14:textId="1058B451" w:rsidR="00CD49AB" w:rsidRPr="0061565E" w:rsidRDefault="00CD49AB" w:rsidP="00CD49AB">
            <w:pPr>
              <w:pStyle w:val="CRCoverPage"/>
              <w:numPr>
                <w:ilvl w:val="0"/>
                <w:numId w:val="13"/>
              </w:numPr>
              <w:snapToGrid w:val="0"/>
              <w:jc w:val="both"/>
              <w:rPr>
                <w:rFonts w:ascii="Times New Roman" w:eastAsiaTheme="minorEastAsia" w:hAnsi="Times New Roman"/>
                <w:lang w:eastAsia="zh-CN"/>
              </w:rPr>
            </w:pPr>
            <w:r w:rsidRPr="0061565E">
              <w:rPr>
                <w:rFonts w:ascii="Times New Roman" w:eastAsiaTheme="minorEastAsia" w:hAnsi="Times New Roman"/>
                <w:lang w:eastAsia="zh-CN"/>
              </w:rPr>
              <w:t xml:space="preserve">Option 2: </w:t>
            </w:r>
            <w:r w:rsidRPr="0061565E">
              <w:rPr>
                <w:rFonts w:ascii="Times New Roman" w:eastAsiaTheme="minorEastAsia" w:hAnsi="Times New Roman"/>
              </w:rPr>
              <w:t>For a CORESET with two activated TCI states, UE evaluates the RLM/BFD based on single hypothetical PDCCH BLER for the CORESET</w:t>
            </w:r>
          </w:p>
        </w:tc>
      </w:tr>
    </w:tbl>
    <w:p w14:paraId="509DB945" w14:textId="2C3DF072" w:rsidR="00F323BB" w:rsidRPr="0061565E" w:rsidRDefault="00F323BB" w:rsidP="002A5AD5">
      <w:pPr>
        <w:spacing w:after="120" w:line="252" w:lineRule="auto"/>
        <w:rPr>
          <w:rFonts w:ascii="Times New Roman" w:hAnsi="Times New Roman"/>
          <w:lang w:val="x-none" w:eastAsia="en-US"/>
        </w:rPr>
      </w:pPr>
    </w:p>
    <w:p w14:paraId="3958E6DC" w14:textId="592390C9" w:rsidR="00BA376D" w:rsidRPr="0061565E" w:rsidRDefault="00BA376D" w:rsidP="00BA376D">
      <w:pPr>
        <w:rPr>
          <w:rFonts w:ascii="Times New Roman" w:hAnsi="Times New Roman"/>
        </w:rPr>
      </w:pPr>
      <w:r w:rsidRPr="0061565E">
        <w:rPr>
          <w:rFonts w:ascii="Times New Roman" w:hAnsi="Times New Roman"/>
        </w:rPr>
        <w:t xml:space="preserve">This issue is related to non-transparent SFN transmission scheme RAN1 defined in Rel-17 for HST and URLLC scenarios. To facilitate T/F tracking and beam selection at the UE, RAN1 has agreed to support two TCI state configurations per CORESETs, where each TCI corresponds to one beam / TRP from TRPs transmitting in SFN. In case BFR is used with implicit selection of RS for BFD,  the issue is how to measure BFD RS for BLER calculation. </w:t>
      </w:r>
    </w:p>
    <w:p w14:paraId="26F925CC" w14:textId="460FBC55" w:rsidR="00BA376D" w:rsidRPr="0061565E" w:rsidRDefault="00E944FD" w:rsidP="00BA376D">
      <w:pPr>
        <w:rPr>
          <w:rFonts w:ascii="Times New Roman" w:hAnsi="Times New Roman"/>
        </w:rPr>
      </w:pPr>
      <w:r>
        <w:rPr>
          <w:rFonts w:ascii="Times New Roman" w:hAnsi="Times New Roman"/>
        </w:rPr>
        <w:t>B</w:t>
      </w:r>
      <w:r w:rsidR="00BA376D" w:rsidRPr="0061565E">
        <w:rPr>
          <w:rFonts w:ascii="Times New Roman" w:hAnsi="Times New Roman"/>
        </w:rPr>
        <w:t>oth option 1 and option 2 will use the RS from two TCI states. The difference is that for option 1, two BLER will be calculated for each RS and the worse one will be used to compared with the BFD threshold. For option 2, the two RS will be combined first and then generate a single BLER. How to  combine the Rs is up to UE’s implementation.</w:t>
      </w:r>
    </w:p>
    <w:p w14:paraId="0D2E5F8C" w14:textId="0C440C1D" w:rsidR="00BA376D" w:rsidRPr="0061565E" w:rsidRDefault="00BA376D" w:rsidP="00BA376D">
      <w:pPr>
        <w:rPr>
          <w:rFonts w:ascii="Times New Roman" w:hAnsi="Times New Roman"/>
        </w:rPr>
      </w:pPr>
      <w:r w:rsidRPr="0061565E">
        <w:rPr>
          <w:rFonts w:ascii="Times New Roman" w:hAnsi="Times New Roman"/>
        </w:rPr>
        <w:lastRenderedPageBreak/>
        <w:t>From our understanding, since it’s SFN transmission, option 2 seems to be more reasonable. Therefore, we propose to support option 2.</w:t>
      </w:r>
    </w:p>
    <w:p w14:paraId="299177E6" w14:textId="4026D9BF" w:rsidR="00BA376D" w:rsidRPr="0061565E" w:rsidRDefault="00BA376D" w:rsidP="00BA376D">
      <w:pPr>
        <w:rPr>
          <w:rFonts w:ascii="Times New Roman" w:hAnsi="Times New Roman"/>
          <w:b/>
          <w:bCs/>
          <w:color w:val="548235"/>
        </w:rPr>
      </w:pPr>
      <w:r w:rsidRPr="0061565E">
        <w:rPr>
          <w:rFonts w:ascii="Times New Roman" w:hAnsi="Times New Roman"/>
          <w:b/>
          <w:bCs/>
        </w:rPr>
        <w:t>Proposal</w:t>
      </w:r>
      <w:r w:rsidR="003C055D">
        <w:rPr>
          <w:rFonts w:ascii="Times New Roman" w:hAnsi="Times New Roman"/>
          <w:b/>
          <w:bCs/>
        </w:rPr>
        <w:t xml:space="preserve"> 7</w:t>
      </w:r>
      <w:r w:rsidRPr="0061565E">
        <w:rPr>
          <w:rFonts w:ascii="Times New Roman" w:hAnsi="Times New Roman"/>
          <w:b/>
          <w:bCs/>
        </w:rPr>
        <w:t xml:space="preserve">: </w:t>
      </w:r>
      <w:r w:rsidRPr="0061565E">
        <w:rPr>
          <w:rFonts w:ascii="Times New Roman" w:eastAsiaTheme="minorEastAsia" w:hAnsi="Times New Roman"/>
          <w:b/>
          <w:bCs/>
        </w:rPr>
        <w:t>For a CORESET with two activated TCI states, UE evaluates the RLM/BFD based on single hypothetical PDCCH BLER for the CORESET.</w:t>
      </w:r>
    </w:p>
    <w:p w14:paraId="4C5E0612" w14:textId="50F4CEFE" w:rsidR="000E1C53" w:rsidRPr="0061565E" w:rsidRDefault="000E1C53" w:rsidP="00533C9C">
      <w:pPr>
        <w:pStyle w:val="Heading1"/>
        <w:numPr>
          <w:ilvl w:val="0"/>
          <w:numId w:val="1"/>
        </w:numPr>
        <w:rPr>
          <w:rFonts w:ascii="Times New Roman" w:hAnsi="Times New Roman"/>
        </w:rPr>
      </w:pPr>
      <w:r w:rsidRPr="0061565E">
        <w:rPr>
          <w:rFonts w:ascii="Times New Roman" w:hAnsi="Times New Roman"/>
        </w:rPr>
        <w:t>Conclusion</w:t>
      </w:r>
    </w:p>
    <w:p w14:paraId="6343E632" w14:textId="64B8F227" w:rsidR="00E544D9" w:rsidRDefault="00A650EF" w:rsidP="000E1C53">
      <w:pPr>
        <w:rPr>
          <w:rFonts w:ascii="Times New Roman" w:hAnsi="Times New Roman"/>
          <w:sz w:val="20"/>
          <w:szCs w:val="20"/>
          <w:lang w:val="en-GB" w:eastAsia="en-US"/>
        </w:rPr>
      </w:pPr>
      <w:r w:rsidRPr="0061565E">
        <w:rPr>
          <w:rFonts w:ascii="Times New Roman" w:hAnsi="Times New Roman"/>
          <w:sz w:val="20"/>
          <w:szCs w:val="20"/>
          <w:lang w:val="en-GB" w:eastAsia="en-US"/>
        </w:rPr>
        <w:t>In this contribution,</w:t>
      </w:r>
      <w:r w:rsidR="001A632E" w:rsidRPr="0061565E">
        <w:rPr>
          <w:rFonts w:ascii="Times New Roman" w:hAnsi="Times New Roman"/>
          <w:sz w:val="20"/>
          <w:szCs w:val="20"/>
          <w:lang w:val="en-GB" w:eastAsia="en-US"/>
        </w:rPr>
        <w:t xml:space="preserve"> we provide our views:</w:t>
      </w:r>
    </w:p>
    <w:p w14:paraId="36124ADA" w14:textId="77777777" w:rsidR="002A6AC2" w:rsidRPr="0061565E" w:rsidRDefault="002A6AC2" w:rsidP="002A6AC2">
      <w:pPr>
        <w:snapToGrid w:val="0"/>
        <w:rPr>
          <w:rFonts w:ascii="Times New Roman" w:eastAsia="?? ??" w:hAnsi="Times New Roman"/>
          <w:b/>
          <w:bCs/>
          <w:lang w:eastAsia="ko-KR"/>
        </w:rPr>
      </w:pPr>
      <w:r w:rsidRPr="0061565E">
        <w:rPr>
          <w:rFonts w:ascii="Times New Roman" w:eastAsia="?? ??" w:hAnsi="Times New Roman"/>
          <w:b/>
          <w:bCs/>
          <w:lang w:eastAsia="ko-KR"/>
        </w:rPr>
        <w:t>Proposal 1: For Rel-17, TCI chain needs to be defined for DL/UL TCI state separately.</w:t>
      </w:r>
    </w:p>
    <w:p w14:paraId="59A52ED2" w14:textId="77777777" w:rsidR="002A6AC2" w:rsidRDefault="002A6AC2" w:rsidP="002A6AC2">
      <w:pPr>
        <w:snapToGrid w:val="0"/>
        <w:rPr>
          <w:rFonts w:ascii="Times New Roman" w:eastAsia="?? ??" w:hAnsi="Times New Roman"/>
          <w:b/>
          <w:bCs/>
          <w:lang w:eastAsia="ko-KR"/>
        </w:rPr>
      </w:pPr>
      <w:r w:rsidRPr="0061565E">
        <w:rPr>
          <w:rFonts w:ascii="Times New Roman" w:eastAsia="?? ??" w:hAnsi="Times New Roman"/>
          <w:b/>
          <w:bCs/>
          <w:lang w:eastAsia="ko-KR"/>
        </w:rPr>
        <w:t>Proposal 2: For DL TCI chain, SSB associated with a different PCID is added as a source RS.</w:t>
      </w:r>
    </w:p>
    <w:p w14:paraId="31021458" w14:textId="77777777" w:rsidR="002A6AC2" w:rsidRPr="0061565E" w:rsidRDefault="002A6AC2" w:rsidP="002A6AC2">
      <w:pPr>
        <w:snapToGrid w:val="0"/>
        <w:rPr>
          <w:rFonts w:ascii="Times New Roman" w:eastAsia="DengXian" w:hAnsi="Times New Roman"/>
          <w:szCs w:val="20"/>
        </w:rPr>
      </w:pPr>
      <w:r>
        <w:rPr>
          <w:rFonts w:ascii="Times New Roman" w:eastAsia="?? ??" w:hAnsi="Times New Roman"/>
          <w:b/>
          <w:bCs/>
          <w:lang w:eastAsia="ko-KR"/>
        </w:rPr>
        <w:t xml:space="preserve">Proposal 3: DL TCI chain can apply for </w:t>
      </w:r>
      <w:r w:rsidRPr="00A1473C">
        <w:rPr>
          <w:rFonts w:ascii="Times New Roman" w:eastAsia="?? ??" w:hAnsi="Times New Roman"/>
          <w:b/>
          <w:bCs/>
          <w:lang w:eastAsia="ko-KR"/>
        </w:rPr>
        <w:t>separate DL TCI state or joint TCI state switching</w:t>
      </w:r>
      <w:r>
        <w:rPr>
          <w:rFonts w:ascii="Times New Roman" w:eastAsia="?? ??" w:hAnsi="Times New Roman"/>
          <w:b/>
          <w:bCs/>
          <w:lang w:eastAsia="ko-KR"/>
        </w:rPr>
        <w:t>.</w:t>
      </w:r>
    </w:p>
    <w:p w14:paraId="548B4AE7" w14:textId="77777777" w:rsidR="003C055D" w:rsidRPr="0061565E" w:rsidRDefault="003C055D" w:rsidP="003C055D">
      <w:pPr>
        <w:rPr>
          <w:rFonts w:ascii="Times New Roman" w:eastAsia="?? ??" w:hAnsi="Times New Roman"/>
          <w:lang w:eastAsia="ko-KR"/>
        </w:rPr>
      </w:pPr>
      <w:r>
        <w:rPr>
          <w:rFonts w:ascii="Times New Roman" w:eastAsia="?? ??" w:hAnsi="Times New Roman"/>
          <w:b/>
          <w:bCs/>
          <w:lang w:eastAsia="ko-KR"/>
        </w:rPr>
        <w:t>Proposal 4:</w:t>
      </w:r>
      <w:r w:rsidRPr="002B6D0C">
        <w:rPr>
          <w:rFonts w:ascii="Times New Roman" w:eastAsia="?? ??" w:hAnsi="Times New Roman"/>
          <w:b/>
          <w:bCs/>
          <w:lang w:eastAsia="ko-KR"/>
        </w:rPr>
        <w:t xml:space="preserve"> </w:t>
      </w:r>
      <w:r w:rsidRPr="0061565E">
        <w:rPr>
          <w:rFonts w:ascii="Times New Roman" w:eastAsia="?? ??" w:hAnsi="Times New Roman"/>
          <w:b/>
          <w:bCs/>
          <w:lang w:eastAsia="ko-KR"/>
        </w:rPr>
        <w:t xml:space="preserve">For </w:t>
      </w:r>
      <w:r>
        <w:rPr>
          <w:rFonts w:ascii="Times New Roman" w:eastAsia="?? ??" w:hAnsi="Times New Roman"/>
          <w:b/>
          <w:bCs/>
          <w:lang w:eastAsia="ko-KR"/>
        </w:rPr>
        <w:t>U</w:t>
      </w:r>
      <w:r w:rsidRPr="0061565E">
        <w:rPr>
          <w:rFonts w:ascii="Times New Roman" w:eastAsia="?? ??" w:hAnsi="Times New Roman"/>
          <w:b/>
          <w:bCs/>
          <w:lang w:eastAsia="ko-KR"/>
        </w:rPr>
        <w:t>L TCI chain,</w:t>
      </w:r>
      <w:r w:rsidRPr="003C055D">
        <w:rPr>
          <w:rFonts w:ascii="Times New Roman" w:eastAsia="?? ??" w:hAnsi="Times New Roman"/>
          <w:lang w:eastAsia="ko-KR"/>
        </w:rPr>
        <w:t xml:space="preserve"> </w:t>
      </w:r>
      <w:r w:rsidRPr="003C055D">
        <w:rPr>
          <w:rFonts w:ascii="Times New Roman" w:eastAsia="?? ??" w:hAnsi="Times New Roman"/>
          <w:b/>
          <w:bCs/>
          <w:lang w:eastAsia="ko-KR"/>
        </w:rPr>
        <w:t>SSB, SRS or CSI-RS will be considered as source RS in the UL TCI chain. the number of Reference Signals in the chain is no more than 4.</w:t>
      </w:r>
      <w:r w:rsidRPr="0061565E">
        <w:rPr>
          <w:rFonts w:ascii="Times New Roman" w:eastAsia="?? ??" w:hAnsi="Times New Roman"/>
          <w:lang w:eastAsia="ko-KR"/>
        </w:rPr>
        <w:t xml:space="preserve"> </w:t>
      </w:r>
    </w:p>
    <w:p w14:paraId="2A98D5F1" w14:textId="77777777" w:rsidR="003C055D" w:rsidRPr="0061565E" w:rsidRDefault="003C055D" w:rsidP="003C055D">
      <w:pPr>
        <w:snapToGrid w:val="0"/>
        <w:rPr>
          <w:rFonts w:ascii="Times New Roman" w:hAnsi="Times New Roman"/>
          <w:b/>
          <w:bCs/>
        </w:rPr>
      </w:pPr>
      <w:r w:rsidRPr="0061565E">
        <w:rPr>
          <w:rFonts w:ascii="Times New Roman" w:hAnsi="Times New Roman"/>
          <w:b/>
          <w:bCs/>
        </w:rPr>
        <w:t>Proposal</w:t>
      </w:r>
      <w:r>
        <w:rPr>
          <w:rFonts w:ascii="Times New Roman" w:hAnsi="Times New Roman"/>
          <w:b/>
          <w:bCs/>
        </w:rPr>
        <w:t xml:space="preserve"> 5</w:t>
      </w:r>
      <w:r w:rsidRPr="0061565E">
        <w:rPr>
          <w:rFonts w:ascii="Times New Roman" w:hAnsi="Times New Roman"/>
          <w:b/>
          <w:bCs/>
        </w:rPr>
        <w:t>: For TRP-specific BFD, delay requirement is defined assuming that UE will perform BFD in TDM manner.</w:t>
      </w:r>
    </w:p>
    <w:p w14:paraId="4267A78C" w14:textId="77777777" w:rsidR="003C055D" w:rsidRPr="0061565E" w:rsidRDefault="003C055D" w:rsidP="003C055D">
      <w:pPr>
        <w:snapToGrid w:val="0"/>
        <w:rPr>
          <w:rFonts w:ascii="Times New Roman" w:hAnsi="Times New Roman"/>
          <w:b/>
          <w:bCs/>
        </w:rPr>
      </w:pPr>
      <w:r w:rsidRPr="0061565E">
        <w:rPr>
          <w:rFonts w:ascii="Times New Roman" w:hAnsi="Times New Roman"/>
          <w:b/>
          <w:bCs/>
        </w:rPr>
        <w:t>Proposal</w:t>
      </w:r>
      <w:r>
        <w:rPr>
          <w:rFonts w:ascii="Times New Roman" w:hAnsi="Times New Roman"/>
          <w:b/>
          <w:bCs/>
        </w:rPr>
        <w:t xml:space="preserve"> 6</w:t>
      </w:r>
      <w:r w:rsidRPr="0061565E">
        <w:rPr>
          <w:rFonts w:ascii="Times New Roman" w:hAnsi="Times New Roman"/>
          <w:b/>
          <w:bCs/>
        </w:rPr>
        <w:t>: For TRP-specific BFD, measurement delay will be scaled by the number of BFD-RS sets.</w:t>
      </w:r>
    </w:p>
    <w:p w14:paraId="139886D7" w14:textId="77777777" w:rsidR="003C055D" w:rsidRPr="0061565E" w:rsidRDefault="003C055D" w:rsidP="003C055D">
      <w:pPr>
        <w:rPr>
          <w:rFonts w:ascii="Times New Roman" w:hAnsi="Times New Roman"/>
          <w:b/>
          <w:bCs/>
          <w:color w:val="548235"/>
        </w:rPr>
      </w:pPr>
      <w:r w:rsidRPr="0061565E">
        <w:rPr>
          <w:rFonts w:ascii="Times New Roman" w:hAnsi="Times New Roman"/>
          <w:b/>
          <w:bCs/>
        </w:rPr>
        <w:t>Proposal</w:t>
      </w:r>
      <w:r>
        <w:rPr>
          <w:rFonts w:ascii="Times New Roman" w:hAnsi="Times New Roman"/>
          <w:b/>
          <w:bCs/>
        </w:rPr>
        <w:t xml:space="preserve"> 7</w:t>
      </w:r>
      <w:r w:rsidRPr="0061565E">
        <w:rPr>
          <w:rFonts w:ascii="Times New Roman" w:hAnsi="Times New Roman"/>
          <w:b/>
          <w:bCs/>
        </w:rPr>
        <w:t xml:space="preserve">: </w:t>
      </w:r>
      <w:r w:rsidRPr="0061565E">
        <w:rPr>
          <w:rFonts w:ascii="Times New Roman" w:eastAsiaTheme="minorEastAsia" w:hAnsi="Times New Roman"/>
          <w:b/>
          <w:bCs/>
        </w:rPr>
        <w:t>For a CORESET with two activated TCI states, UE evaluates the RLM/BFD based on single hypothetical PDCCH BLER for the CORESET.</w:t>
      </w:r>
    </w:p>
    <w:p w14:paraId="0ACC64DD" w14:textId="0C253C78" w:rsidR="000E1C53" w:rsidRPr="0061565E" w:rsidRDefault="008B4C00" w:rsidP="000E1C53">
      <w:pPr>
        <w:pStyle w:val="Heading1"/>
        <w:numPr>
          <w:ilvl w:val="0"/>
          <w:numId w:val="1"/>
        </w:numPr>
        <w:rPr>
          <w:rFonts w:ascii="Times New Roman" w:hAnsi="Times New Roman"/>
        </w:rPr>
      </w:pPr>
      <w:r w:rsidRPr="0061565E">
        <w:rPr>
          <w:rFonts w:ascii="Times New Roman" w:hAnsi="Times New Roman"/>
        </w:rPr>
        <w:t>R</w:t>
      </w:r>
      <w:r w:rsidR="000E1C53" w:rsidRPr="0061565E">
        <w:rPr>
          <w:rFonts w:ascii="Times New Roman" w:hAnsi="Times New Roman"/>
        </w:rPr>
        <w:t xml:space="preserve">eference </w:t>
      </w:r>
    </w:p>
    <w:p w14:paraId="2F0F54EF" w14:textId="32B5AD6F" w:rsidR="00FC3BA3" w:rsidRDefault="00FC3BA3" w:rsidP="00FC3BA3">
      <w:pPr>
        <w:rPr>
          <w:rFonts w:ascii="Times New Roman" w:hAnsi="Times New Roman"/>
          <w:color w:val="000000"/>
          <w:sz w:val="20"/>
          <w:szCs w:val="20"/>
        </w:rPr>
      </w:pPr>
      <w:r w:rsidRPr="0061565E">
        <w:rPr>
          <w:rFonts w:ascii="Times New Roman" w:hAnsi="Times New Roman"/>
          <w:color w:val="000000"/>
          <w:sz w:val="20"/>
          <w:szCs w:val="20"/>
        </w:rPr>
        <w:t>[1] R4-21</w:t>
      </w:r>
      <w:r w:rsidR="00F03B97">
        <w:rPr>
          <w:rFonts w:ascii="Times New Roman" w:hAnsi="Times New Roman"/>
          <w:color w:val="000000"/>
          <w:sz w:val="20"/>
          <w:szCs w:val="20"/>
        </w:rPr>
        <w:t>20322</w:t>
      </w:r>
      <w:r w:rsidRPr="0061565E">
        <w:rPr>
          <w:rFonts w:ascii="Times New Roman" w:hAnsi="Times New Roman"/>
          <w:color w:val="000000"/>
          <w:sz w:val="20"/>
          <w:szCs w:val="20"/>
        </w:rPr>
        <w:t>, WF on FeMIMO RRM, Samsung</w:t>
      </w:r>
    </w:p>
    <w:p w14:paraId="7ECB487F" w14:textId="08D54336" w:rsidR="00B4017A" w:rsidRPr="0061565E" w:rsidRDefault="00B4017A" w:rsidP="00FC3BA3">
      <w:pPr>
        <w:rPr>
          <w:rFonts w:ascii="Times New Roman" w:hAnsi="Times New Roman"/>
          <w:color w:val="000000"/>
          <w:sz w:val="20"/>
          <w:szCs w:val="20"/>
        </w:rPr>
      </w:pPr>
      <w:r>
        <w:rPr>
          <w:rFonts w:ascii="Times New Roman" w:hAnsi="Times New Roman"/>
          <w:color w:val="000000"/>
          <w:sz w:val="20"/>
          <w:szCs w:val="20"/>
        </w:rPr>
        <w:t>[2]</w:t>
      </w:r>
      <w:r w:rsidRPr="00B4017A">
        <w:t xml:space="preserve"> </w:t>
      </w:r>
      <w:r w:rsidRPr="00B4017A">
        <w:rPr>
          <w:rFonts w:ascii="Times New Roman" w:hAnsi="Times New Roman"/>
          <w:color w:val="000000"/>
          <w:sz w:val="20"/>
          <w:szCs w:val="20"/>
        </w:rPr>
        <w:t>R4-2200536</w:t>
      </w:r>
      <w:r>
        <w:rPr>
          <w:rFonts w:ascii="Times New Roman" w:hAnsi="Times New Roman"/>
          <w:color w:val="000000"/>
          <w:sz w:val="20"/>
          <w:szCs w:val="20"/>
        </w:rPr>
        <w:t xml:space="preserve">, </w:t>
      </w:r>
      <w:r w:rsidRPr="00B4017A">
        <w:rPr>
          <w:rFonts w:ascii="Times New Roman" w:hAnsi="Times New Roman"/>
          <w:color w:val="000000"/>
          <w:sz w:val="20"/>
          <w:szCs w:val="20"/>
        </w:rPr>
        <w:t>DraftCR on TCI chain update for Rel-17 NR FeMIMO</w:t>
      </w:r>
      <w:r>
        <w:rPr>
          <w:rFonts w:ascii="Times New Roman" w:hAnsi="Times New Roman"/>
          <w:color w:val="000000"/>
          <w:sz w:val="20"/>
          <w:szCs w:val="20"/>
        </w:rPr>
        <w:t>, Intel</w:t>
      </w:r>
    </w:p>
    <w:p w14:paraId="147287F6" w14:textId="0199DB8E" w:rsidR="006367B4" w:rsidRPr="0061565E" w:rsidRDefault="006367B4" w:rsidP="00FC3BA3">
      <w:pPr>
        <w:rPr>
          <w:rFonts w:ascii="Times New Roman" w:hAnsi="Times New Roman"/>
          <w:color w:val="000000"/>
          <w:sz w:val="20"/>
          <w:szCs w:val="20"/>
        </w:rPr>
      </w:pPr>
      <w:r w:rsidRPr="0061565E">
        <w:rPr>
          <w:rFonts w:ascii="Times New Roman" w:hAnsi="Times New Roman"/>
          <w:color w:val="000000"/>
          <w:sz w:val="20"/>
          <w:szCs w:val="20"/>
        </w:rPr>
        <w:t>[</w:t>
      </w:r>
      <w:r w:rsidR="00A644B0">
        <w:rPr>
          <w:rFonts w:ascii="Times New Roman" w:hAnsi="Times New Roman"/>
          <w:color w:val="000000"/>
          <w:sz w:val="20"/>
          <w:szCs w:val="20"/>
        </w:rPr>
        <w:t>3</w:t>
      </w:r>
      <w:r w:rsidRPr="0061565E">
        <w:rPr>
          <w:rFonts w:ascii="Times New Roman" w:hAnsi="Times New Roman"/>
          <w:color w:val="000000"/>
          <w:sz w:val="20"/>
          <w:szCs w:val="20"/>
        </w:rPr>
        <w:t>]</w:t>
      </w:r>
      <w:r w:rsidR="00B15DE4" w:rsidRPr="0061565E">
        <w:rPr>
          <w:rFonts w:ascii="Times New Roman" w:hAnsi="Times New Roman"/>
          <w:color w:val="000000"/>
          <w:sz w:val="20"/>
          <w:szCs w:val="20"/>
        </w:rPr>
        <w:t xml:space="preserve"> </w:t>
      </w:r>
      <w:r w:rsidRPr="0061565E">
        <w:rPr>
          <w:rFonts w:ascii="Times New Roman" w:hAnsi="Times New Roman"/>
          <w:color w:val="000000"/>
          <w:sz w:val="20"/>
          <w:szCs w:val="20"/>
        </w:rPr>
        <w:t>R</w:t>
      </w:r>
      <w:r w:rsidR="00C5049F">
        <w:rPr>
          <w:rFonts w:ascii="Times New Roman" w:hAnsi="Times New Roman"/>
          <w:color w:val="000000"/>
          <w:sz w:val="20"/>
          <w:szCs w:val="20"/>
        </w:rPr>
        <w:t>1</w:t>
      </w:r>
      <w:r w:rsidRPr="0061565E">
        <w:rPr>
          <w:rFonts w:ascii="Times New Roman" w:hAnsi="Times New Roman"/>
          <w:color w:val="000000"/>
          <w:sz w:val="20"/>
          <w:szCs w:val="20"/>
        </w:rPr>
        <w:t>-</w:t>
      </w:r>
      <w:r w:rsidR="00BD499C" w:rsidRPr="0061565E">
        <w:rPr>
          <w:rFonts w:ascii="Times New Roman" w:hAnsi="Times New Roman"/>
          <w:color w:val="000000"/>
          <w:sz w:val="20"/>
          <w:szCs w:val="20"/>
        </w:rPr>
        <w:t>211</w:t>
      </w:r>
      <w:r w:rsidR="00C5049F">
        <w:rPr>
          <w:rFonts w:ascii="Times New Roman" w:hAnsi="Times New Roman"/>
          <w:color w:val="000000"/>
          <w:sz w:val="20"/>
          <w:szCs w:val="20"/>
        </w:rPr>
        <w:t>2829</w:t>
      </w:r>
      <w:r w:rsidR="00BD499C" w:rsidRPr="0061565E">
        <w:rPr>
          <w:rFonts w:ascii="Times New Roman" w:hAnsi="Times New Roman"/>
          <w:color w:val="000000"/>
          <w:sz w:val="20"/>
          <w:szCs w:val="20"/>
        </w:rPr>
        <w:t>,</w:t>
      </w:r>
      <w:r w:rsidR="00BD499C" w:rsidRPr="0061565E">
        <w:rPr>
          <w:rFonts w:ascii="Times New Roman" w:hAnsi="Times New Roman"/>
        </w:rPr>
        <w:t xml:space="preserve"> </w:t>
      </w:r>
      <w:r w:rsidR="00C5049F" w:rsidRPr="00C5049F">
        <w:rPr>
          <w:rFonts w:ascii="Times New Roman" w:hAnsi="Times New Roman"/>
          <w:color w:val="000000"/>
          <w:sz w:val="20"/>
          <w:szCs w:val="20"/>
        </w:rPr>
        <w:t>LS on BFR for CORESET with two activated TCI states</w:t>
      </w:r>
      <w:r w:rsidR="00BD499C" w:rsidRPr="0061565E">
        <w:rPr>
          <w:rFonts w:ascii="Times New Roman" w:hAnsi="Times New Roman"/>
          <w:color w:val="000000"/>
          <w:sz w:val="20"/>
          <w:szCs w:val="20"/>
        </w:rPr>
        <w:t xml:space="preserve">, </w:t>
      </w:r>
      <w:r w:rsidR="00C5049F">
        <w:rPr>
          <w:rFonts w:ascii="Times New Roman" w:hAnsi="Times New Roman"/>
          <w:color w:val="000000"/>
          <w:sz w:val="20"/>
          <w:szCs w:val="20"/>
        </w:rPr>
        <w:t>ZTE</w:t>
      </w:r>
    </w:p>
    <w:p w14:paraId="0B8D7C32" w14:textId="77777777" w:rsidR="009B69FD" w:rsidRPr="0061565E" w:rsidRDefault="009B69FD" w:rsidP="009B69FD">
      <w:pPr>
        <w:rPr>
          <w:rFonts w:ascii="Times New Roman" w:hAnsi="Times New Roman"/>
          <w:lang w:eastAsia="en-US"/>
        </w:rPr>
      </w:pPr>
    </w:p>
    <w:p w14:paraId="176AF01F" w14:textId="1BFC182A" w:rsidR="00DF0B93" w:rsidRPr="0061565E" w:rsidRDefault="00DF0B93" w:rsidP="00C40FFB">
      <w:pPr>
        <w:rPr>
          <w:rFonts w:ascii="Times New Roman" w:hAnsi="Times New Roman"/>
          <w:lang w:val="en-GB" w:eastAsia="en-US"/>
        </w:rPr>
      </w:pPr>
    </w:p>
    <w:p w14:paraId="3349CF64" w14:textId="77777777" w:rsidR="00C40FFB" w:rsidRPr="0061565E" w:rsidRDefault="00C40FFB">
      <w:pPr>
        <w:rPr>
          <w:rFonts w:ascii="Times New Roman" w:hAnsi="Times New Roman"/>
        </w:rPr>
      </w:pPr>
    </w:p>
    <w:p w14:paraId="22F14266" w14:textId="77777777" w:rsidR="00756B83" w:rsidRPr="0061565E" w:rsidRDefault="00756B83">
      <w:pPr>
        <w:rPr>
          <w:rFonts w:ascii="Times New Roman" w:hAnsi="Times New Roman"/>
          <w:lang w:val="x-none"/>
        </w:rPr>
      </w:pPr>
    </w:p>
    <w:sectPr w:rsidR="00756B83" w:rsidRPr="0061565E">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7CA8A0" w14:textId="77777777" w:rsidR="007C30B3" w:rsidRDefault="007C30B3" w:rsidP="00DC31F7">
      <w:pPr>
        <w:spacing w:after="0" w:line="240" w:lineRule="auto"/>
      </w:pPr>
      <w:r>
        <w:separator/>
      </w:r>
    </w:p>
  </w:endnote>
  <w:endnote w:type="continuationSeparator" w:id="0">
    <w:p w14:paraId="04151AB9" w14:textId="77777777" w:rsidR="007C30B3" w:rsidRDefault="007C30B3" w:rsidP="00DC31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
    <w:altName w:val="MS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B05A93" w14:textId="77777777" w:rsidR="00684AB8" w:rsidRDefault="00684A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35E183" w14:textId="77777777" w:rsidR="00684AB8" w:rsidRDefault="00684A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E3330" w14:textId="77777777" w:rsidR="00684AB8" w:rsidRDefault="00684A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99A023" w14:textId="77777777" w:rsidR="007C30B3" w:rsidRDefault="007C30B3" w:rsidP="00DC31F7">
      <w:pPr>
        <w:spacing w:after="0" w:line="240" w:lineRule="auto"/>
      </w:pPr>
      <w:r>
        <w:separator/>
      </w:r>
    </w:p>
  </w:footnote>
  <w:footnote w:type="continuationSeparator" w:id="0">
    <w:p w14:paraId="4D7CAE5B" w14:textId="77777777" w:rsidR="007C30B3" w:rsidRDefault="007C30B3" w:rsidP="00DC31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3A7D56" w14:textId="77777777" w:rsidR="00684AB8" w:rsidRDefault="00684A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81333" w14:textId="77777777" w:rsidR="00684AB8" w:rsidRDefault="00684A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FD9E72" w14:textId="77777777" w:rsidR="00684AB8" w:rsidRDefault="00684A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E346DE"/>
    <w:multiLevelType w:val="hybridMultilevel"/>
    <w:tmpl w:val="E4A8B1C4"/>
    <w:lvl w:ilvl="0" w:tplc="F2F4329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B3432AF"/>
    <w:multiLevelType w:val="hybridMultilevel"/>
    <w:tmpl w:val="3C76D1E0"/>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28B302F"/>
    <w:multiLevelType w:val="hybridMultilevel"/>
    <w:tmpl w:val="779A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680133E"/>
    <w:multiLevelType w:val="multilevel"/>
    <w:tmpl w:val="3680133E"/>
    <w:lvl w:ilvl="0">
      <w:start w:val="3"/>
      <w:numFmt w:val="bullet"/>
      <w:lvlText w:val="-"/>
      <w:lvlJc w:val="left"/>
      <w:pPr>
        <w:ind w:left="800" w:hanging="400"/>
      </w:pPr>
      <w:rPr>
        <w:rFonts w:ascii="Times New Roman" w:hAnsi="Times New Roman" w:hint="default"/>
        <w:sz w:val="20"/>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3AA46647"/>
    <w:multiLevelType w:val="hybridMultilevel"/>
    <w:tmpl w:val="9D541698"/>
    <w:lvl w:ilvl="0" w:tplc="78A864BC">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1440" w:hanging="360"/>
      </w:pPr>
      <w:rPr>
        <w:rFonts w:ascii="Arial" w:eastAsiaTheme="minorHAnsi"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2AE4523"/>
    <w:multiLevelType w:val="hybridMultilevel"/>
    <w:tmpl w:val="15EEB9B2"/>
    <w:lvl w:ilvl="0" w:tplc="7568A1A6">
      <w:start w:val="1"/>
      <w:numFmt w:val="bullet"/>
      <w:lvlText w:val="•"/>
      <w:lvlJc w:val="left"/>
      <w:pPr>
        <w:tabs>
          <w:tab w:val="num" w:pos="720"/>
        </w:tabs>
        <w:ind w:left="720" w:hanging="360"/>
      </w:pPr>
      <w:rPr>
        <w:rFonts w:ascii="Arial" w:hAnsi="Arial" w:hint="default"/>
      </w:rPr>
    </w:lvl>
    <w:lvl w:ilvl="1" w:tplc="DA72F788">
      <w:numFmt w:val="bullet"/>
      <w:lvlText w:val="•"/>
      <w:lvlJc w:val="left"/>
      <w:pPr>
        <w:tabs>
          <w:tab w:val="num" w:pos="1440"/>
        </w:tabs>
        <w:ind w:left="1440" w:hanging="360"/>
      </w:pPr>
      <w:rPr>
        <w:rFonts w:ascii="Arial" w:hAnsi="Arial" w:hint="default"/>
      </w:rPr>
    </w:lvl>
    <w:lvl w:ilvl="2" w:tplc="AA2863AA" w:tentative="1">
      <w:start w:val="1"/>
      <w:numFmt w:val="bullet"/>
      <w:lvlText w:val="•"/>
      <w:lvlJc w:val="left"/>
      <w:pPr>
        <w:tabs>
          <w:tab w:val="num" w:pos="2160"/>
        </w:tabs>
        <w:ind w:left="2160" w:hanging="360"/>
      </w:pPr>
      <w:rPr>
        <w:rFonts w:ascii="Arial" w:hAnsi="Arial" w:hint="default"/>
      </w:rPr>
    </w:lvl>
    <w:lvl w:ilvl="3" w:tplc="DE0292D0" w:tentative="1">
      <w:start w:val="1"/>
      <w:numFmt w:val="bullet"/>
      <w:lvlText w:val="•"/>
      <w:lvlJc w:val="left"/>
      <w:pPr>
        <w:tabs>
          <w:tab w:val="num" w:pos="2880"/>
        </w:tabs>
        <w:ind w:left="2880" w:hanging="360"/>
      </w:pPr>
      <w:rPr>
        <w:rFonts w:ascii="Arial" w:hAnsi="Arial" w:hint="default"/>
      </w:rPr>
    </w:lvl>
    <w:lvl w:ilvl="4" w:tplc="BC6AE692" w:tentative="1">
      <w:start w:val="1"/>
      <w:numFmt w:val="bullet"/>
      <w:lvlText w:val="•"/>
      <w:lvlJc w:val="left"/>
      <w:pPr>
        <w:tabs>
          <w:tab w:val="num" w:pos="3600"/>
        </w:tabs>
        <w:ind w:left="3600" w:hanging="360"/>
      </w:pPr>
      <w:rPr>
        <w:rFonts w:ascii="Arial" w:hAnsi="Arial" w:hint="default"/>
      </w:rPr>
    </w:lvl>
    <w:lvl w:ilvl="5" w:tplc="F5D0E838" w:tentative="1">
      <w:start w:val="1"/>
      <w:numFmt w:val="bullet"/>
      <w:lvlText w:val="•"/>
      <w:lvlJc w:val="left"/>
      <w:pPr>
        <w:tabs>
          <w:tab w:val="num" w:pos="4320"/>
        </w:tabs>
        <w:ind w:left="4320" w:hanging="360"/>
      </w:pPr>
      <w:rPr>
        <w:rFonts w:ascii="Arial" w:hAnsi="Arial" w:hint="default"/>
      </w:rPr>
    </w:lvl>
    <w:lvl w:ilvl="6" w:tplc="2DB6FDE0" w:tentative="1">
      <w:start w:val="1"/>
      <w:numFmt w:val="bullet"/>
      <w:lvlText w:val="•"/>
      <w:lvlJc w:val="left"/>
      <w:pPr>
        <w:tabs>
          <w:tab w:val="num" w:pos="5040"/>
        </w:tabs>
        <w:ind w:left="5040" w:hanging="360"/>
      </w:pPr>
      <w:rPr>
        <w:rFonts w:ascii="Arial" w:hAnsi="Arial" w:hint="default"/>
      </w:rPr>
    </w:lvl>
    <w:lvl w:ilvl="7" w:tplc="20745FB0" w:tentative="1">
      <w:start w:val="1"/>
      <w:numFmt w:val="bullet"/>
      <w:lvlText w:val="•"/>
      <w:lvlJc w:val="left"/>
      <w:pPr>
        <w:tabs>
          <w:tab w:val="num" w:pos="5760"/>
        </w:tabs>
        <w:ind w:left="5760" w:hanging="360"/>
      </w:pPr>
      <w:rPr>
        <w:rFonts w:ascii="Arial" w:hAnsi="Arial" w:hint="default"/>
      </w:rPr>
    </w:lvl>
    <w:lvl w:ilvl="8" w:tplc="720A711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8496DEA"/>
    <w:multiLevelType w:val="multilevel"/>
    <w:tmpl w:val="05BC6C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8F35657"/>
    <w:multiLevelType w:val="hybridMultilevel"/>
    <w:tmpl w:val="40183ED8"/>
    <w:lvl w:ilvl="0" w:tplc="E08A9B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5A2B62EE"/>
    <w:multiLevelType w:val="hybridMultilevel"/>
    <w:tmpl w:val="44D2A8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9551C99"/>
    <w:multiLevelType w:val="hybridMultilevel"/>
    <w:tmpl w:val="823840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
  </w:num>
  <w:num w:numId="4">
    <w:abstractNumId w:val="11"/>
  </w:num>
  <w:num w:numId="5">
    <w:abstractNumId w:val="2"/>
  </w:num>
  <w:num w:numId="6">
    <w:abstractNumId w:val="14"/>
  </w:num>
  <w:num w:numId="7">
    <w:abstractNumId w:val="4"/>
  </w:num>
  <w:num w:numId="8">
    <w:abstractNumId w:val="8"/>
  </w:num>
  <w:num w:numId="9">
    <w:abstractNumId w:val="10"/>
  </w:num>
  <w:num w:numId="10">
    <w:abstractNumId w:val="3"/>
  </w:num>
  <w:num w:numId="11">
    <w:abstractNumId w:val="6"/>
  </w:num>
  <w:num w:numId="12">
    <w:abstractNumId w:val="0"/>
  </w:num>
  <w:num w:numId="13">
    <w:abstractNumId w:val="7"/>
  </w:num>
  <w:num w:numId="14">
    <w:abstractNumId w:val="12"/>
  </w:num>
  <w:num w:numId="15">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316"/>
    <w:rsid w:val="000004E4"/>
    <w:rsid w:val="000063E5"/>
    <w:rsid w:val="00013DE1"/>
    <w:rsid w:val="00016E62"/>
    <w:rsid w:val="00017ADE"/>
    <w:rsid w:val="00017FEE"/>
    <w:rsid w:val="00020A37"/>
    <w:rsid w:val="00020B68"/>
    <w:rsid w:val="000231AD"/>
    <w:rsid w:val="00026192"/>
    <w:rsid w:val="000304DF"/>
    <w:rsid w:val="00032416"/>
    <w:rsid w:val="00032B65"/>
    <w:rsid w:val="000346A1"/>
    <w:rsid w:val="000360AD"/>
    <w:rsid w:val="00041328"/>
    <w:rsid w:val="00042DC6"/>
    <w:rsid w:val="00046B52"/>
    <w:rsid w:val="00050BE5"/>
    <w:rsid w:val="00053D96"/>
    <w:rsid w:val="00053F38"/>
    <w:rsid w:val="0005778D"/>
    <w:rsid w:val="00061B76"/>
    <w:rsid w:val="00061BB0"/>
    <w:rsid w:val="00066971"/>
    <w:rsid w:val="00072C36"/>
    <w:rsid w:val="00073125"/>
    <w:rsid w:val="00073D60"/>
    <w:rsid w:val="000741F8"/>
    <w:rsid w:val="00074933"/>
    <w:rsid w:val="00074AC3"/>
    <w:rsid w:val="00075BBA"/>
    <w:rsid w:val="00080525"/>
    <w:rsid w:val="00080DDC"/>
    <w:rsid w:val="000833B7"/>
    <w:rsid w:val="00083852"/>
    <w:rsid w:val="0008508D"/>
    <w:rsid w:val="00085D68"/>
    <w:rsid w:val="00090D92"/>
    <w:rsid w:val="00091E3C"/>
    <w:rsid w:val="000969A2"/>
    <w:rsid w:val="000A0302"/>
    <w:rsid w:val="000A0F03"/>
    <w:rsid w:val="000A335B"/>
    <w:rsid w:val="000A39C8"/>
    <w:rsid w:val="000A648C"/>
    <w:rsid w:val="000A77BA"/>
    <w:rsid w:val="000B0E64"/>
    <w:rsid w:val="000B111C"/>
    <w:rsid w:val="000B1A45"/>
    <w:rsid w:val="000B1E0C"/>
    <w:rsid w:val="000B2529"/>
    <w:rsid w:val="000B3B95"/>
    <w:rsid w:val="000B4B46"/>
    <w:rsid w:val="000B57BE"/>
    <w:rsid w:val="000B6579"/>
    <w:rsid w:val="000B6A33"/>
    <w:rsid w:val="000C3C41"/>
    <w:rsid w:val="000C3C56"/>
    <w:rsid w:val="000D112E"/>
    <w:rsid w:val="000D46A7"/>
    <w:rsid w:val="000D4C5D"/>
    <w:rsid w:val="000D55BE"/>
    <w:rsid w:val="000D6556"/>
    <w:rsid w:val="000D76D5"/>
    <w:rsid w:val="000D7897"/>
    <w:rsid w:val="000E116F"/>
    <w:rsid w:val="000E1281"/>
    <w:rsid w:val="000E1452"/>
    <w:rsid w:val="000E1C53"/>
    <w:rsid w:val="000E2981"/>
    <w:rsid w:val="000E34DD"/>
    <w:rsid w:val="000E3D6A"/>
    <w:rsid w:val="000E74F0"/>
    <w:rsid w:val="000F0BE8"/>
    <w:rsid w:val="000F1FD4"/>
    <w:rsid w:val="000F6B31"/>
    <w:rsid w:val="000F7436"/>
    <w:rsid w:val="0010038D"/>
    <w:rsid w:val="00107044"/>
    <w:rsid w:val="00107CD0"/>
    <w:rsid w:val="00110546"/>
    <w:rsid w:val="00111A63"/>
    <w:rsid w:val="00112D5E"/>
    <w:rsid w:val="00121D87"/>
    <w:rsid w:val="00131A89"/>
    <w:rsid w:val="001344E3"/>
    <w:rsid w:val="0013719E"/>
    <w:rsid w:val="001378CB"/>
    <w:rsid w:val="00137E0E"/>
    <w:rsid w:val="001418CC"/>
    <w:rsid w:val="001421CB"/>
    <w:rsid w:val="00143C59"/>
    <w:rsid w:val="001440E2"/>
    <w:rsid w:val="00144EC2"/>
    <w:rsid w:val="00147805"/>
    <w:rsid w:val="00150C02"/>
    <w:rsid w:val="001511C8"/>
    <w:rsid w:val="001608CE"/>
    <w:rsid w:val="00165C3E"/>
    <w:rsid w:val="00170FA1"/>
    <w:rsid w:val="001719B2"/>
    <w:rsid w:val="001739BB"/>
    <w:rsid w:val="0017427E"/>
    <w:rsid w:val="00174825"/>
    <w:rsid w:val="00174CCD"/>
    <w:rsid w:val="001762FF"/>
    <w:rsid w:val="0017690B"/>
    <w:rsid w:val="00180170"/>
    <w:rsid w:val="001802C9"/>
    <w:rsid w:val="00180A59"/>
    <w:rsid w:val="00181C78"/>
    <w:rsid w:val="00187023"/>
    <w:rsid w:val="0019219A"/>
    <w:rsid w:val="00194428"/>
    <w:rsid w:val="00195C38"/>
    <w:rsid w:val="00196846"/>
    <w:rsid w:val="00197292"/>
    <w:rsid w:val="001A632E"/>
    <w:rsid w:val="001A7225"/>
    <w:rsid w:val="001B1657"/>
    <w:rsid w:val="001B20A6"/>
    <w:rsid w:val="001B2BBD"/>
    <w:rsid w:val="001B3AAA"/>
    <w:rsid w:val="001B3C74"/>
    <w:rsid w:val="001B462E"/>
    <w:rsid w:val="001B6251"/>
    <w:rsid w:val="001C1FEA"/>
    <w:rsid w:val="001C2BF8"/>
    <w:rsid w:val="001C442F"/>
    <w:rsid w:val="001C6220"/>
    <w:rsid w:val="001C71F4"/>
    <w:rsid w:val="001D09A3"/>
    <w:rsid w:val="001D6403"/>
    <w:rsid w:val="001D6BF0"/>
    <w:rsid w:val="001E224F"/>
    <w:rsid w:val="001E2EAA"/>
    <w:rsid w:val="001E3412"/>
    <w:rsid w:val="001E504F"/>
    <w:rsid w:val="001E5302"/>
    <w:rsid w:val="001E5622"/>
    <w:rsid w:val="001E5C95"/>
    <w:rsid w:val="001E7582"/>
    <w:rsid w:val="001F1316"/>
    <w:rsid w:val="001F1AF0"/>
    <w:rsid w:val="001F5373"/>
    <w:rsid w:val="001F5DD6"/>
    <w:rsid w:val="001F71A4"/>
    <w:rsid w:val="00200AA9"/>
    <w:rsid w:val="00201197"/>
    <w:rsid w:val="0020486E"/>
    <w:rsid w:val="00205BAA"/>
    <w:rsid w:val="00207573"/>
    <w:rsid w:val="00207A83"/>
    <w:rsid w:val="00210949"/>
    <w:rsid w:val="00210EF2"/>
    <w:rsid w:val="00210F05"/>
    <w:rsid w:val="00213940"/>
    <w:rsid w:val="00215A5F"/>
    <w:rsid w:val="00215BC1"/>
    <w:rsid w:val="00216C95"/>
    <w:rsid w:val="002211D7"/>
    <w:rsid w:val="002275FC"/>
    <w:rsid w:val="002276F3"/>
    <w:rsid w:val="00227B99"/>
    <w:rsid w:val="00230824"/>
    <w:rsid w:val="00232577"/>
    <w:rsid w:val="002347A1"/>
    <w:rsid w:val="0023509A"/>
    <w:rsid w:val="0023560B"/>
    <w:rsid w:val="00236462"/>
    <w:rsid w:val="00241870"/>
    <w:rsid w:val="00242538"/>
    <w:rsid w:val="00243C7F"/>
    <w:rsid w:val="0024561B"/>
    <w:rsid w:val="00247C59"/>
    <w:rsid w:val="002501E9"/>
    <w:rsid w:val="0025091A"/>
    <w:rsid w:val="00251B17"/>
    <w:rsid w:val="002528EB"/>
    <w:rsid w:val="00253982"/>
    <w:rsid w:val="00254844"/>
    <w:rsid w:val="00254EF3"/>
    <w:rsid w:val="002572FE"/>
    <w:rsid w:val="00257466"/>
    <w:rsid w:val="00261A86"/>
    <w:rsid w:val="00262713"/>
    <w:rsid w:val="00264A4D"/>
    <w:rsid w:val="00271A95"/>
    <w:rsid w:val="00272DFF"/>
    <w:rsid w:val="00273116"/>
    <w:rsid w:val="00273E7D"/>
    <w:rsid w:val="00274657"/>
    <w:rsid w:val="00274817"/>
    <w:rsid w:val="00275CA7"/>
    <w:rsid w:val="00276163"/>
    <w:rsid w:val="00277516"/>
    <w:rsid w:val="002816F0"/>
    <w:rsid w:val="00281D9D"/>
    <w:rsid w:val="00282F6C"/>
    <w:rsid w:val="0028387E"/>
    <w:rsid w:val="00285698"/>
    <w:rsid w:val="0028689E"/>
    <w:rsid w:val="00287B15"/>
    <w:rsid w:val="00295B27"/>
    <w:rsid w:val="00297561"/>
    <w:rsid w:val="002A5694"/>
    <w:rsid w:val="002A5AD5"/>
    <w:rsid w:val="002A5C81"/>
    <w:rsid w:val="002A6AC2"/>
    <w:rsid w:val="002A7086"/>
    <w:rsid w:val="002A7B1B"/>
    <w:rsid w:val="002B2D36"/>
    <w:rsid w:val="002B3894"/>
    <w:rsid w:val="002B474A"/>
    <w:rsid w:val="002B6D0C"/>
    <w:rsid w:val="002C07F3"/>
    <w:rsid w:val="002C10D1"/>
    <w:rsid w:val="002C2B9A"/>
    <w:rsid w:val="002C2BB4"/>
    <w:rsid w:val="002C5CBD"/>
    <w:rsid w:val="002C669B"/>
    <w:rsid w:val="002C6CBB"/>
    <w:rsid w:val="002D0DD3"/>
    <w:rsid w:val="002D1663"/>
    <w:rsid w:val="002D3469"/>
    <w:rsid w:val="002D7C88"/>
    <w:rsid w:val="002E321A"/>
    <w:rsid w:val="002E32C9"/>
    <w:rsid w:val="002E4853"/>
    <w:rsid w:val="002E517C"/>
    <w:rsid w:val="002E5574"/>
    <w:rsid w:val="002E5AE2"/>
    <w:rsid w:val="002F2280"/>
    <w:rsid w:val="002F356C"/>
    <w:rsid w:val="002F7335"/>
    <w:rsid w:val="00300BB1"/>
    <w:rsid w:val="00301D4C"/>
    <w:rsid w:val="00304F29"/>
    <w:rsid w:val="00306EB1"/>
    <w:rsid w:val="00307046"/>
    <w:rsid w:val="0030792B"/>
    <w:rsid w:val="00310CC3"/>
    <w:rsid w:val="00312403"/>
    <w:rsid w:val="00312CA2"/>
    <w:rsid w:val="003133BC"/>
    <w:rsid w:val="00315FCD"/>
    <w:rsid w:val="00320BFF"/>
    <w:rsid w:val="00323092"/>
    <w:rsid w:val="00324E72"/>
    <w:rsid w:val="00330175"/>
    <w:rsid w:val="00331049"/>
    <w:rsid w:val="00334AFE"/>
    <w:rsid w:val="0033562A"/>
    <w:rsid w:val="00343869"/>
    <w:rsid w:val="00347FAC"/>
    <w:rsid w:val="00350100"/>
    <w:rsid w:val="00350440"/>
    <w:rsid w:val="00350652"/>
    <w:rsid w:val="00350A26"/>
    <w:rsid w:val="003522D6"/>
    <w:rsid w:val="00355060"/>
    <w:rsid w:val="00357436"/>
    <w:rsid w:val="003579E2"/>
    <w:rsid w:val="00357B20"/>
    <w:rsid w:val="00360261"/>
    <w:rsid w:val="00361D68"/>
    <w:rsid w:val="00362F9C"/>
    <w:rsid w:val="00363637"/>
    <w:rsid w:val="00364A8F"/>
    <w:rsid w:val="00365CC5"/>
    <w:rsid w:val="003668AB"/>
    <w:rsid w:val="00366AC2"/>
    <w:rsid w:val="00367669"/>
    <w:rsid w:val="00367F11"/>
    <w:rsid w:val="0037009E"/>
    <w:rsid w:val="00370E71"/>
    <w:rsid w:val="00375670"/>
    <w:rsid w:val="0037576F"/>
    <w:rsid w:val="00377673"/>
    <w:rsid w:val="00382544"/>
    <w:rsid w:val="00383405"/>
    <w:rsid w:val="003873A5"/>
    <w:rsid w:val="00393FFB"/>
    <w:rsid w:val="003942FF"/>
    <w:rsid w:val="00394376"/>
    <w:rsid w:val="00394435"/>
    <w:rsid w:val="003951C3"/>
    <w:rsid w:val="00395492"/>
    <w:rsid w:val="0039665B"/>
    <w:rsid w:val="003A1889"/>
    <w:rsid w:val="003A308C"/>
    <w:rsid w:val="003A4428"/>
    <w:rsid w:val="003A50E2"/>
    <w:rsid w:val="003A5A67"/>
    <w:rsid w:val="003A70C1"/>
    <w:rsid w:val="003B0059"/>
    <w:rsid w:val="003B0757"/>
    <w:rsid w:val="003B2786"/>
    <w:rsid w:val="003B29EE"/>
    <w:rsid w:val="003B37E6"/>
    <w:rsid w:val="003B3C43"/>
    <w:rsid w:val="003B3CB9"/>
    <w:rsid w:val="003B7833"/>
    <w:rsid w:val="003C055D"/>
    <w:rsid w:val="003C09BB"/>
    <w:rsid w:val="003C1569"/>
    <w:rsid w:val="003C1893"/>
    <w:rsid w:val="003C2008"/>
    <w:rsid w:val="003C4207"/>
    <w:rsid w:val="003C6FD1"/>
    <w:rsid w:val="003C79D4"/>
    <w:rsid w:val="003D07FE"/>
    <w:rsid w:val="003D26E5"/>
    <w:rsid w:val="003D2B95"/>
    <w:rsid w:val="003D57B4"/>
    <w:rsid w:val="003D5B7E"/>
    <w:rsid w:val="003E09A3"/>
    <w:rsid w:val="003E20EF"/>
    <w:rsid w:val="003E25BA"/>
    <w:rsid w:val="003E3C17"/>
    <w:rsid w:val="003E42FB"/>
    <w:rsid w:val="003E4A6C"/>
    <w:rsid w:val="003E52BD"/>
    <w:rsid w:val="003E7A9B"/>
    <w:rsid w:val="003F0AAA"/>
    <w:rsid w:val="003F1505"/>
    <w:rsid w:val="003F3B01"/>
    <w:rsid w:val="003F62AB"/>
    <w:rsid w:val="00400A6C"/>
    <w:rsid w:val="00403020"/>
    <w:rsid w:val="00403359"/>
    <w:rsid w:val="00407A1E"/>
    <w:rsid w:val="0041001A"/>
    <w:rsid w:val="00412533"/>
    <w:rsid w:val="004129C5"/>
    <w:rsid w:val="00413244"/>
    <w:rsid w:val="004135D4"/>
    <w:rsid w:val="004210F9"/>
    <w:rsid w:val="00422539"/>
    <w:rsid w:val="0042448F"/>
    <w:rsid w:val="00424563"/>
    <w:rsid w:val="004256A5"/>
    <w:rsid w:val="00425EBF"/>
    <w:rsid w:val="00426943"/>
    <w:rsid w:val="00430001"/>
    <w:rsid w:val="0043032A"/>
    <w:rsid w:val="00430F01"/>
    <w:rsid w:val="00432E81"/>
    <w:rsid w:val="00435B66"/>
    <w:rsid w:val="00440AD1"/>
    <w:rsid w:val="00443E39"/>
    <w:rsid w:val="00444307"/>
    <w:rsid w:val="00445756"/>
    <w:rsid w:val="004502D2"/>
    <w:rsid w:val="00450524"/>
    <w:rsid w:val="00453D59"/>
    <w:rsid w:val="00454227"/>
    <w:rsid w:val="00454E76"/>
    <w:rsid w:val="004551C0"/>
    <w:rsid w:val="00457275"/>
    <w:rsid w:val="00462D7F"/>
    <w:rsid w:val="00463421"/>
    <w:rsid w:val="0046687E"/>
    <w:rsid w:val="00466EAA"/>
    <w:rsid w:val="00470A04"/>
    <w:rsid w:val="00470B61"/>
    <w:rsid w:val="00471464"/>
    <w:rsid w:val="0047359F"/>
    <w:rsid w:val="00473C01"/>
    <w:rsid w:val="00474333"/>
    <w:rsid w:val="00474F8C"/>
    <w:rsid w:val="00474F9A"/>
    <w:rsid w:val="00475489"/>
    <w:rsid w:val="0047549E"/>
    <w:rsid w:val="00475A88"/>
    <w:rsid w:val="00476A0C"/>
    <w:rsid w:val="0048159F"/>
    <w:rsid w:val="00486B48"/>
    <w:rsid w:val="00493D47"/>
    <w:rsid w:val="00497089"/>
    <w:rsid w:val="004A016A"/>
    <w:rsid w:val="004A170A"/>
    <w:rsid w:val="004A1AB7"/>
    <w:rsid w:val="004A2FFC"/>
    <w:rsid w:val="004A33FB"/>
    <w:rsid w:val="004A4D1F"/>
    <w:rsid w:val="004A5456"/>
    <w:rsid w:val="004A5FF3"/>
    <w:rsid w:val="004A7AF5"/>
    <w:rsid w:val="004B0EDD"/>
    <w:rsid w:val="004B30DC"/>
    <w:rsid w:val="004B522F"/>
    <w:rsid w:val="004B53A5"/>
    <w:rsid w:val="004B5652"/>
    <w:rsid w:val="004C059D"/>
    <w:rsid w:val="004C34A9"/>
    <w:rsid w:val="004C3B1B"/>
    <w:rsid w:val="004C5D41"/>
    <w:rsid w:val="004C5D95"/>
    <w:rsid w:val="004C5EC8"/>
    <w:rsid w:val="004C7DE1"/>
    <w:rsid w:val="004D05EB"/>
    <w:rsid w:val="004D1313"/>
    <w:rsid w:val="004D1CA1"/>
    <w:rsid w:val="004D2C3B"/>
    <w:rsid w:val="004D30F5"/>
    <w:rsid w:val="004D3D7B"/>
    <w:rsid w:val="004D416C"/>
    <w:rsid w:val="004D4B49"/>
    <w:rsid w:val="004D4DC3"/>
    <w:rsid w:val="004D5163"/>
    <w:rsid w:val="004D531F"/>
    <w:rsid w:val="004D57B8"/>
    <w:rsid w:val="004D70F5"/>
    <w:rsid w:val="004E5784"/>
    <w:rsid w:val="004E7BF6"/>
    <w:rsid w:val="004F3FD6"/>
    <w:rsid w:val="004F58F5"/>
    <w:rsid w:val="004F6AD2"/>
    <w:rsid w:val="0050312F"/>
    <w:rsid w:val="0050505E"/>
    <w:rsid w:val="00505594"/>
    <w:rsid w:val="0050693B"/>
    <w:rsid w:val="00510F78"/>
    <w:rsid w:val="00511C2C"/>
    <w:rsid w:val="00512B45"/>
    <w:rsid w:val="00516CFC"/>
    <w:rsid w:val="005245A4"/>
    <w:rsid w:val="0052644D"/>
    <w:rsid w:val="00533C9C"/>
    <w:rsid w:val="00535791"/>
    <w:rsid w:val="00536B46"/>
    <w:rsid w:val="00541ABD"/>
    <w:rsid w:val="00541C88"/>
    <w:rsid w:val="00542239"/>
    <w:rsid w:val="005434C4"/>
    <w:rsid w:val="0054396A"/>
    <w:rsid w:val="005475A5"/>
    <w:rsid w:val="0054760C"/>
    <w:rsid w:val="00550982"/>
    <w:rsid w:val="00551607"/>
    <w:rsid w:val="00552A4F"/>
    <w:rsid w:val="0055322C"/>
    <w:rsid w:val="00553318"/>
    <w:rsid w:val="00553616"/>
    <w:rsid w:val="005538B3"/>
    <w:rsid w:val="00553FC3"/>
    <w:rsid w:val="005575F7"/>
    <w:rsid w:val="005577C2"/>
    <w:rsid w:val="005620C4"/>
    <w:rsid w:val="005622D0"/>
    <w:rsid w:val="005645C9"/>
    <w:rsid w:val="0056559B"/>
    <w:rsid w:val="00566434"/>
    <w:rsid w:val="00567E98"/>
    <w:rsid w:val="005704C5"/>
    <w:rsid w:val="0057512C"/>
    <w:rsid w:val="005752CD"/>
    <w:rsid w:val="0058154D"/>
    <w:rsid w:val="00585528"/>
    <w:rsid w:val="0058621B"/>
    <w:rsid w:val="0059014C"/>
    <w:rsid w:val="005905E9"/>
    <w:rsid w:val="00594892"/>
    <w:rsid w:val="00595922"/>
    <w:rsid w:val="0059785F"/>
    <w:rsid w:val="00597D57"/>
    <w:rsid w:val="005A1D48"/>
    <w:rsid w:val="005A253B"/>
    <w:rsid w:val="005A27E1"/>
    <w:rsid w:val="005A3A39"/>
    <w:rsid w:val="005A5A8F"/>
    <w:rsid w:val="005A5E86"/>
    <w:rsid w:val="005A6A7C"/>
    <w:rsid w:val="005A7883"/>
    <w:rsid w:val="005B176F"/>
    <w:rsid w:val="005B20BB"/>
    <w:rsid w:val="005B22AA"/>
    <w:rsid w:val="005B27BA"/>
    <w:rsid w:val="005B7855"/>
    <w:rsid w:val="005C0149"/>
    <w:rsid w:val="005C04ED"/>
    <w:rsid w:val="005C0B43"/>
    <w:rsid w:val="005C3A2D"/>
    <w:rsid w:val="005C4859"/>
    <w:rsid w:val="005C5001"/>
    <w:rsid w:val="005C5452"/>
    <w:rsid w:val="005C7586"/>
    <w:rsid w:val="005D320B"/>
    <w:rsid w:val="005D5E17"/>
    <w:rsid w:val="005D70DE"/>
    <w:rsid w:val="005D79D1"/>
    <w:rsid w:val="005E1910"/>
    <w:rsid w:val="005E1DF4"/>
    <w:rsid w:val="005E21D9"/>
    <w:rsid w:val="005E6556"/>
    <w:rsid w:val="005E699E"/>
    <w:rsid w:val="005E7B1F"/>
    <w:rsid w:val="005F14E4"/>
    <w:rsid w:val="005F5C56"/>
    <w:rsid w:val="005F6E1F"/>
    <w:rsid w:val="005F732D"/>
    <w:rsid w:val="005F77E9"/>
    <w:rsid w:val="006014DB"/>
    <w:rsid w:val="00603B85"/>
    <w:rsid w:val="00603D59"/>
    <w:rsid w:val="00606332"/>
    <w:rsid w:val="006065AD"/>
    <w:rsid w:val="006068F5"/>
    <w:rsid w:val="00611312"/>
    <w:rsid w:val="006130A5"/>
    <w:rsid w:val="006153E4"/>
    <w:rsid w:val="0061565E"/>
    <w:rsid w:val="00617C57"/>
    <w:rsid w:val="00620243"/>
    <w:rsid w:val="00620F4F"/>
    <w:rsid w:val="00621C29"/>
    <w:rsid w:val="006227DF"/>
    <w:rsid w:val="00622817"/>
    <w:rsid w:val="00622A3E"/>
    <w:rsid w:val="00631C33"/>
    <w:rsid w:val="006324A9"/>
    <w:rsid w:val="00634752"/>
    <w:rsid w:val="00634E6D"/>
    <w:rsid w:val="006367B4"/>
    <w:rsid w:val="00636842"/>
    <w:rsid w:val="00636AF4"/>
    <w:rsid w:val="00640CB5"/>
    <w:rsid w:val="00641C2F"/>
    <w:rsid w:val="00642816"/>
    <w:rsid w:val="00643785"/>
    <w:rsid w:val="00650C57"/>
    <w:rsid w:val="00655597"/>
    <w:rsid w:val="006564BD"/>
    <w:rsid w:val="00656863"/>
    <w:rsid w:val="00657467"/>
    <w:rsid w:val="00660584"/>
    <w:rsid w:val="006616A1"/>
    <w:rsid w:val="00663475"/>
    <w:rsid w:val="00666E9E"/>
    <w:rsid w:val="006671BC"/>
    <w:rsid w:val="0067014A"/>
    <w:rsid w:val="00670892"/>
    <w:rsid w:val="006709B2"/>
    <w:rsid w:val="00670BA0"/>
    <w:rsid w:val="006713B4"/>
    <w:rsid w:val="00672D2E"/>
    <w:rsid w:val="00672F5B"/>
    <w:rsid w:val="00676D24"/>
    <w:rsid w:val="0068093F"/>
    <w:rsid w:val="00681554"/>
    <w:rsid w:val="00681B6E"/>
    <w:rsid w:val="00683C6D"/>
    <w:rsid w:val="0068426C"/>
    <w:rsid w:val="00684AB8"/>
    <w:rsid w:val="00687D24"/>
    <w:rsid w:val="006916A2"/>
    <w:rsid w:val="00694D4B"/>
    <w:rsid w:val="006957DB"/>
    <w:rsid w:val="006A20DB"/>
    <w:rsid w:val="006A3C1D"/>
    <w:rsid w:val="006A3F7D"/>
    <w:rsid w:val="006A4ADE"/>
    <w:rsid w:val="006A4F92"/>
    <w:rsid w:val="006B169B"/>
    <w:rsid w:val="006B2811"/>
    <w:rsid w:val="006B3F66"/>
    <w:rsid w:val="006C03B9"/>
    <w:rsid w:val="006C03D5"/>
    <w:rsid w:val="006C21EF"/>
    <w:rsid w:val="006C36A0"/>
    <w:rsid w:val="006C6507"/>
    <w:rsid w:val="006C786B"/>
    <w:rsid w:val="006D006B"/>
    <w:rsid w:val="006D0950"/>
    <w:rsid w:val="006D0D6B"/>
    <w:rsid w:val="006D42FF"/>
    <w:rsid w:val="006D49B6"/>
    <w:rsid w:val="006D5563"/>
    <w:rsid w:val="006D6311"/>
    <w:rsid w:val="006D79F9"/>
    <w:rsid w:val="006E0B35"/>
    <w:rsid w:val="006E1E03"/>
    <w:rsid w:val="006E31E3"/>
    <w:rsid w:val="006E781E"/>
    <w:rsid w:val="006E7EBB"/>
    <w:rsid w:val="006F13F1"/>
    <w:rsid w:val="006F2286"/>
    <w:rsid w:val="006F4358"/>
    <w:rsid w:val="006F55F7"/>
    <w:rsid w:val="006F5AC3"/>
    <w:rsid w:val="00700AEB"/>
    <w:rsid w:val="00700F79"/>
    <w:rsid w:val="00703108"/>
    <w:rsid w:val="00704F69"/>
    <w:rsid w:val="00710976"/>
    <w:rsid w:val="00711140"/>
    <w:rsid w:val="00711820"/>
    <w:rsid w:val="007144F9"/>
    <w:rsid w:val="007158BF"/>
    <w:rsid w:val="0072045D"/>
    <w:rsid w:val="007206D0"/>
    <w:rsid w:val="00720833"/>
    <w:rsid w:val="00724B30"/>
    <w:rsid w:val="00727CF5"/>
    <w:rsid w:val="007336E5"/>
    <w:rsid w:val="00734EC4"/>
    <w:rsid w:val="007370DC"/>
    <w:rsid w:val="00737584"/>
    <w:rsid w:val="00743C63"/>
    <w:rsid w:val="0074693C"/>
    <w:rsid w:val="007546DB"/>
    <w:rsid w:val="00754B53"/>
    <w:rsid w:val="00756B83"/>
    <w:rsid w:val="0076050D"/>
    <w:rsid w:val="00760E4C"/>
    <w:rsid w:val="00760EDF"/>
    <w:rsid w:val="00761243"/>
    <w:rsid w:val="00761481"/>
    <w:rsid w:val="00762AC8"/>
    <w:rsid w:val="0076449D"/>
    <w:rsid w:val="00766884"/>
    <w:rsid w:val="00767844"/>
    <w:rsid w:val="007725BB"/>
    <w:rsid w:val="00773415"/>
    <w:rsid w:val="007735A6"/>
    <w:rsid w:val="00775830"/>
    <w:rsid w:val="00781843"/>
    <w:rsid w:val="007820F5"/>
    <w:rsid w:val="007833DA"/>
    <w:rsid w:val="00785010"/>
    <w:rsid w:val="00786C7E"/>
    <w:rsid w:val="007903B6"/>
    <w:rsid w:val="00790BD7"/>
    <w:rsid w:val="00792A4A"/>
    <w:rsid w:val="00792B19"/>
    <w:rsid w:val="00793974"/>
    <w:rsid w:val="00794158"/>
    <w:rsid w:val="00794342"/>
    <w:rsid w:val="00795231"/>
    <w:rsid w:val="00796FFA"/>
    <w:rsid w:val="00797647"/>
    <w:rsid w:val="00797CBB"/>
    <w:rsid w:val="007A0742"/>
    <w:rsid w:val="007A12AC"/>
    <w:rsid w:val="007A1403"/>
    <w:rsid w:val="007A4340"/>
    <w:rsid w:val="007A53AB"/>
    <w:rsid w:val="007A6A56"/>
    <w:rsid w:val="007A71C6"/>
    <w:rsid w:val="007B56B6"/>
    <w:rsid w:val="007B7AFD"/>
    <w:rsid w:val="007B7E78"/>
    <w:rsid w:val="007C0A4D"/>
    <w:rsid w:val="007C1264"/>
    <w:rsid w:val="007C1ED7"/>
    <w:rsid w:val="007C29AB"/>
    <w:rsid w:val="007C2AB4"/>
    <w:rsid w:val="007C30B3"/>
    <w:rsid w:val="007C31D9"/>
    <w:rsid w:val="007C46B8"/>
    <w:rsid w:val="007C67E8"/>
    <w:rsid w:val="007D15C2"/>
    <w:rsid w:val="007D315B"/>
    <w:rsid w:val="007D4D8E"/>
    <w:rsid w:val="007D6D1E"/>
    <w:rsid w:val="007D744B"/>
    <w:rsid w:val="007E04F5"/>
    <w:rsid w:val="007E0A78"/>
    <w:rsid w:val="007E372A"/>
    <w:rsid w:val="007E3A4F"/>
    <w:rsid w:val="007E4095"/>
    <w:rsid w:val="007E68FC"/>
    <w:rsid w:val="007E6986"/>
    <w:rsid w:val="007F08A3"/>
    <w:rsid w:val="007F0C96"/>
    <w:rsid w:val="007F1490"/>
    <w:rsid w:val="007F17D8"/>
    <w:rsid w:val="007F1C10"/>
    <w:rsid w:val="007F24C2"/>
    <w:rsid w:val="007F378C"/>
    <w:rsid w:val="007F49A8"/>
    <w:rsid w:val="007F4A87"/>
    <w:rsid w:val="007F5071"/>
    <w:rsid w:val="007F5424"/>
    <w:rsid w:val="007F6BCD"/>
    <w:rsid w:val="00802CA7"/>
    <w:rsid w:val="00803405"/>
    <w:rsid w:val="008034BD"/>
    <w:rsid w:val="00805A12"/>
    <w:rsid w:val="0080657A"/>
    <w:rsid w:val="0081032B"/>
    <w:rsid w:val="008107EF"/>
    <w:rsid w:val="008111B2"/>
    <w:rsid w:val="00812573"/>
    <w:rsid w:val="00814515"/>
    <w:rsid w:val="0081455C"/>
    <w:rsid w:val="00816D2E"/>
    <w:rsid w:val="00820E61"/>
    <w:rsid w:val="00822816"/>
    <w:rsid w:val="008266F8"/>
    <w:rsid w:val="00827DD1"/>
    <w:rsid w:val="00831E57"/>
    <w:rsid w:val="008407F3"/>
    <w:rsid w:val="008432F9"/>
    <w:rsid w:val="008451C6"/>
    <w:rsid w:val="00850EC1"/>
    <w:rsid w:val="00851093"/>
    <w:rsid w:val="008523B5"/>
    <w:rsid w:val="00854B6A"/>
    <w:rsid w:val="008560DE"/>
    <w:rsid w:val="008568BF"/>
    <w:rsid w:val="008569DE"/>
    <w:rsid w:val="0086194A"/>
    <w:rsid w:val="008620A7"/>
    <w:rsid w:val="00863DA2"/>
    <w:rsid w:val="00864F68"/>
    <w:rsid w:val="008653A6"/>
    <w:rsid w:val="00867785"/>
    <w:rsid w:val="00867AB5"/>
    <w:rsid w:val="0087061B"/>
    <w:rsid w:val="00870971"/>
    <w:rsid w:val="00872A06"/>
    <w:rsid w:val="00873CBF"/>
    <w:rsid w:val="008775A4"/>
    <w:rsid w:val="008777C6"/>
    <w:rsid w:val="008801EE"/>
    <w:rsid w:val="00882435"/>
    <w:rsid w:val="00886902"/>
    <w:rsid w:val="00890811"/>
    <w:rsid w:val="00890DE7"/>
    <w:rsid w:val="0089275E"/>
    <w:rsid w:val="00893684"/>
    <w:rsid w:val="00894461"/>
    <w:rsid w:val="00896CE7"/>
    <w:rsid w:val="008A0C2A"/>
    <w:rsid w:val="008A547B"/>
    <w:rsid w:val="008A6258"/>
    <w:rsid w:val="008A6696"/>
    <w:rsid w:val="008A7BAF"/>
    <w:rsid w:val="008B014D"/>
    <w:rsid w:val="008B10AB"/>
    <w:rsid w:val="008B1B71"/>
    <w:rsid w:val="008B4C00"/>
    <w:rsid w:val="008B5122"/>
    <w:rsid w:val="008B6A82"/>
    <w:rsid w:val="008B6E6F"/>
    <w:rsid w:val="008B7450"/>
    <w:rsid w:val="008B7BCD"/>
    <w:rsid w:val="008C07FC"/>
    <w:rsid w:val="008C0E48"/>
    <w:rsid w:val="008C2E8E"/>
    <w:rsid w:val="008C39C6"/>
    <w:rsid w:val="008C5995"/>
    <w:rsid w:val="008C77B0"/>
    <w:rsid w:val="008D3B36"/>
    <w:rsid w:val="008D5A1D"/>
    <w:rsid w:val="008D639A"/>
    <w:rsid w:val="008D65E7"/>
    <w:rsid w:val="008D6CE1"/>
    <w:rsid w:val="008E1251"/>
    <w:rsid w:val="008E21D7"/>
    <w:rsid w:val="008E623D"/>
    <w:rsid w:val="008E6D9B"/>
    <w:rsid w:val="008F07E2"/>
    <w:rsid w:val="008F178C"/>
    <w:rsid w:val="008F19CE"/>
    <w:rsid w:val="008F73FE"/>
    <w:rsid w:val="008F7C77"/>
    <w:rsid w:val="009037C4"/>
    <w:rsid w:val="00903869"/>
    <w:rsid w:val="0091006E"/>
    <w:rsid w:val="0091099F"/>
    <w:rsid w:val="00911AB3"/>
    <w:rsid w:val="00912896"/>
    <w:rsid w:val="00914C03"/>
    <w:rsid w:val="00914E38"/>
    <w:rsid w:val="009151A4"/>
    <w:rsid w:val="00915FCB"/>
    <w:rsid w:val="00916934"/>
    <w:rsid w:val="009169A4"/>
    <w:rsid w:val="00920D36"/>
    <w:rsid w:val="00920E2C"/>
    <w:rsid w:val="0092201F"/>
    <w:rsid w:val="00923509"/>
    <w:rsid w:val="0092421D"/>
    <w:rsid w:val="009244AF"/>
    <w:rsid w:val="0092458D"/>
    <w:rsid w:val="00924D91"/>
    <w:rsid w:val="00930CBF"/>
    <w:rsid w:val="0093213F"/>
    <w:rsid w:val="00933526"/>
    <w:rsid w:val="009365E1"/>
    <w:rsid w:val="00941A39"/>
    <w:rsid w:val="00941AD8"/>
    <w:rsid w:val="009438C1"/>
    <w:rsid w:val="00944DC4"/>
    <w:rsid w:val="009450BB"/>
    <w:rsid w:val="009457FA"/>
    <w:rsid w:val="009463E6"/>
    <w:rsid w:val="00946632"/>
    <w:rsid w:val="00952469"/>
    <w:rsid w:val="0095330A"/>
    <w:rsid w:val="0095444D"/>
    <w:rsid w:val="00956AC3"/>
    <w:rsid w:val="00961346"/>
    <w:rsid w:val="009614D2"/>
    <w:rsid w:val="00961F7D"/>
    <w:rsid w:val="0096275A"/>
    <w:rsid w:val="00962F16"/>
    <w:rsid w:val="00962FE3"/>
    <w:rsid w:val="009631AE"/>
    <w:rsid w:val="009637F3"/>
    <w:rsid w:val="009640D1"/>
    <w:rsid w:val="0096482D"/>
    <w:rsid w:val="00964AEA"/>
    <w:rsid w:val="009651CC"/>
    <w:rsid w:val="00966EB3"/>
    <w:rsid w:val="00967B41"/>
    <w:rsid w:val="00970BE4"/>
    <w:rsid w:val="009731E8"/>
    <w:rsid w:val="00975347"/>
    <w:rsid w:val="00975E64"/>
    <w:rsid w:val="00976E8D"/>
    <w:rsid w:val="00980CE9"/>
    <w:rsid w:val="00982C19"/>
    <w:rsid w:val="00984A5E"/>
    <w:rsid w:val="009912BA"/>
    <w:rsid w:val="009932D4"/>
    <w:rsid w:val="00993658"/>
    <w:rsid w:val="009A18CD"/>
    <w:rsid w:val="009A18EC"/>
    <w:rsid w:val="009A2F4C"/>
    <w:rsid w:val="009A47B9"/>
    <w:rsid w:val="009A5969"/>
    <w:rsid w:val="009A6077"/>
    <w:rsid w:val="009A6F5D"/>
    <w:rsid w:val="009A72E9"/>
    <w:rsid w:val="009B07C1"/>
    <w:rsid w:val="009B0F7E"/>
    <w:rsid w:val="009B1267"/>
    <w:rsid w:val="009B152E"/>
    <w:rsid w:val="009B285C"/>
    <w:rsid w:val="009B57DE"/>
    <w:rsid w:val="009B58FE"/>
    <w:rsid w:val="009B59F0"/>
    <w:rsid w:val="009B6409"/>
    <w:rsid w:val="009B69FD"/>
    <w:rsid w:val="009C3E0F"/>
    <w:rsid w:val="009C51D3"/>
    <w:rsid w:val="009D0009"/>
    <w:rsid w:val="009D1632"/>
    <w:rsid w:val="009D23E9"/>
    <w:rsid w:val="009D2BA6"/>
    <w:rsid w:val="009D5665"/>
    <w:rsid w:val="009D607C"/>
    <w:rsid w:val="009D7938"/>
    <w:rsid w:val="009E17D1"/>
    <w:rsid w:val="009E2089"/>
    <w:rsid w:val="009E3CAE"/>
    <w:rsid w:val="009E3D3D"/>
    <w:rsid w:val="009E471D"/>
    <w:rsid w:val="009E48DA"/>
    <w:rsid w:val="009E7402"/>
    <w:rsid w:val="009E7B8D"/>
    <w:rsid w:val="009F2BF6"/>
    <w:rsid w:val="00A00B33"/>
    <w:rsid w:val="00A02E72"/>
    <w:rsid w:val="00A03451"/>
    <w:rsid w:val="00A0409B"/>
    <w:rsid w:val="00A0411C"/>
    <w:rsid w:val="00A05356"/>
    <w:rsid w:val="00A063BB"/>
    <w:rsid w:val="00A07ECE"/>
    <w:rsid w:val="00A13130"/>
    <w:rsid w:val="00A1473C"/>
    <w:rsid w:val="00A14B36"/>
    <w:rsid w:val="00A152F8"/>
    <w:rsid w:val="00A15D9E"/>
    <w:rsid w:val="00A16B85"/>
    <w:rsid w:val="00A172E7"/>
    <w:rsid w:val="00A21AB8"/>
    <w:rsid w:val="00A23263"/>
    <w:rsid w:val="00A24459"/>
    <w:rsid w:val="00A2539E"/>
    <w:rsid w:val="00A25A53"/>
    <w:rsid w:val="00A30CE6"/>
    <w:rsid w:val="00A31B9A"/>
    <w:rsid w:val="00A33B0D"/>
    <w:rsid w:val="00A3512F"/>
    <w:rsid w:val="00A37117"/>
    <w:rsid w:val="00A408F3"/>
    <w:rsid w:val="00A40E23"/>
    <w:rsid w:val="00A40E79"/>
    <w:rsid w:val="00A42970"/>
    <w:rsid w:val="00A42CE8"/>
    <w:rsid w:val="00A4345C"/>
    <w:rsid w:val="00A44057"/>
    <w:rsid w:val="00A4439B"/>
    <w:rsid w:val="00A45D55"/>
    <w:rsid w:val="00A478E3"/>
    <w:rsid w:val="00A47CF0"/>
    <w:rsid w:val="00A47D0D"/>
    <w:rsid w:val="00A51746"/>
    <w:rsid w:val="00A53793"/>
    <w:rsid w:val="00A54104"/>
    <w:rsid w:val="00A548A9"/>
    <w:rsid w:val="00A56696"/>
    <w:rsid w:val="00A56950"/>
    <w:rsid w:val="00A61FF4"/>
    <w:rsid w:val="00A622D9"/>
    <w:rsid w:val="00A64230"/>
    <w:rsid w:val="00A644B0"/>
    <w:rsid w:val="00A64C4A"/>
    <w:rsid w:val="00A650EF"/>
    <w:rsid w:val="00A6547C"/>
    <w:rsid w:val="00A6724F"/>
    <w:rsid w:val="00A67450"/>
    <w:rsid w:val="00A7196D"/>
    <w:rsid w:val="00A753EB"/>
    <w:rsid w:val="00A7653F"/>
    <w:rsid w:val="00A77698"/>
    <w:rsid w:val="00A8037E"/>
    <w:rsid w:val="00A8052D"/>
    <w:rsid w:val="00A82541"/>
    <w:rsid w:val="00A866AA"/>
    <w:rsid w:val="00A87BA4"/>
    <w:rsid w:val="00A92038"/>
    <w:rsid w:val="00A92139"/>
    <w:rsid w:val="00A93C3F"/>
    <w:rsid w:val="00A9465A"/>
    <w:rsid w:val="00AA0889"/>
    <w:rsid w:val="00AA11FF"/>
    <w:rsid w:val="00AA21F2"/>
    <w:rsid w:val="00AA2360"/>
    <w:rsid w:val="00AA3DAF"/>
    <w:rsid w:val="00AA5D2D"/>
    <w:rsid w:val="00AA6CCF"/>
    <w:rsid w:val="00AB151D"/>
    <w:rsid w:val="00AB26EC"/>
    <w:rsid w:val="00AB4E24"/>
    <w:rsid w:val="00AB6A44"/>
    <w:rsid w:val="00AB6E8F"/>
    <w:rsid w:val="00AB7497"/>
    <w:rsid w:val="00AB7A0B"/>
    <w:rsid w:val="00AC00BB"/>
    <w:rsid w:val="00AC0109"/>
    <w:rsid w:val="00AC4898"/>
    <w:rsid w:val="00AC64DC"/>
    <w:rsid w:val="00AC7EFA"/>
    <w:rsid w:val="00AD3DE8"/>
    <w:rsid w:val="00AD4A1A"/>
    <w:rsid w:val="00AD4C3F"/>
    <w:rsid w:val="00AD71D3"/>
    <w:rsid w:val="00AE0F14"/>
    <w:rsid w:val="00AE1AA5"/>
    <w:rsid w:val="00AE24E6"/>
    <w:rsid w:val="00AE4ACB"/>
    <w:rsid w:val="00AE6E50"/>
    <w:rsid w:val="00AE77A9"/>
    <w:rsid w:val="00AF1ACF"/>
    <w:rsid w:val="00AF1BBB"/>
    <w:rsid w:val="00AF1F9F"/>
    <w:rsid w:val="00AF357C"/>
    <w:rsid w:val="00AF3E96"/>
    <w:rsid w:val="00AF4C7C"/>
    <w:rsid w:val="00AF6B05"/>
    <w:rsid w:val="00AF6DEF"/>
    <w:rsid w:val="00AF7E80"/>
    <w:rsid w:val="00B00F0D"/>
    <w:rsid w:val="00B04E81"/>
    <w:rsid w:val="00B0504B"/>
    <w:rsid w:val="00B06F0C"/>
    <w:rsid w:val="00B1039C"/>
    <w:rsid w:val="00B10871"/>
    <w:rsid w:val="00B10B0A"/>
    <w:rsid w:val="00B159D6"/>
    <w:rsid w:val="00B15DE4"/>
    <w:rsid w:val="00B1740A"/>
    <w:rsid w:val="00B2032F"/>
    <w:rsid w:val="00B23C80"/>
    <w:rsid w:val="00B2583E"/>
    <w:rsid w:val="00B258CC"/>
    <w:rsid w:val="00B26369"/>
    <w:rsid w:val="00B27271"/>
    <w:rsid w:val="00B3059A"/>
    <w:rsid w:val="00B30BB3"/>
    <w:rsid w:val="00B30C5A"/>
    <w:rsid w:val="00B3335B"/>
    <w:rsid w:val="00B35692"/>
    <w:rsid w:val="00B36B72"/>
    <w:rsid w:val="00B37CFA"/>
    <w:rsid w:val="00B4017A"/>
    <w:rsid w:val="00B4246F"/>
    <w:rsid w:val="00B50844"/>
    <w:rsid w:val="00B528D1"/>
    <w:rsid w:val="00B54445"/>
    <w:rsid w:val="00B55E0E"/>
    <w:rsid w:val="00B57615"/>
    <w:rsid w:val="00B607EC"/>
    <w:rsid w:val="00B6436A"/>
    <w:rsid w:val="00B64D69"/>
    <w:rsid w:val="00B66DB6"/>
    <w:rsid w:val="00B7034F"/>
    <w:rsid w:val="00B7080B"/>
    <w:rsid w:val="00B71C8C"/>
    <w:rsid w:val="00B73E46"/>
    <w:rsid w:val="00B75995"/>
    <w:rsid w:val="00B762C5"/>
    <w:rsid w:val="00B76C1B"/>
    <w:rsid w:val="00B77A60"/>
    <w:rsid w:val="00B83C50"/>
    <w:rsid w:val="00B84F1A"/>
    <w:rsid w:val="00B87605"/>
    <w:rsid w:val="00B94731"/>
    <w:rsid w:val="00B9651D"/>
    <w:rsid w:val="00B96D6C"/>
    <w:rsid w:val="00B971C7"/>
    <w:rsid w:val="00BA063A"/>
    <w:rsid w:val="00BA0F15"/>
    <w:rsid w:val="00BA376D"/>
    <w:rsid w:val="00BA6A2C"/>
    <w:rsid w:val="00BA7B84"/>
    <w:rsid w:val="00BA7F0A"/>
    <w:rsid w:val="00BB28E7"/>
    <w:rsid w:val="00BB4749"/>
    <w:rsid w:val="00BB6B69"/>
    <w:rsid w:val="00BB7467"/>
    <w:rsid w:val="00BB7567"/>
    <w:rsid w:val="00BC0E8D"/>
    <w:rsid w:val="00BC2D54"/>
    <w:rsid w:val="00BC33C6"/>
    <w:rsid w:val="00BC62D1"/>
    <w:rsid w:val="00BC774A"/>
    <w:rsid w:val="00BD1BD0"/>
    <w:rsid w:val="00BD2998"/>
    <w:rsid w:val="00BD499C"/>
    <w:rsid w:val="00BD6B48"/>
    <w:rsid w:val="00BD6F4E"/>
    <w:rsid w:val="00BD727E"/>
    <w:rsid w:val="00BE2413"/>
    <w:rsid w:val="00BE3994"/>
    <w:rsid w:val="00BF1424"/>
    <w:rsid w:val="00BF1C35"/>
    <w:rsid w:val="00BF3C6F"/>
    <w:rsid w:val="00BF4252"/>
    <w:rsid w:val="00C00D52"/>
    <w:rsid w:val="00C0171E"/>
    <w:rsid w:val="00C01C72"/>
    <w:rsid w:val="00C02850"/>
    <w:rsid w:val="00C035A9"/>
    <w:rsid w:val="00C0367B"/>
    <w:rsid w:val="00C05444"/>
    <w:rsid w:val="00C057FF"/>
    <w:rsid w:val="00C15827"/>
    <w:rsid w:val="00C15928"/>
    <w:rsid w:val="00C15CBF"/>
    <w:rsid w:val="00C16FA6"/>
    <w:rsid w:val="00C17F63"/>
    <w:rsid w:val="00C222A6"/>
    <w:rsid w:val="00C22592"/>
    <w:rsid w:val="00C23B19"/>
    <w:rsid w:val="00C26032"/>
    <w:rsid w:val="00C308F5"/>
    <w:rsid w:val="00C33E66"/>
    <w:rsid w:val="00C34A72"/>
    <w:rsid w:val="00C354F1"/>
    <w:rsid w:val="00C36630"/>
    <w:rsid w:val="00C40F74"/>
    <w:rsid w:val="00C40FFB"/>
    <w:rsid w:val="00C41480"/>
    <w:rsid w:val="00C417FD"/>
    <w:rsid w:val="00C45234"/>
    <w:rsid w:val="00C45CF1"/>
    <w:rsid w:val="00C503FF"/>
    <w:rsid w:val="00C5049F"/>
    <w:rsid w:val="00C50584"/>
    <w:rsid w:val="00C53403"/>
    <w:rsid w:val="00C537F1"/>
    <w:rsid w:val="00C54F34"/>
    <w:rsid w:val="00C551FB"/>
    <w:rsid w:val="00C6559A"/>
    <w:rsid w:val="00C67C5D"/>
    <w:rsid w:val="00C67CFA"/>
    <w:rsid w:val="00C7393A"/>
    <w:rsid w:val="00C7411D"/>
    <w:rsid w:val="00C748D8"/>
    <w:rsid w:val="00C74BF7"/>
    <w:rsid w:val="00C74D12"/>
    <w:rsid w:val="00C7705F"/>
    <w:rsid w:val="00C81B0B"/>
    <w:rsid w:val="00C82057"/>
    <w:rsid w:val="00C82B9C"/>
    <w:rsid w:val="00C84780"/>
    <w:rsid w:val="00C86BC0"/>
    <w:rsid w:val="00C87840"/>
    <w:rsid w:val="00C92245"/>
    <w:rsid w:val="00C92A30"/>
    <w:rsid w:val="00C93FFE"/>
    <w:rsid w:val="00C973B9"/>
    <w:rsid w:val="00C9767D"/>
    <w:rsid w:val="00CA1916"/>
    <w:rsid w:val="00CA46E5"/>
    <w:rsid w:val="00CA46EC"/>
    <w:rsid w:val="00CA47DA"/>
    <w:rsid w:val="00CA4800"/>
    <w:rsid w:val="00CA4FAF"/>
    <w:rsid w:val="00CA60EF"/>
    <w:rsid w:val="00CA69B9"/>
    <w:rsid w:val="00CB3E0D"/>
    <w:rsid w:val="00CB4056"/>
    <w:rsid w:val="00CB6859"/>
    <w:rsid w:val="00CB7107"/>
    <w:rsid w:val="00CB7992"/>
    <w:rsid w:val="00CC0CD0"/>
    <w:rsid w:val="00CC1634"/>
    <w:rsid w:val="00CC32D5"/>
    <w:rsid w:val="00CC483E"/>
    <w:rsid w:val="00CC54DB"/>
    <w:rsid w:val="00CC60B4"/>
    <w:rsid w:val="00CC7F0A"/>
    <w:rsid w:val="00CD1E0C"/>
    <w:rsid w:val="00CD2F60"/>
    <w:rsid w:val="00CD41C5"/>
    <w:rsid w:val="00CD487B"/>
    <w:rsid w:val="00CD49AB"/>
    <w:rsid w:val="00CD734B"/>
    <w:rsid w:val="00CE02CE"/>
    <w:rsid w:val="00CE119E"/>
    <w:rsid w:val="00CE154E"/>
    <w:rsid w:val="00CE1AA6"/>
    <w:rsid w:val="00CE2CEC"/>
    <w:rsid w:val="00CE41C7"/>
    <w:rsid w:val="00CF4A14"/>
    <w:rsid w:val="00CF6558"/>
    <w:rsid w:val="00D02D14"/>
    <w:rsid w:val="00D0654E"/>
    <w:rsid w:val="00D07E90"/>
    <w:rsid w:val="00D100E1"/>
    <w:rsid w:val="00D1126D"/>
    <w:rsid w:val="00D11B1D"/>
    <w:rsid w:val="00D12E68"/>
    <w:rsid w:val="00D131DD"/>
    <w:rsid w:val="00D147CB"/>
    <w:rsid w:val="00D15EC8"/>
    <w:rsid w:val="00D1608E"/>
    <w:rsid w:val="00D161E1"/>
    <w:rsid w:val="00D164C9"/>
    <w:rsid w:val="00D16C97"/>
    <w:rsid w:val="00D17367"/>
    <w:rsid w:val="00D17AB4"/>
    <w:rsid w:val="00D17C3A"/>
    <w:rsid w:val="00D20915"/>
    <w:rsid w:val="00D21350"/>
    <w:rsid w:val="00D23A15"/>
    <w:rsid w:val="00D249D6"/>
    <w:rsid w:val="00D25BD6"/>
    <w:rsid w:val="00D25C9F"/>
    <w:rsid w:val="00D26D12"/>
    <w:rsid w:val="00D3059C"/>
    <w:rsid w:val="00D30A19"/>
    <w:rsid w:val="00D31701"/>
    <w:rsid w:val="00D323E4"/>
    <w:rsid w:val="00D32649"/>
    <w:rsid w:val="00D329BE"/>
    <w:rsid w:val="00D32B5B"/>
    <w:rsid w:val="00D35E90"/>
    <w:rsid w:val="00D37FFA"/>
    <w:rsid w:val="00D45CB9"/>
    <w:rsid w:val="00D536C9"/>
    <w:rsid w:val="00D5441F"/>
    <w:rsid w:val="00D566B5"/>
    <w:rsid w:val="00D57C37"/>
    <w:rsid w:val="00D602EE"/>
    <w:rsid w:val="00D62216"/>
    <w:rsid w:val="00D626B0"/>
    <w:rsid w:val="00D63063"/>
    <w:rsid w:val="00D64DED"/>
    <w:rsid w:val="00D65614"/>
    <w:rsid w:val="00D658E6"/>
    <w:rsid w:val="00D6599D"/>
    <w:rsid w:val="00D667F9"/>
    <w:rsid w:val="00D67A43"/>
    <w:rsid w:val="00D702E3"/>
    <w:rsid w:val="00D707A7"/>
    <w:rsid w:val="00D72D88"/>
    <w:rsid w:val="00D74023"/>
    <w:rsid w:val="00D7409A"/>
    <w:rsid w:val="00D75497"/>
    <w:rsid w:val="00D82DAF"/>
    <w:rsid w:val="00D83C8A"/>
    <w:rsid w:val="00D83F62"/>
    <w:rsid w:val="00D84125"/>
    <w:rsid w:val="00D84E86"/>
    <w:rsid w:val="00D858A2"/>
    <w:rsid w:val="00D85BB1"/>
    <w:rsid w:val="00D868A9"/>
    <w:rsid w:val="00D87295"/>
    <w:rsid w:val="00D87B37"/>
    <w:rsid w:val="00D87FCD"/>
    <w:rsid w:val="00D90CAA"/>
    <w:rsid w:val="00D9223D"/>
    <w:rsid w:val="00D9550A"/>
    <w:rsid w:val="00D970B1"/>
    <w:rsid w:val="00DA1658"/>
    <w:rsid w:val="00DA311B"/>
    <w:rsid w:val="00DA36F2"/>
    <w:rsid w:val="00DA4D4D"/>
    <w:rsid w:val="00DA606B"/>
    <w:rsid w:val="00DB0590"/>
    <w:rsid w:val="00DB1330"/>
    <w:rsid w:val="00DB2FDF"/>
    <w:rsid w:val="00DB5125"/>
    <w:rsid w:val="00DB6D74"/>
    <w:rsid w:val="00DC07AD"/>
    <w:rsid w:val="00DC3095"/>
    <w:rsid w:val="00DC31F7"/>
    <w:rsid w:val="00DC4F90"/>
    <w:rsid w:val="00DC64DA"/>
    <w:rsid w:val="00DD07C7"/>
    <w:rsid w:val="00DD352D"/>
    <w:rsid w:val="00DD4E38"/>
    <w:rsid w:val="00DD5FC3"/>
    <w:rsid w:val="00DD7307"/>
    <w:rsid w:val="00DD755C"/>
    <w:rsid w:val="00DD7F2C"/>
    <w:rsid w:val="00DE4F1F"/>
    <w:rsid w:val="00DE51A9"/>
    <w:rsid w:val="00DE66A9"/>
    <w:rsid w:val="00DF061A"/>
    <w:rsid w:val="00DF0B93"/>
    <w:rsid w:val="00DF18AF"/>
    <w:rsid w:val="00DF3FF4"/>
    <w:rsid w:val="00DF4752"/>
    <w:rsid w:val="00DF5A67"/>
    <w:rsid w:val="00DF695B"/>
    <w:rsid w:val="00E0040A"/>
    <w:rsid w:val="00E03533"/>
    <w:rsid w:val="00E03886"/>
    <w:rsid w:val="00E03BEA"/>
    <w:rsid w:val="00E04C0C"/>
    <w:rsid w:val="00E053B9"/>
    <w:rsid w:val="00E05C4C"/>
    <w:rsid w:val="00E065F7"/>
    <w:rsid w:val="00E06780"/>
    <w:rsid w:val="00E077EF"/>
    <w:rsid w:val="00E14C57"/>
    <w:rsid w:val="00E168E7"/>
    <w:rsid w:val="00E2146C"/>
    <w:rsid w:val="00E21B66"/>
    <w:rsid w:val="00E21E1F"/>
    <w:rsid w:val="00E2230B"/>
    <w:rsid w:val="00E2484C"/>
    <w:rsid w:val="00E328C2"/>
    <w:rsid w:val="00E332E8"/>
    <w:rsid w:val="00E36DBA"/>
    <w:rsid w:val="00E41341"/>
    <w:rsid w:val="00E45597"/>
    <w:rsid w:val="00E45F89"/>
    <w:rsid w:val="00E4735B"/>
    <w:rsid w:val="00E47666"/>
    <w:rsid w:val="00E47ABB"/>
    <w:rsid w:val="00E500D5"/>
    <w:rsid w:val="00E53192"/>
    <w:rsid w:val="00E53B4B"/>
    <w:rsid w:val="00E53C7E"/>
    <w:rsid w:val="00E54164"/>
    <w:rsid w:val="00E544D9"/>
    <w:rsid w:val="00E547C8"/>
    <w:rsid w:val="00E54B2F"/>
    <w:rsid w:val="00E55C22"/>
    <w:rsid w:val="00E575CE"/>
    <w:rsid w:val="00E57750"/>
    <w:rsid w:val="00E57C9B"/>
    <w:rsid w:val="00E61CCE"/>
    <w:rsid w:val="00E67201"/>
    <w:rsid w:val="00E703C9"/>
    <w:rsid w:val="00E70EE3"/>
    <w:rsid w:val="00E7157B"/>
    <w:rsid w:val="00E73C27"/>
    <w:rsid w:val="00E74EB1"/>
    <w:rsid w:val="00E76490"/>
    <w:rsid w:val="00E767CB"/>
    <w:rsid w:val="00E81AD9"/>
    <w:rsid w:val="00E823C7"/>
    <w:rsid w:val="00E825E7"/>
    <w:rsid w:val="00E84207"/>
    <w:rsid w:val="00E9350D"/>
    <w:rsid w:val="00E944FD"/>
    <w:rsid w:val="00E97860"/>
    <w:rsid w:val="00E97A2E"/>
    <w:rsid w:val="00E97BC7"/>
    <w:rsid w:val="00E97FB2"/>
    <w:rsid w:val="00EB0DB5"/>
    <w:rsid w:val="00EB0DE4"/>
    <w:rsid w:val="00EB1543"/>
    <w:rsid w:val="00EB1EB2"/>
    <w:rsid w:val="00EB2172"/>
    <w:rsid w:val="00EB6AF3"/>
    <w:rsid w:val="00EB74E8"/>
    <w:rsid w:val="00EB7888"/>
    <w:rsid w:val="00EC170B"/>
    <w:rsid w:val="00EC42CD"/>
    <w:rsid w:val="00EC5D5F"/>
    <w:rsid w:val="00EC6FD1"/>
    <w:rsid w:val="00ED05E0"/>
    <w:rsid w:val="00ED1D8C"/>
    <w:rsid w:val="00ED40D7"/>
    <w:rsid w:val="00ED5146"/>
    <w:rsid w:val="00ED7B88"/>
    <w:rsid w:val="00EE06B6"/>
    <w:rsid w:val="00EE10B6"/>
    <w:rsid w:val="00EE1C23"/>
    <w:rsid w:val="00EE1F03"/>
    <w:rsid w:val="00EE2E62"/>
    <w:rsid w:val="00EE4E22"/>
    <w:rsid w:val="00EE50E3"/>
    <w:rsid w:val="00EE51AA"/>
    <w:rsid w:val="00EE6848"/>
    <w:rsid w:val="00EE7D04"/>
    <w:rsid w:val="00EF0628"/>
    <w:rsid w:val="00EF0FC0"/>
    <w:rsid w:val="00EF12F4"/>
    <w:rsid w:val="00EF4164"/>
    <w:rsid w:val="00EF6052"/>
    <w:rsid w:val="00F00EF1"/>
    <w:rsid w:val="00F01A22"/>
    <w:rsid w:val="00F03B97"/>
    <w:rsid w:val="00F03D42"/>
    <w:rsid w:val="00F053FC"/>
    <w:rsid w:val="00F06C1B"/>
    <w:rsid w:val="00F07C05"/>
    <w:rsid w:val="00F1085E"/>
    <w:rsid w:val="00F119B3"/>
    <w:rsid w:val="00F11BC5"/>
    <w:rsid w:val="00F12B0E"/>
    <w:rsid w:val="00F14450"/>
    <w:rsid w:val="00F15514"/>
    <w:rsid w:val="00F17494"/>
    <w:rsid w:val="00F174B9"/>
    <w:rsid w:val="00F17BB9"/>
    <w:rsid w:val="00F205F4"/>
    <w:rsid w:val="00F26C8C"/>
    <w:rsid w:val="00F323BB"/>
    <w:rsid w:val="00F3284A"/>
    <w:rsid w:val="00F36B42"/>
    <w:rsid w:val="00F36D46"/>
    <w:rsid w:val="00F40033"/>
    <w:rsid w:val="00F407A3"/>
    <w:rsid w:val="00F41C0F"/>
    <w:rsid w:val="00F4222D"/>
    <w:rsid w:val="00F4234F"/>
    <w:rsid w:val="00F44F76"/>
    <w:rsid w:val="00F472EA"/>
    <w:rsid w:val="00F47C8C"/>
    <w:rsid w:val="00F51D5E"/>
    <w:rsid w:val="00F5322C"/>
    <w:rsid w:val="00F53850"/>
    <w:rsid w:val="00F5421D"/>
    <w:rsid w:val="00F55AA3"/>
    <w:rsid w:val="00F561D0"/>
    <w:rsid w:val="00F5625C"/>
    <w:rsid w:val="00F563A0"/>
    <w:rsid w:val="00F609BD"/>
    <w:rsid w:val="00F61619"/>
    <w:rsid w:val="00F61CFA"/>
    <w:rsid w:val="00F6252D"/>
    <w:rsid w:val="00F640CF"/>
    <w:rsid w:val="00F66680"/>
    <w:rsid w:val="00F667F3"/>
    <w:rsid w:val="00F712FC"/>
    <w:rsid w:val="00F76095"/>
    <w:rsid w:val="00F7726B"/>
    <w:rsid w:val="00F87882"/>
    <w:rsid w:val="00F87FE6"/>
    <w:rsid w:val="00F9136A"/>
    <w:rsid w:val="00F9190F"/>
    <w:rsid w:val="00F96717"/>
    <w:rsid w:val="00FA0946"/>
    <w:rsid w:val="00FA0E78"/>
    <w:rsid w:val="00FA146D"/>
    <w:rsid w:val="00FA15B5"/>
    <w:rsid w:val="00FA274E"/>
    <w:rsid w:val="00FA7BD4"/>
    <w:rsid w:val="00FA7E5C"/>
    <w:rsid w:val="00FB0AC6"/>
    <w:rsid w:val="00FB411F"/>
    <w:rsid w:val="00FB4EF1"/>
    <w:rsid w:val="00FB587A"/>
    <w:rsid w:val="00FB627B"/>
    <w:rsid w:val="00FB694E"/>
    <w:rsid w:val="00FC1B22"/>
    <w:rsid w:val="00FC1BE0"/>
    <w:rsid w:val="00FC3BA3"/>
    <w:rsid w:val="00FC3EA1"/>
    <w:rsid w:val="00FC3EB2"/>
    <w:rsid w:val="00FC4481"/>
    <w:rsid w:val="00FC65EB"/>
    <w:rsid w:val="00FC673F"/>
    <w:rsid w:val="00FC6940"/>
    <w:rsid w:val="00FD1E2B"/>
    <w:rsid w:val="00FD32A2"/>
    <w:rsid w:val="00FD7792"/>
    <w:rsid w:val="00FD794C"/>
    <w:rsid w:val="00FE0B38"/>
    <w:rsid w:val="00FE335B"/>
    <w:rsid w:val="00FE37C0"/>
    <w:rsid w:val="00FE7297"/>
    <w:rsid w:val="00FF03EC"/>
    <w:rsid w:val="00FF046D"/>
    <w:rsid w:val="00FF37F1"/>
    <w:rsid w:val="00FF4907"/>
    <w:rsid w:val="00FF61E8"/>
    <w:rsid w:val="00FF6B0B"/>
    <w:rsid w:val="00FF6D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49F108"/>
  <w15:chartTrackingRefBased/>
  <w15:docId w15:val="{D0D251AE-AD49-4217-85B1-DE1A4E7CB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055D"/>
    <w:pPr>
      <w:spacing w:after="200" w:line="276" w:lineRule="auto"/>
    </w:pPr>
    <w:rPr>
      <w:rFonts w:ascii="Calibri" w:eastAsia="SimSun" w:hAnsi="Calibri" w:cs="Times New Roman"/>
    </w:rPr>
  </w:style>
  <w:style w:type="paragraph" w:styleId="Heading1">
    <w:name w:val="heading 1"/>
    <w:aliases w:val="H1,h1,Heading 1 3GPP"/>
    <w:next w:val="Normal"/>
    <w:link w:val="Heading1Char"/>
    <w:qFormat/>
    <w:rsid w:val="001F131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3">
    <w:name w:val="heading 3"/>
    <w:basedOn w:val="Normal"/>
    <w:next w:val="Normal"/>
    <w:link w:val="Heading3Char"/>
    <w:uiPriority w:val="9"/>
    <w:semiHidden/>
    <w:unhideWhenUsed/>
    <w:qFormat/>
    <w:rsid w:val="00F12B0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9C3E0F"/>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1F1316"/>
    <w:rPr>
      <w:rFonts w:ascii="Arial" w:eastAsia="SimSun" w:hAnsi="Arial" w:cs="Times New Roman"/>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1F1316"/>
    <w:pPr>
      <w:tabs>
        <w:tab w:val="center" w:pos="4153"/>
        <w:tab w:val="right" w:pos="8306"/>
      </w:tabs>
      <w:spacing w:after="0" w:line="240" w:lineRule="auto"/>
    </w:pPr>
    <w:rPr>
      <w:rFonts w:ascii="Times New Roman" w:eastAsia="MS Mincho" w:hAnsi="Times New Roman"/>
      <w:sz w:val="20"/>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F1316"/>
    <w:rPr>
      <w:rFonts w:ascii="Times New Roman" w:eastAsia="MS Mincho" w:hAnsi="Times New Roman" w:cs="Times New Roman"/>
      <w:sz w:val="20"/>
      <w:szCs w:val="20"/>
      <w:lang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DC31F7"/>
    <w:pPr>
      <w:widowControl w:val="0"/>
      <w:autoSpaceDE w:val="0"/>
      <w:autoSpaceDN w:val="0"/>
      <w:adjustRightInd w:val="0"/>
      <w:spacing w:after="0" w:line="360" w:lineRule="auto"/>
      <w:ind w:firstLineChars="200" w:firstLine="420"/>
    </w:pPr>
    <w:rPr>
      <w:rFonts w:ascii="Times New Roman" w:hAnsi="Times New Roman"/>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DC31F7"/>
    <w:rPr>
      <w:rFonts w:ascii="Times New Roman" w:eastAsia="SimSun" w:hAnsi="Times New Roman" w:cs="Times New Roman"/>
      <w:snapToGrid w:val="0"/>
      <w:sz w:val="21"/>
      <w:szCs w:val="21"/>
      <w:lang w:val="x-none" w:eastAsia="x-none"/>
    </w:rPr>
  </w:style>
  <w:style w:type="table" w:styleId="TableGrid">
    <w:name w:val="Table Grid"/>
    <w:basedOn w:val="TableNormal"/>
    <w:uiPriority w:val="39"/>
    <w:rsid w:val="00FC3E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Normal"/>
    <w:link w:val="N1Char"/>
    <w:qFormat/>
    <w:rsid w:val="00CD1E0C"/>
    <w:pPr>
      <w:spacing w:after="0" w:line="240" w:lineRule="auto"/>
      <w:ind w:left="634"/>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CD1E0C"/>
    <w:rPr>
      <w:rFonts w:cstheme="minorHAnsi"/>
      <w:lang w:eastAsia="ko-KR" w:bidi="hi-IN"/>
    </w:rPr>
  </w:style>
  <w:style w:type="paragraph" w:customStyle="1" w:styleId="Content">
    <w:name w:val="Content"/>
    <w:basedOn w:val="Normal"/>
    <w:link w:val="ContentChar"/>
    <w:qFormat/>
    <w:rsid w:val="00C551FB"/>
    <w:pPr>
      <w:spacing w:before="240" w:after="120" w:line="240" w:lineRule="auto"/>
      <w:jc w:val="both"/>
    </w:pPr>
    <w:rPr>
      <w:rFonts w:ascii="Times New Roman" w:eastAsia="MS Mincho" w:hAnsi="Times New Roman"/>
      <w:sz w:val="20"/>
      <w:szCs w:val="24"/>
      <w:lang w:val="x-none" w:eastAsia="en-US"/>
    </w:rPr>
  </w:style>
  <w:style w:type="character" w:customStyle="1" w:styleId="ContentChar">
    <w:name w:val="Content Char"/>
    <w:basedOn w:val="DefaultParagraphFont"/>
    <w:link w:val="Content"/>
    <w:rsid w:val="00C551FB"/>
    <w:rPr>
      <w:rFonts w:ascii="Times New Roman" w:eastAsia="MS Mincho" w:hAnsi="Times New Roman" w:cs="Times New Roman"/>
      <w:sz w:val="20"/>
      <w:szCs w:val="24"/>
      <w:lang w:val="x-none" w:eastAsia="en-US"/>
    </w:rPr>
  </w:style>
  <w:style w:type="paragraph" w:customStyle="1" w:styleId="TAH">
    <w:name w:val="TAH"/>
    <w:basedOn w:val="TAC"/>
    <w:link w:val="TAHCar"/>
    <w:qFormat/>
    <w:rsid w:val="00C15827"/>
    <w:rPr>
      <w:b/>
    </w:rPr>
  </w:style>
  <w:style w:type="paragraph" w:customStyle="1" w:styleId="TAC">
    <w:name w:val="TAC"/>
    <w:basedOn w:val="Normal"/>
    <w:link w:val="TACChar"/>
    <w:qFormat/>
    <w:rsid w:val="00C15827"/>
    <w:pPr>
      <w:keepNext/>
      <w:keepLines/>
      <w:overflowPunct w:val="0"/>
      <w:autoSpaceDE w:val="0"/>
      <w:autoSpaceDN w:val="0"/>
      <w:adjustRightInd w:val="0"/>
      <w:spacing w:before="120" w:after="0" w:line="240" w:lineRule="auto"/>
      <w:jc w:val="center"/>
      <w:textAlignment w:val="baseline"/>
    </w:pPr>
    <w:rPr>
      <w:rFonts w:ascii="Arial" w:hAnsi="Arial"/>
      <w:sz w:val="18"/>
      <w:szCs w:val="20"/>
      <w:lang w:val="en-GB" w:eastAsia="en-US"/>
    </w:rPr>
  </w:style>
  <w:style w:type="paragraph" w:customStyle="1" w:styleId="TH">
    <w:name w:val="TH"/>
    <w:basedOn w:val="Normal"/>
    <w:link w:val="THChar"/>
    <w:qFormat/>
    <w:rsid w:val="00C15827"/>
    <w:pPr>
      <w:keepNext/>
      <w:keepLines/>
      <w:overflowPunct w:val="0"/>
      <w:autoSpaceDE w:val="0"/>
      <w:autoSpaceDN w:val="0"/>
      <w:adjustRightInd w:val="0"/>
      <w:spacing w:before="60" w:after="120" w:line="240" w:lineRule="auto"/>
      <w:jc w:val="center"/>
      <w:textAlignment w:val="baseline"/>
    </w:pPr>
    <w:rPr>
      <w:rFonts w:ascii="Arial" w:hAnsi="Arial"/>
      <w:b/>
      <w:sz w:val="20"/>
      <w:szCs w:val="20"/>
      <w:lang w:val="en-GB" w:eastAsia="en-US"/>
    </w:rPr>
  </w:style>
  <w:style w:type="character" w:customStyle="1" w:styleId="TACChar">
    <w:name w:val="TAC Char"/>
    <w:link w:val="TAC"/>
    <w:qFormat/>
    <w:rsid w:val="00C15827"/>
    <w:rPr>
      <w:rFonts w:ascii="Arial" w:eastAsia="SimSun" w:hAnsi="Arial" w:cs="Times New Roman"/>
      <w:sz w:val="18"/>
      <w:szCs w:val="20"/>
      <w:lang w:val="en-GB" w:eastAsia="en-US"/>
    </w:rPr>
  </w:style>
  <w:style w:type="character" w:customStyle="1" w:styleId="TAHCar">
    <w:name w:val="TAH Car"/>
    <w:link w:val="TAH"/>
    <w:qFormat/>
    <w:rsid w:val="00C15827"/>
    <w:rPr>
      <w:rFonts w:ascii="Arial" w:eastAsia="SimSun" w:hAnsi="Arial" w:cs="Times New Roman"/>
      <w:b/>
      <w:sz w:val="18"/>
      <w:szCs w:val="20"/>
      <w:lang w:val="en-GB" w:eastAsia="en-US"/>
    </w:rPr>
  </w:style>
  <w:style w:type="character" w:customStyle="1" w:styleId="THChar">
    <w:name w:val="TH Char"/>
    <w:link w:val="TH"/>
    <w:qFormat/>
    <w:rsid w:val="00C15827"/>
    <w:rPr>
      <w:rFonts w:ascii="Arial" w:eastAsia="SimSun" w:hAnsi="Arial" w:cs="Times New Roman"/>
      <w:b/>
      <w:sz w:val="20"/>
      <w:szCs w:val="20"/>
      <w:lang w:val="en-GB" w:eastAsia="en-US"/>
    </w:rPr>
  </w:style>
  <w:style w:type="paragraph" w:customStyle="1" w:styleId="Doc-text2">
    <w:name w:val="Doc-text2"/>
    <w:basedOn w:val="Normal"/>
    <w:link w:val="Doc-text2Char"/>
    <w:qFormat/>
    <w:rsid w:val="002528EB"/>
    <w:pPr>
      <w:tabs>
        <w:tab w:val="left" w:pos="1622"/>
      </w:tabs>
      <w:spacing w:after="160" w:line="259" w:lineRule="auto"/>
      <w:ind w:left="1622" w:hanging="363"/>
    </w:pPr>
    <w:rPr>
      <w:rFonts w:ascii="Arial" w:eastAsia="MS Mincho" w:hAnsi="Arial" w:cstheme="minorBidi"/>
      <w:sz w:val="20"/>
      <w:lang w:eastAsia="en-GB"/>
    </w:rPr>
  </w:style>
  <w:style w:type="character" w:customStyle="1" w:styleId="Doc-text2Char">
    <w:name w:val="Doc-text2 Char"/>
    <w:link w:val="Doc-text2"/>
    <w:rsid w:val="002528EB"/>
    <w:rPr>
      <w:rFonts w:ascii="Arial" w:eastAsia="MS Mincho" w:hAnsi="Arial"/>
      <w:sz w:val="20"/>
      <w:lang w:eastAsia="en-GB"/>
    </w:rPr>
  </w:style>
  <w:style w:type="paragraph" w:customStyle="1" w:styleId="TAN">
    <w:name w:val="TAN"/>
    <w:basedOn w:val="Normal"/>
    <w:link w:val="TANChar"/>
    <w:qFormat/>
    <w:rsid w:val="001421CB"/>
    <w:pPr>
      <w:keepNext/>
      <w:keepLines/>
      <w:spacing w:after="0" w:line="240" w:lineRule="auto"/>
      <w:ind w:left="851" w:hanging="851"/>
    </w:pPr>
    <w:rPr>
      <w:rFonts w:ascii="Arial" w:hAnsi="Arial"/>
      <w:sz w:val="18"/>
      <w:szCs w:val="20"/>
      <w:lang w:val="en-GB" w:eastAsia="en-US"/>
    </w:rPr>
  </w:style>
  <w:style w:type="character" w:customStyle="1" w:styleId="TANChar">
    <w:name w:val="TAN Char"/>
    <w:link w:val="TAN"/>
    <w:rsid w:val="001421CB"/>
    <w:rPr>
      <w:rFonts w:ascii="Arial" w:eastAsia="SimSun" w:hAnsi="Arial" w:cs="Times New Roman"/>
      <w:sz w:val="18"/>
      <w:szCs w:val="20"/>
      <w:lang w:val="en-GB" w:eastAsia="en-US"/>
    </w:rPr>
  </w:style>
  <w:style w:type="paragraph" w:styleId="NormalWeb">
    <w:name w:val="Normal (Web)"/>
    <w:basedOn w:val="Normal"/>
    <w:uiPriority w:val="99"/>
    <w:unhideWhenUsed/>
    <w:rsid w:val="001608CE"/>
    <w:pPr>
      <w:spacing w:before="100" w:beforeAutospacing="1" w:after="100" w:afterAutospacing="1" w:line="240" w:lineRule="auto"/>
    </w:pPr>
    <w:rPr>
      <w:rFonts w:ascii="Times New Roman" w:eastAsia="MS Mincho" w:hAnsi="Times New Roman"/>
      <w:sz w:val="24"/>
      <w:szCs w:val="24"/>
      <w:lang w:eastAsia="en-US"/>
    </w:rPr>
  </w:style>
  <w:style w:type="paragraph" w:customStyle="1" w:styleId="EQ">
    <w:name w:val="EQ"/>
    <w:basedOn w:val="Normal"/>
    <w:next w:val="Normal"/>
    <w:link w:val="EQChar"/>
    <w:rsid w:val="00032416"/>
    <w:pPr>
      <w:keepLines/>
      <w:tabs>
        <w:tab w:val="center" w:pos="4536"/>
        <w:tab w:val="right" w:pos="9072"/>
      </w:tabs>
      <w:spacing w:after="180" w:line="240" w:lineRule="auto"/>
    </w:pPr>
    <w:rPr>
      <w:rFonts w:ascii="Times New Roman" w:hAnsi="Times New Roman"/>
      <w:noProof/>
      <w:sz w:val="20"/>
      <w:szCs w:val="20"/>
      <w:lang w:val="en-GB" w:eastAsia="en-US"/>
    </w:rPr>
  </w:style>
  <w:style w:type="character" w:customStyle="1" w:styleId="EQChar">
    <w:name w:val="EQ Char"/>
    <w:link w:val="EQ"/>
    <w:locked/>
    <w:rsid w:val="00032416"/>
    <w:rPr>
      <w:rFonts w:ascii="Times New Roman" w:eastAsia="SimSun" w:hAnsi="Times New Roman" w:cs="Times New Roman"/>
      <w:noProof/>
      <w:sz w:val="20"/>
      <w:szCs w:val="20"/>
      <w:lang w:val="en-GB" w:eastAsia="en-US"/>
    </w:rPr>
  </w:style>
  <w:style w:type="paragraph" w:customStyle="1" w:styleId="B1">
    <w:name w:val="B1"/>
    <w:basedOn w:val="List"/>
    <w:link w:val="B1Char"/>
    <w:qFormat/>
    <w:rsid w:val="00BD6B48"/>
    <w:pPr>
      <w:spacing w:after="160" w:line="259" w:lineRule="auto"/>
      <w:ind w:left="568" w:hanging="284"/>
      <w:contextualSpacing w:val="0"/>
    </w:pPr>
    <w:rPr>
      <w:rFonts w:asciiTheme="minorHAnsi" w:eastAsiaTheme="minorEastAsia" w:hAnsiTheme="minorHAnsi" w:cstheme="minorBidi"/>
      <w:sz w:val="20"/>
      <w:szCs w:val="20"/>
      <w:lang w:val="en-GB" w:eastAsia="en-US"/>
    </w:rPr>
  </w:style>
  <w:style w:type="character" w:customStyle="1" w:styleId="B1Char">
    <w:name w:val="B1 Char"/>
    <w:link w:val="B1"/>
    <w:qFormat/>
    <w:rsid w:val="00BD6B48"/>
    <w:rPr>
      <w:sz w:val="20"/>
      <w:szCs w:val="20"/>
      <w:lang w:val="en-GB" w:eastAsia="en-US"/>
    </w:rPr>
  </w:style>
  <w:style w:type="paragraph" w:styleId="List">
    <w:name w:val="List"/>
    <w:basedOn w:val="Normal"/>
    <w:uiPriority w:val="99"/>
    <w:semiHidden/>
    <w:unhideWhenUsed/>
    <w:rsid w:val="00BD6B48"/>
    <w:pPr>
      <w:ind w:left="360" w:hanging="360"/>
      <w:contextualSpacing/>
    </w:pPr>
  </w:style>
  <w:style w:type="character" w:customStyle="1" w:styleId="Heading4Char">
    <w:name w:val="Heading 4 Char"/>
    <w:basedOn w:val="DefaultParagraphFont"/>
    <w:link w:val="Heading4"/>
    <w:uiPriority w:val="9"/>
    <w:semiHidden/>
    <w:rsid w:val="009C3E0F"/>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FA274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274E"/>
    <w:rPr>
      <w:rFonts w:ascii="Segoe UI" w:eastAsia="SimSun" w:hAnsi="Segoe UI" w:cs="Segoe UI"/>
      <w:sz w:val="18"/>
      <w:szCs w:val="18"/>
    </w:rPr>
  </w:style>
  <w:style w:type="paragraph" w:styleId="Footer">
    <w:name w:val="footer"/>
    <w:basedOn w:val="Normal"/>
    <w:link w:val="FooterChar"/>
    <w:uiPriority w:val="99"/>
    <w:unhideWhenUsed/>
    <w:rsid w:val="00684A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4AB8"/>
    <w:rPr>
      <w:rFonts w:ascii="Calibri" w:eastAsia="SimSun" w:hAnsi="Calibri" w:cs="Times New Roman"/>
    </w:rPr>
  </w:style>
  <w:style w:type="paragraph" w:customStyle="1" w:styleId="Doc-title">
    <w:name w:val="Doc-title"/>
    <w:basedOn w:val="Normal"/>
    <w:next w:val="Normal"/>
    <w:link w:val="Doc-titleChar"/>
    <w:qFormat/>
    <w:rsid w:val="00B87605"/>
    <w:pPr>
      <w:spacing w:before="60" w:after="0" w:line="240" w:lineRule="auto"/>
      <w:ind w:left="1259" w:hanging="1259"/>
    </w:pPr>
    <w:rPr>
      <w:rFonts w:ascii="Arial" w:eastAsia="MS Mincho" w:hAnsi="Arial"/>
      <w:noProof/>
      <w:sz w:val="20"/>
      <w:szCs w:val="24"/>
      <w:lang w:val="en-GB" w:eastAsia="en-GB"/>
    </w:rPr>
  </w:style>
  <w:style w:type="character" w:customStyle="1" w:styleId="Doc-titleChar">
    <w:name w:val="Doc-title Char"/>
    <w:link w:val="Doc-title"/>
    <w:qFormat/>
    <w:rsid w:val="00B87605"/>
    <w:rPr>
      <w:rFonts w:ascii="Arial" w:eastAsia="MS Mincho" w:hAnsi="Arial" w:cs="Times New Roman"/>
      <w:noProof/>
      <w:sz w:val="20"/>
      <w:szCs w:val="24"/>
      <w:lang w:val="en-GB" w:eastAsia="en-GB"/>
    </w:rPr>
  </w:style>
  <w:style w:type="paragraph" w:styleId="NoSpacing">
    <w:name w:val="No Spacing"/>
    <w:uiPriority w:val="1"/>
    <w:qFormat/>
    <w:rsid w:val="00F17BB9"/>
    <w:pPr>
      <w:widowControl w:val="0"/>
      <w:spacing w:after="0" w:line="240" w:lineRule="auto"/>
      <w:jc w:val="both"/>
    </w:pPr>
    <w:rPr>
      <w:kern w:val="2"/>
      <w:sz w:val="21"/>
    </w:rPr>
  </w:style>
  <w:style w:type="character" w:customStyle="1" w:styleId="apple-converted-space">
    <w:name w:val="apple-converted-space"/>
    <w:qFormat/>
    <w:rsid w:val="00676D24"/>
  </w:style>
  <w:style w:type="character" w:customStyle="1" w:styleId="msoins0">
    <w:name w:val="msoins"/>
    <w:basedOn w:val="DefaultParagraphFont"/>
    <w:rsid w:val="00676D24"/>
  </w:style>
  <w:style w:type="paragraph" w:styleId="BodyText">
    <w:name w:val="Body Text"/>
    <w:basedOn w:val="Normal"/>
    <w:link w:val="BodyTextChar"/>
    <w:uiPriority w:val="99"/>
    <w:semiHidden/>
    <w:unhideWhenUsed/>
    <w:rsid w:val="00676D24"/>
    <w:pPr>
      <w:widowControl w:val="0"/>
      <w:spacing w:after="120" w:line="240" w:lineRule="auto"/>
      <w:jc w:val="both"/>
    </w:pPr>
    <w:rPr>
      <w:rFonts w:asciiTheme="minorHAnsi" w:eastAsiaTheme="minorEastAsia" w:hAnsiTheme="minorHAnsi" w:cstheme="minorBidi"/>
      <w:kern w:val="2"/>
      <w:sz w:val="21"/>
    </w:rPr>
  </w:style>
  <w:style w:type="character" w:customStyle="1" w:styleId="BodyTextChar">
    <w:name w:val="Body Text Char"/>
    <w:basedOn w:val="DefaultParagraphFont"/>
    <w:link w:val="BodyText"/>
    <w:uiPriority w:val="99"/>
    <w:semiHidden/>
    <w:rsid w:val="00676D24"/>
    <w:rPr>
      <w:kern w:val="2"/>
      <w:sz w:val="21"/>
    </w:rPr>
  </w:style>
  <w:style w:type="character" w:styleId="Strong">
    <w:name w:val="Strong"/>
    <w:basedOn w:val="DefaultParagraphFont"/>
    <w:uiPriority w:val="22"/>
    <w:qFormat/>
    <w:rsid w:val="00676D24"/>
    <w:rPr>
      <w:b/>
      <w:bCs/>
    </w:rPr>
  </w:style>
  <w:style w:type="character" w:customStyle="1" w:styleId="Heading3Char">
    <w:name w:val="Heading 3 Char"/>
    <w:basedOn w:val="DefaultParagraphFont"/>
    <w:link w:val="Heading3"/>
    <w:uiPriority w:val="9"/>
    <w:semiHidden/>
    <w:rsid w:val="00F12B0E"/>
    <w:rPr>
      <w:rFonts w:asciiTheme="majorHAnsi" w:eastAsiaTheme="majorEastAsia" w:hAnsiTheme="majorHAnsi" w:cstheme="majorBidi"/>
      <w:color w:val="1F3763" w:themeColor="accent1" w:themeShade="7F"/>
      <w:sz w:val="24"/>
      <w:szCs w:val="24"/>
    </w:rPr>
  </w:style>
  <w:style w:type="paragraph" w:customStyle="1" w:styleId="Proposal">
    <w:name w:val="Proposal"/>
    <w:basedOn w:val="BodyText"/>
    <w:link w:val="ProposalChar"/>
    <w:qFormat/>
    <w:rsid w:val="00F12B0E"/>
    <w:pPr>
      <w:widowControl/>
      <w:numPr>
        <w:numId w:val="7"/>
      </w:numPr>
      <w:tabs>
        <w:tab w:val="clear" w:pos="1304"/>
        <w:tab w:val="left" w:pos="1701"/>
      </w:tabs>
      <w:snapToGrid w:val="0"/>
      <w:spacing w:line="259" w:lineRule="auto"/>
      <w:ind w:left="1701" w:hanging="1701"/>
      <w:jc w:val="left"/>
    </w:pPr>
    <w:rPr>
      <w:rFonts w:ascii="Arial" w:eastAsia="Batang" w:hAnsi="Arial" w:cs="Arial"/>
      <w:b/>
      <w:bCs/>
      <w:kern w:val="0"/>
      <w:sz w:val="20"/>
      <w:szCs w:val="20"/>
      <w:lang w:eastAsia="en-US"/>
    </w:rPr>
  </w:style>
  <w:style w:type="character" w:customStyle="1" w:styleId="ProposalChar">
    <w:name w:val="Proposal Char"/>
    <w:basedOn w:val="DefaultParagraphFont"/>
    <w:link w:val="Proposal"/>
    <w:qFormat/>
    <w:rsid w:val="00F12B0E"/>
    <w:rPr>
      <w:rFonts w:ascii="Arial" w:eastAsia="Batang" w:hAnsi="Arial" w:cs="Arial"/>
      <w:b/>
      <w:bCs/>
      <w:sz w:val="20"/>
      <w:szCs w:val="20"/>
      <w:lang w:eastAsia="en-US"/>
    </w:rPr>
  </w:style>
  <w:style w:type="paragraph" w:customStyle="1" w:styleId="bullet1">
    <w:name w:val="bullet1"/>
    <w:basedOn w:val="Normal"/>
    <w:link w:val="bullet1Char"/>
    <w:qFormat/>
    <w:rsid w:val="00F12B0E"/>
    <w:pPr>
      <w:numPr>
        <w:numId w:val="9"/>
      </w:numPr>
      <w:spacing w:after="0" w:line="240" w:lineRule="auto"/>
    </w:pPr>
    <w:rPr>
      <w:rFonts w:ascii="Times New Roman" w:hAnsi="Times New Roman"/>
      <w:kern w:val="2"/>
      <w:sz w:val="20"/>
      <w:szCs w:val="24"/>
      <w:lang w:val="en-GB"/>
    </w:rPr>
  </w:style>
  <w:style w:type="paragraph" w:customStyle="1" w:styleId="bullet2">
    <w:name w:val="bullet2"/>
    <w:basedOn w:val="Normal"/>
    <w:qFormat/>
    <w:rsid w:val="00F12B0E"/>
    <w:pPr>
      <w:numPr>
        <w:ilvl w:val="1"/>
        <w:numId w:val="9"/>
      </w:numPr>
      <w:spacing w:after="0" w:line="240" w:lineRule="auto"/>
    </w:pPr>
    <w:rPr>
      <w:rFonts w:ascii="Times" w:hAnsi="Times"/>
      <w:kern w:val="2"/>
      <w:sz w:val="24"/>
      <w:szCs w:val="24"/>
      <w:lang w:val="en-GB"/>
    </w:rPr>
  </w:style>
  <w:style w:type="character" w:customStyle="1" w:styleId="bullet1Char">
    <w:name w:val="bullet1 Char"/>
    <w:link w:val="bullet1"/>
    <w:rsid w:val="00F12B0E"/>
    <w:rPr>
      <w:rFonts w:ascii="Times New Roman" w:eastAsia="SimSun" w:hAnsi="Times New Roman" w:cs="Times New Roman"/>
      <w:kern w:val="2"/>
      <w:sz w:val="20"/>
      <w:szCs w:val="24"/>
      <w:lang w:val="en-GB"/>
    </w:rPr>
  </w:style>
  <w:style w:type="paragraph" w:customStyle="1" w:styleId="bullet3">
    <w:name w:val="bullet3"/>
    <w:basedOn w:val="Normal"/>
    <w:qFormat/>
    <w:rsid w:val="00F12B0E"/>
    <w:pPr>
      <w:numPr>
        <w:ilvl w:val="2"/>
        <w:numId w:val="9"/>
      </w:numPr>
      <w:spacing w:after="0" w:line="240" w:lineRule="auto"/>
    </w:pPr>
    <w:rPr>
      <w:rFonts w:ascii="Times" w:eastAsia="Batang" w:hAnsi="Times"/>
      <w:sz w:val="20"/>
      <w:szCs w:val="24"/>
      <w:lang w:val="en-GB" w:eastAsia="en-US"/>
    </w:rPr>
  </w:style>
  <w:style w:type="paragraph" w:customStyle="1" w:styleId="bullet4">
    <w:name w:val="bullet4"/>
    <w:basedOn w:val="Normal"/>
    <w:qFormat/>
    <w:rsid w:val="00F12B0E"/>
    <w:pPr>
      <w:numPr>
        <w:ilvl w:val="3"/>
        <w:numId w:val="9"/>
      </w:numPr>
      <w:spacing w:after="0" w:line="240" w:lineRule="auto"/>
    </w:pPr>
    <w:rPr>
      <w:rFonts w:ascii="Times" w:eastAsia="Batang" w:hAnsi="Times"/>
      <w:sz w:val="20"/>
      <w:szCs w:val="24"/>
      <w:lang w:val="en-GB" w:eastAsia="en-US"/>
    </w:rPr>
  </w:style>
  <w:style w:type="paragraph" w:customStyle="1" w:styleId="TAL">
    <w:name w:val="TAL"/>
    <w:basedOn w:val="Normal"/>
    <w:link w:val="TALCar"/>
    <w:qFormat/>
    <w:rsid w:val="00DF3FF4"/>
    <w:pPr>
      <w:keepNext/>
      <w:keepLines/>
      <w:spacing w:after="160" w:line="259" w:lineRule="auto"/>
    </w:pPr>
    <w:rPr>
      <w:rFonts w:ascii="Arial" w:eastAsiaTheme="minorEastAsia" w:hAnsi="Arial" w:cstheme="minorBidi"/>
      <w:sz w:val="18"/>
      <w:lang w:val="x-none" w:eastAsia="x-none"/>
    </w:rPr>
  </w:style>
  <w:style w:type="character" w:customStyle="1" w:styleId="TALCar">
    <w:name w:val="TAL Car"/>
    <w:link w:val="TAL"/>
    <w:qFormat/>
    <w:rsid w:val="00DF3FF4"/>
    <w:rPr>
      <w:rFonts w:ascii="Arial" w:hAnsi="Arial"/>
      <w:sz w:val="18"/>
      <w:lang w:val="x-none" w:eastAsia="x-none"/>
    </w:rPr>
  </w:style>
  <w:style w:type="character" w:customStyle="1" w:styleId="B1Zchn">
    <w:name w:val="B1 Zchn"/>
    <w:qFormat/>
    <w:rsid w:val="00320BFF"/>
    <w:rPr>
      <w:lang w:val="x-none" w:eastAsia="en-US"/>
    </w:rPr>
  </w:style>
  <w:style w:type="paragraph" w:customStyle="1" w:styleId="0Maintext">
    <w:name w:val="0 Main text"/>
    <w:basedOn w:val="Normal"/>
    <w:link w:val="0MaintextChar"/>
    <w:qFormat/>
    <w:rsid w:val="00B83C50"/>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DefaultParagraphFont"/>
    <w:link w:val="0Maintext"/>
    <w:qFormat/>
    <w:rsid w:val="00B83C50"/>
    <w:rPr>
      <w:rFonts w:ascii="Times New Roman" w:eastAsia="Times New Roman" w:hAnsi="Times New Roman" w:cs="Batang"/>
      <w:sz w:val="20"/>
      <w:szCs w:val="20"/>
      <w:lang w:val="en-GB" w:eastAsia="en-US"/>
    </w:rPr>
  </w:style>
  <w:style w:type="paragraph" w:customStyle="1" w:styleId="CRCoverPage">
    <w:name w:val="CR Cover Page"/>
    <w:link w:val="CRCoverPageZchn"/>
    <w:rsid w:val="00CD49AB"/>
    <w:pPr>
      <w:spacing w:after="120" w:line="240" w:lineRule="auto"/>
    </w:pPr>
    <w:rPr>
      <w:rFonts w:ascii="Arial" w:eastAsia="Batang" w:hAnsi="Arial" w:cs="Times New Roman"/>
      <w:sz w:val="20"/>
      <w:szCs w:val="20"/>
      <w:lang w:val="en-GB" w:eastAsia="en-US"/>
    </w:rPr>
  </w:style>
  <w:style w:type="character" w:customStyle="1" w:styleId="CRCoverPageZchn">
    <w:name w:val="CR Cover Page Zchn"/>
    <w:link w:val="CRCoverPage"/>
    <w:rsid w:val="00CD49AB"/>
    <w:rPr>
      <w:rFonts w:ascii="Arial" w:eastAsia="Batang" w:hAnsi="Arial" w:cs="Times New Roman"/>
      <w:sz w:val="20"/>
      <w:szCs w:val="20"/>
      <w:lang w:val="en-GB" w:eastAsia="en-US"/>
    </w:rPr>
  </w:style>
  <w:style w:type="paragraph" w:customStyle="1" w:styleId="xmsonormal">
    <w:name w:val="x_msonormal"/>
    <w:basedOn w:val="Normal"/>
    <w:qFormat/>
    <w:rsid w:val="005E7B1F"/>
    <w:pPr>
      <w:spacing w:after="0" w:line="240" w:lineRule="auto"/>
    </w:pPr>
    <w:rPr>
      <w:rFonts w:eastAsia="Calibri" w:cs="Calibri"/>
      <w:lang w:eastAsia="en-US"/>
    </w:rPr>
  </w:style>
  <w:style w:type="paragraph" w:customStyle="1" w:styleId="xx0maintext">
    <w:name w:val="x_x0maintext"/>
    <w:basedOn w:val="Normal"/>
    <w:uiPriority w:val="99"/>
    <w:rsid w:val="005E7B1F"/>
    <w:pPr>
      <w:spacing w:after="0" w:line="240" w:lineRule="auto"/>
    </w:pPr>
    <w:rPr>
      <w:rFonts w:ascii="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35635">
      <w:bodyDiv w:val="1"/>
      <w:marLeft w:val="0"/>
      <w:marRight w:val="0"/>
      <w:marTop w:val="0"/>
      <w:marBottom w:val="0"/>
      <w:divBdr>
        <w:top w:val="none" w:sz="0" w:space="0" w:color="auto"/>
        <w:left w:val="none" w:sz="0" w:space="0" w:color="auto"/>
        <w:bottom w:val="none" w:sz="0" w:space="0" w:color="auto"/>
        <w:right w:val="none" w:sz="0" w:space="0" w:color="auto"/>
      </w:divBdr>
    </w:div>
    <w:div w:id="321276747">
      <w:bodyDiv w:val="1"/>
      <w:marLeft w:val="0"/>
      <w:marRight w:val="0"/>
      <w:marTop w:val="0"/>
      <w:marBottom w:val="0"/>
      <w:divBdr>
        <w:top w:val="none" w:sz="0" w:space="0" w:color="auto"/>
        <w:left w:val="none" w:sz="0" w:space="0" w:color="auto"/>
        <w:bottom w:val="none" w:sz="0" w:space="0" w:color="auto"/>
        <w:right w:val="none" w:sz="0" w:space="0" w:color="auto"/>
      </w:divBdr>
      <w:divsChild>
        <w:div w:id="490828749">
          <w:marLeft w:val="1166"/>
          <w:marRight w:val="0"/>
          <w:marTop w:val="0"/>
          <w:marBottom w:val="120"/>
          <w:divBdr>
            <w:top w:val="none" w:sz="0" w:space="0" w:color="auto"/>
            <w:left w:val="none" w:sz="0" w:space="0" w:color="auto"/>
            <w:bottom w:val="none" w:sz="0" w:space="0" w:color="auto"/>
            <w:right w:val="none" w:sz="0" w:space="0" w:color="auto"/>
          </w:divBdr>
        </w:div>
        <w:div w:id="1353263795">
          <w:marLeft w:val="1800"/>
          <w:marRight w:val="0"/>
          <w:marTop w:val="0"/>
          <w:marBottom w:val="120"/>
          <w:divBdr>
            <w:top w:val="none" w:sz="0" w:space="0" w:color="auto"/>
            <w:left w:val="none" w:sz="0" w:space="0" w:color="auto"/>
            <w:bottom w:val="none" w:sz="0" w:space="0" w:color="auto"/>
            <w:right w:val="none" w:sz="0" w:space="0" w:color="auto"/>
          </w:divBdr>
        </w:div>
        <w:div w:id="1109936972">
          <w:marLeft w:val="1800"/>
          <w:marRight w:val="0"/>
          <w:marTop w:val="0"/>
          <w:marBottom w:val="120"/>
          <w:divBdr>
            <w:top w:val="none" w:sz="0" w:space="0" w:color="auto"/>
            <w:left w:val="none" w:sz="0" w:space="0" w:color="auto"/>
            <w:bottom w:val="none" w:sz="0" w:space="0" w:color="auto"/>
            <w:right w:val="none" w:sz="0" w:space="0" w:color="auto"/>
          </w:divBdr>
        </w:div>
        <w:div w:id="152307561">
          <w:marLeft w:val="1166"/>
          <w:marRight w:val="0"/>
          <w:marTop w:val="0"/>
          <w:marBottom w:val="120"/>
          <w:divBdr>
            <w:top w:val="none" w:sz="0" w:space="0" w:color="auto"/>
            <w:left w:val="none" w:sz="0" w:space="0" w:color="auto"/>
            <w:bottom w:val="none" w:sz="0" w:space="0" w:color="auto"/>
            <w:right w:val="none" w:sz="0" w:space="0" w:color="auto"/>
          </w:divBdr>
        </w:div>
        <w:div w:id="1517113965">
          <w:marLeft w:val="1800"/>
          <w:marRight w:val="0"/>
          <w:marTop w:val="0"/>
          <w:marBottom w:val="120"/>
          <w:divBdr>
            <w:top w:val="none" w:sz="0" w:space="0" w:color="auto"/>
            <w:left w:val="none" w:sz="0" w:space="0" w:color="auto"/>
            <w:bottom w:val="none" w:sz="0" w:space="0" w:color="auto"/>
            <w:right w:val="none" w:sz="0" w:space="0" w:color="auto"/>
          </w:divBdr>
        </w:div>
        <w:div w:id="1485777392">
          <w:marLeft w:val="2520"/>
          <w:marRight w:val="0"/>
          <w:marTop w:val="0"/>
          <w:marBottom w:val="120"/>
          <w:divBdr>
            <w:top w:val="none" w:sz="0" w:space="0" w:color="auto"/>
            <w:left w:val="none" w:sz="0" w:space="0" w:color="auto"/>
            <w:bottom w:val="none" w:sz="0" w:space="0" w:color="auto"/>
            <w:right w:val="none" w:sz="0" w:space="0" w:color="auto"/>
          </w:divBdr>
        </w:div>
        <w:div w:id="1655135443">
          <w:marLeft w:val="1800"/>
          <w:marRight w:val="0"/>
          <w:marTop w:val="0"/>
          <w:marBottom w:val="120"/>
          <w:divBdr>
            <w:top w:val="none" w:sz="0" w:space="0" w:color="auto"/>
            <w:left w:val="none" w:sz="0" w:space="0" w:color="auto"/>
            <w:bottom w:val="none" w:sz="0" w:space="0" w:color="auto"/>
            <w:right w:val="none" w:sz="0" w:space="0" w:color="auto"/>
          </w:divBdr>
        </w:div>
        <w:div w:id="1763988072">
          <w:marLeft w:val="1166"/>
          <w:marRight w:val="0"/>
          <w:marTop w:val="0"/>
          <w:marBottom w:val="120"/>
          <w:divBdr>
            <w:top w:val="none" w:sz="0" w:space="0" w:color="auto"/>
            <w:left w:val="none" w:sz="0" w:space="0" w:color="auto"/>
            <w:bottom w:val="none" w:sz="0" w:space="0" w:color="auto"/>
            <w:right w:val="none" w:sz="0" w:space="0" w:color="auto"/>
          </w:divBdr>
        </w:div>
        <w:div w:id="1665468529">
          <w:marLeft w:val="1800"/>
          <w:marRight w:val="0"/>
          <w:marTop w:val="0"/>
          <w:marBottom w:val="120"/>
          <w:divBdr>
            <w:top w:val="none" w:sz="0" w:space="0" w:color="auto"/>
            <w:left w:val="none" w:sz="0" w:space="0" w:color="auto"/>
            <w:bottom w:val="none" w:sz="0" w:space="0" w:color="auto"/>
            <w:right w:val="none" w:sz="0" w:space="0" w:color="auto"/>
          </w:divBdr>
        </w:div>
        <w:div w:id="1815490635">
          <w:marLeft w:val="1800"/>
          <w:marRight w:val="0"/>
          <w:marTop w:val="0"/>
          <w:marBottom w:val="120"/>
          <w:divBdr>
            <w:top w:val="none" w:sz="0" w:space="0" w:color="auto"/>
            <w:left w:val="none" w:sz="0" w:space="0" w:color="auto"/>
            <w:bottom w:val="none" w:sz="0" w:space="0" w:color="auto"/>
            <w:right w:val="none" w:sz="0" w:space="0" w:color="auto"/>
          </w:divBdr>
        </w:div>
        <w:div w:id="2021157037">
          <w:marLeft w:val="1800"/>
          <w:marRight w:val="0"/>
          <w:marTop w:val="0"/>
          <w:marBottom w:val="120"/>
          <w:divBdr>
            <w:top w:val="none" w:sz="0" w:space="0" w:color="auto"/>
            <w:left w:val="none" w:sz="0" w:space="0" w:color="auto"/>
            <w:bottom w:val="none" w:sz="0" w:space="0" w:color="auto"/>
            <w:right w:val="none" w:sz="0" w:space="0" w:color="auto"/>
          </w:divBdr>
        </w:div>
        <w:div w:id="181168108">
          <w:marLeft w:val="2520"/>
          <w:marRight w:val="0"/>
          <w:marTop w:val="0"/>
          <w:marBottom w:val="120"/>
          <w:divBdr>
            <w:top w:val="none" w:sz="0" w:space="0" w:color="auto"/>
            <w:left w:val="none" w:sz="0" w:space="0" w:color="auto"/>
            <w:bottom w:val="none" w:sz="0" w:space="0" w:color="auto"/>
            <w:right w:val="none" w:sz="0" w:space="0" w:color="auto"/>
          </w:divBdr>
        </w:div>
        <w:div w:id="99108476">
          <w:marLeft w:val="1800"/>
          <w:marRight w:val="0"/>
          <w:marTop w:val="0"/>
          <w:marBottom w:val="120"/>
          <w:divBdr>
            <w:top w:val="none" w:sz="0" w:space="0" w:color="auto"/>
            <w:left w:val="none" w:sz="0" w:space="0" w:color="auto"/>
            <w:bottom w:val="none" w:sz="0" w:space="0" w:color="auto"/>
            <w:right w:val="none" w:sz="0" w:space="0" w:color="auto"/>
          </w:divBdr>
        </w:div>
      </w:divsChild>
    </w:div>
    <w:div w:id="610816137">
      <w:bodyDiv w:val="1"/>
      <w:marLeft w:val="0"/>
      <w:marRight w:val="0"/>
      <w:marTop w:val="0"/>
      <w:marBottom w:val="0"/>
      <w:divBdr>
        <w:top w:val="none" w:sz="0" w:space="0" w:color="auto"/>
        <w:left w:val="none" w:sz="0" w:space="0" w:color="auto"/>
        <w:bottom w:val="none" w:sz="0" w:space="0" w:color="auto"/>
        <w:right w:val="none" w:sz="0" w:space="0" w:color="auto"/>
      </w:divBdr>
    </w:div>
    <w:div w:id="777063532">
      <w:bodyDiv w:val="1"/>
      <w:marLeft w:val="0"/>
      <w:marRight w:val="0"/>
      <w:marTop w:val="0"/>
      <w:marBottom w:val="0"/>
      <w:divBdr>
        <w:top w:val="none" w:sz="0" w:space="0" w:color="auto"/>
        <w:left w:val="none" w:sz="0" w:space="0" w:color="auto"/>
        <w:bottom w:val="none" w:sz="0" w:space="0" w:color="auto"/>
        <w:right w:val="none" w:sz="0" w:space="0" w:color="auto"/>
      </w:divBdr>
      <w:divsChild>
        <w:div w:id="221255684">
          <w:marLeft w:val="1166"/>
          <w:marRight w:val="0"/>
          <w:marTop w:val="0"/>
          <w:marBottom w:val="120"/>
          <w:divBdr>
            <w:top w:val="none" w:sz="0" w:space="0" w:color="auto"/>
            <w:left w:val="none" w:sz="0" w:space="0" w:color="auto"/>
            <w:bottom w:val="none" w:sz="0" w:space="0" w:color="auto"/>
            <w:right w:val="none" w:sz="0" w:space="0" w:color="auto"/>
          </w:divBdr>
        </w:div>
        <w:div w:id="13197136">
          <w:marLeft w:val="1800"/>
          <w:marRight w:val="0"/>
          <w:marTop w:val="0"/>
          <w:marBottom w:val="120"/>
          <w:divBdr>
            <w:top w:val="none" w:sz="0" w:space="0" w:color="auto"/>
            <w:left w:val="none" w:sz="0" w:space="0" w:color="auto"/>
            <w:bottom w:val="none" w:sz="0" w:space="0" w:color="auto"/>
            <w:right w:val="none" w:sz="0" w:space="0" w:color="auto"/>
          </w:divBdr>
        </w:div>
        <w:div w:id="873889540">
          <w:marLeft w:val="1800"/>
          <w:marRight w:val="0"/>
          <w:marTop w:val="0"/>
          <w:marBottom w:val="120"/>
          <w:divBdr>
            <w:top w:val="none" w:sz="0" w:space="0" w:color="auto"/>
            <w:left w:val="none" w:sz="0" w:space="0" w:color="auto"/>
            <w:bottom w:val="none" w:sz="0" w:space="0" w:color="auto"/>
            <w:right w:val="none" w:sz="0" w:space="0" w:color="auto"/>
          </w:divBdr>
        </w:div>
        <w:div w:id="1324163751">
          <w:marLeft w:val="1166"/>
          <w:marRight w:val="0"/>
          <w:marTop w:val="0"/>
          <w:marBottom w:val="120"/>
          <w:divBdr>
            <w:top w:val="none" w:sz="0" w:space="0" w:color="auto"/>
            <w:left w:val="none" w:sz="0" w:space="0" w:color="auto"/>
            <w:bottom w:val="none" w:sz="0" w:space="0" w:color="auto"/>
            <w:right w:val="none" w:sz="0" w:space="0" w:color="auto"/>
          </w:divBdr>
        </w:div>
        <w:div w:id="1672752618">
          <w:marLeft w:val="1800"/>
          <w:marRight w:val="0"/>
          <w:marTop w:val="0"/>
          <w:marBottom w:val="120"/>
          <w:divBdr>
            <w:top w:val="none" w:sz="0" w:space="0" w:color="auto"/>
            <w:left w:val="none" w:sz="0" w:space="0" w:color="auto"/>
            <w:bottom w:val="none" w:sz="0" w:space="0" w:color="auto"/>
            <w:right w:val="none" w:sz="0" w:space="0" w:color="auto"/>
          </w:divBdr>
        </w:div>
        <w:div w:id="252134178">
          <w:marLeft w:val="2520"/>
          <w:marRight w:val="0"/>
          <w:marTop w:val="0"/>
          <w:marBottom w:val="120"/>
          <w:divBdr>
            <w:top w:val="none" w:sz="0" w:space="0" w:color="auto"/>
            <w:left w:val="none" w:sz="0" w:space="0" w:color="auto"/>
            <w:bottom w:val="none" w:sz="0" w:space="0" w:color="auto"/>
            <w:right w:val="none" w:sz="0" w:space="0" w:color="auto"/>
          </w:divBdr>
        </w:div>
        <w:div w:id="1627925799">
          <w:marLeft w:val="1800"/>
          <w:marRight w:val="0"/>
          <w:marTop w:val="0"/>
          <w:marBottom w:val="120"/>
          <w:divBdr>
            <w:top w:val="none" w:sz="0" w:space="0" w:color="auto"/>
            <w:left w:val="none" w:sz="0" w:space="0" w:color="auto"/>
            <w:bottom w:val="none" w:sz="0" w:space="0" w:color="auto"/>
            <w:right w:val="none" w:sz="0" w:space="0" w:color="auto"/>
          </w:divBdr>
        </w:div>
        <w:div w:id="1106392091">
          <w:marLeft w:val="1166"/>
          <w:marRight w:val="0"/>
          <w:marTop w:val="0"/>
          <w:marBottom w:val="120"/>
          <w:divBdr>
            <w:top w:val="none" w:sz="0" w:space="0" w:color="auto"/>
            <w:left w:val="none" w:sz="0" w:space="0" w:color="auto"/>
            <w:bottom w:val="none" w:sz="0" w:space="0" w:color="auto"/>
            <w:right w:val="none" w:sz="0" w:space="0" w:color="auto"/>
          </w:divBdr>
        </w:div>
        <w:div w:id="1620797693">
          <w:marLeft w:val="1800"/>
          <w:marRight w:val="0"/>
          <w:marTop w:val="0"/>
          <w:marBottom w:val="120"/>
          <w:divBdr>
            <w:top w:val="none" w:sz="0" w:space="0" w:color="auto"/>
            <w:left w:val="none" w:sz="0" w:space="0" w:color="auto"/>
            <w:bottom w:val="none" w:sz="0" w:space="0" w:color="auto"/>
            <w:right w:val="none" w:sz="0" w:space="0" w:color="auto"/>
          </w:divBdr>
        </w:div>
        <w:div w:id="2049449696">
          <w:marLeft w:val="1800"/>
          <w:marRight w:val="0"/>
          <w:marTop w:val="0"/>
          <w:marBottom w:val="120"/>
          <w:divBdr>
            <w:top w:val="none" w:sz="0" w:space="0" w:color="auto"/>
            <w:left w:val="none" w:sz="0" w:space="0" w:color="auto"/>
            <w:bottom w:val="none" w:sz="0" w:space="0" w:color="auto"/>
            <w:right w:val="none" w:sz="0" w:space="0" w:color="auto"/>
          </w:divBdr>
        </w:div>
        <w:div w:id="936056393">
          <w:marLeft w:val="1800"/>
          <w:marRight w:val="0"/>
          <w:marTop w:val="0"/>
          <w:marBottom w:val="120"/>
          <w:divBdr>
            <w:top w:val="none" w:sz="0" w:space="0" w:color="auto"/>
            <w:left w:val="none" w:sz="0" w:space="0" w:color="auto"/>
            <w:bottom w:val="none" w:sz="0" w:space="0" w:color="auto"/>
            <w:right w:val="none" w:sz="0" w:space="0" w:color="auto"/>
          </w:divBdr>
        </w:div>
        <w:div w:id="230966453">
          <w:marLeft w:val="2520"/>
          <w:marRight w:val="0"/>
          <w:marTop w:val="0"/>
          <w:marBottom w:val="120"/>
          <w:divBdr>
            <w:top w:val="none" w:sz="0" w:space="0" w:color="auto"/>
            <w:left w:val="none" w:sz="0" w:space="0" w:color="auto"/>
            <w:bottom w:val="none" w:sz="0" w:space="0" w:color="auto"/>
            <w:right w:val="none" w:sz="0" w:space="0" w:color="auto"/>
          </w:divBdr>
        </w:div>
        <w:div w:id="211425299">
          <w:marLeft w:val="1800"/>
          <w:marRight w:val="0"/>
          <w:marTop w:val="0"/>
          <w:marBottom w:val="120"/>
          <w:divBdr>
            <w:top w:val="none" w:sz="0" w:space="0" w:color="auto"/>
            <w:left w:val="none" w:sz="0" w:space="0" w:color="auto"/>
            <w:bottom w:val="none" w:sz="0" w:space="0" w:color="auto"/>
            <w:right w:val="none" w:sz="0" w:space="0" w:color="auto"/>
          </w:divBdr>
        </w:div>
      </w:divsChild>
    </w:div>
    <w:div w:id="841360261">
      <w:bodyDiv w:val="1"/>
      <w:marLeft w:val="0"/>
      <w:marRight w:val="0"/>
      <w:marTop w:val="0"/>
      <w:marBottom w:val="0"/>
      <w:divBdr>
        <w:top w:val="none" w:sz="0" w:space="0" w:color="auto"/>
        <w:left w:val="none" w:sz="0" w:space="0" w:color="auto"/>
        <w:bottom w:val="none" w:sz="0" w:space="0" w:color="auto"/>
        <w:right w:val="none" w:sz="0" w:space="0" w:color="auto"/>
      </w:divBdr>
      <w:divsChild>
        <w:div w:id="1680933371">
          <w:marLeft w:val="547"/>
          <w:marRight w:val="0"/>
          <w:marTop w:val="58"/>
          <w:marBottom w:val="0"/>
          <w:divBdr>
            <w:top w:val="none" w:sz="0" w:space="0" w:color="auto"/>
            <w:left w:val="none" w:sz="0" w:space="0" w:color="auto"/>
            <w:bottom w:val="none" w:sz="0" w:space="0" w:color="auto"/>
            <w:right w:val="none" w:sz="0" w:space="0" w:color="auto"/>
          </w:divBdr>
        </w:div>
        <w:div w:id="1040209949">
          <w:marLeft w:val="1166"/>
          <w:marRight w:val="0"/>
          <w:marTop w:val="58"/>
          <w:marBottom w:val="0"/>
          <w:divBdr>
            <w:top w:val="none" w:sz="0" w:space="0" w:color="auto"/>
            <w:left w:val="none" w:sz="0" w:space="0" w:color="auto"/>
            <w:bottom w:val="none" w:sz="0" w:space="0" w:color="auto"/>
            <w:right w:val="none" w:sz="0" w:space="0" w:color="auto"/>
          </w:divBdr>
        </w:div>
        <w:div w:id="1834760184">
          <w:marLeft w:val="1800"/>
          <w:marRight w:val="0"/>
          <w:marTop w:val="58"/>
          <w:marBottom w:val="0"/>
          <w:divBdr>
            <w:top w:val="none" w:sz="0" w:space="0" w:color="auto"/>
            <w:left w:val="none" w:sz="0" w:space="0" w:color="auto"/>
            <w:bottom w:val="none" w:sz="0" w:space="0" w:color="auto"/>
            <w:right w:val="none" w:sz="0" w:space="0" w:color="auto"/>
          </w:divBdr>
        </w:div>
        <w:div w:id="802623643">
          <w:marLeft w:val="1800"/>
          <w:marRight w:val="0"/>
          <w:marTop w:val="58"/>
          <w:marBottom w:val="0"/>
          <w:divBdr>
            <w:top w:val="none" w:sz="0" w:space="0" w:color="auto"/>
            <w:left w:val="none" w:sz="0" w:space="0" w:color="auto"/>
            <w:bottom w:val="none" w:sz="0" w:space="0" w:color="auto"/>
            <w:right w:val="none" w:sz="0" w:space="0" w:color="auto"/>
          </w:divBdr>
        </w:div>
        <w:div w:id="1438453172">
          <w:marLeft w:val="1800"/>
          <w:marRight w:val="0"/>
          <w:marTop w:val="58"/>
          <w:marBottom w:val="0"/>
          <w:divBdr>
            <w:top w:val="none" w:sz="0" w:space="0" w:color="auto"/>
            <w:left w:val="none" w:sz="0" w:space="0" w:color="auto"/>
            <w:bottom w:val="none" w:sz="0" w:space="0" w:color="auto"/>
            <w:right w:val="none" w:sz="0" w:space="0" w:color="auto"/>
          </w:divBdr>
        </w:div>
        <w:div w:id="103115985">
          <w:marLeft w:val="2520"/>
          <w:marRight w:val="0"/>
          <w:marTop w:val="58"/>
          <w:marBottom w:val="0"/>
          <w:divBdr>
            <w:top w:val="none" w:sz="0" w:space="0" w:color="auto"/>
            <w:left w:val="none" w:sz="0" w:space="0" w:color="auto"/>
            <w:bottom w:val="none" w:sz="0" w:space="0" w:color="auto"/>
            <w:right w:val="none" w:sz="0" w:space="0" w:color="auto"/>
          </w:divBdr>
        </w:div>
        <w:div w:id="1142423907">
          <w:marLeft w:val="2520"/>
          <w:marRight w:val="0"/>
          <w:marTop w:val="58"/>
          <w:marBottom w:val="0"/>
          <w:divBdr>
            <w:top w:val="none" w:sz="0" w:space="0" w:color="auto"/>
            <w:left w:val="none" w:sz="0" w:space="0" w:color="auto"/>
            <w:bottom w:val="none" w:sz="0" w:space="0" w:color="auto"/>
            <w:right w:val="none" w:sz="0" w:space="0" w:color="auto"/>
          </w:divBdr>
        </w:div>
      </w:divsChild>
    </w:div>
    <w:div w:id="892695982">
      <w:bodyDiv w:val="1"/>
      <w:marLeft w:val="0"/>
      <w:marRight w:val="0"/>
      <w:marTop w:val="0"/>
      <w:marBottom w:val="0"/>
      <w:divBdr>
        <w:top w:val="none" w:sz="0" w:space="0" w:color="auto"/>
        <w:left w:val="none" w:sz="0" w:space="0" w:color="auto"/>
        <w:bottom w:val="none" w:sz="0" w:space="0" w:color="auto"/>
        <w:right w:val="none" w:sz="0" w:space="0" w:color="auto"/>
      </w:divBdr>
      <w:divsChild>
        <w:div w:id="1448885731">
          <w:marLeft w:val="547"/>
          <w:marRight w:val="0"/>
          <w:marTop w:val="58"/>
          <w:marBottom w:val="0"/>
          <w:divBdr>
            <w:top w:val="none" w:sz="0" w:space="0" w:color="auto"/>
            <w:left w:val="none" w:sz="0" w:space="0" w:color="auto"/>
            <w:bottom w:val="none" w:sz="0" w:space="0" w:color="auto"/>
            <w:right w:val="none" w:sz="0" w:space="0" w:color="auto"/>
          </w:divBdr>
        </w:div>
        <w:div w:id="2069567985">
          <w:marLeft w:val="1166"/>
          <w:marRight w:val="0"/>
          <w:marTop w:val="58"/>
          <w:marBottom w:val="0"/>
          <w:divBdr>
            <w:top w:val="none" w:sz="0" w:space="0" w:color="auto"/>
            <w:left w:val="none" w:sz="0" w:space="0" w:color="auto"/>
            <w:bottom w:val="none" w:sz="0" w:space="0" w:color="auto"/>
            <w:right w:val="none" w:sz="0" w:space="0" w:color="auto"/>
          </w:divBdr>
        </w:div>
        <w:div w:id="1319655951">
          <w:marLeft w:val="1800"/>
          <w:marRight w:val="0"/>
          <w:marTop w:val="58"/>
          <w:marBottom w:val="0"/>
          <w:divBdr>
            <w:top w:val="none" w:sz="0" w:space="0" w:color="auto"/>
            <w:left w:val="none" w:sz="0" w:space="0" w:color="auto"/>
            <w:bottom w:val="none" w:sz="0" w:space="0" w:color="auto"/>
            <w:right w:val="none" w:sz="0" w:space="0" w:color="auto"/>
          </w:divBdr>
        </w:div>
        <w:div w:id="596409356">
          <w:marLeft w:val="1800"/>
          <w:marRight w:val="0"/>
          <w:marTop w:val="58"/>
          <w:marBottom w:val="0"/>
          <w:divBdr>
            <w:top w:val="none" w:sz="0" w:space="0" w:color="auto"/>
            <w:left w:val="none" w:sz="0" w:space="0" w:color="auto"/>
            <w:bottom w:val="none" w:sz="0" w:space="0" w:color="auto"/>
            <w:right w:val="none" w:sz="0" w:space="0" w:color="auto"/>
          </w:divBdr>
        </w:div>
        <w:div w:id="1297688364">
          <w:marLeft w:val="1800"/>
          <w:marRight w:val="0"/>
          <w:marTop w:val="58"/>
          <w:marBottom w:val="0"/>
          <w:divBdr>
            <w:top w:val="none" w:sz="0" w:space="0" w:color="auto"/>
            <w:left w:val="none" w:sz="0" w:space="0" w:color="auto"/>
            <w:bottom w:val="none" w:sz="0" w:space="0" w:color="auto"/>
            <w:right w:val="none" w:sz="0" w:space="0" w:color="auto"/>
          </w:divBdr>
        </w:div>
        <w:div w:id="1211264982">
          <w:marLeft w:val="2520"/>
          <w:marRight w:val="0"/>
          <w:marTop w:val="58"/>
          <w:marBottom w:val="0"/>
          <w:divBdr>
            <w:top w:val="none" w:sz="0" w:space="0" w:color="auto"/>
            <w:left w:val="none" w:sz="0" w:space="0" w:color="auto"/>
            <w:bottom w:val="none" w:sz="0" w:space="0" w:color="auto"/>
            <w:right w:val="none" w:sz="0" w:space="0" w:color="auto"/>
          </w:divBdr>
        </w:div>
        <w:div w:id="857547930">
          <w:marLeft w:val="2520"/>
          <w:marRight w:val="0"/>
          <w:marTop w:val="58"/>
          <w:marBottom w:val="0"/>
          <w:divBdr>
            <w:top w:val="none" w:sz="0" w:space="0" w:color="auto"/>
            <w:left w:val="none" w:sz="0" w:space="0" w:color="auto"/>
            <w:bottom w:val="none" w:sz="0" w:space="0" w:color="auto"/>
            <w:right w:val="none" w:sz="0" w:space="0" w:color="auto"/>
          </w:divBdr>
        </w:div>
      </w:divsChild>
    </w:div>
    <w:div w:id="979307304">
      <w:bodyDiv w:val="1"/>
      <w:marLeft w:val="0"/>
      <w:marRight w:val="0"/>
      <w:marTop w:val="0"/>
      <w:marBottom w:val="0"/>
      <w:divBdr>
        <w:top w:val="none" w:sz="0" w:space="0" w:color="auto"/>
        <w:left w:val="none" w:sz="0" w:space="0" w:color="auto"/>
        <w:bottom w:val="none" w:sz="0" w:space="0" w:color="auto"/>
        <w:right w:val="none" w:sz="0" w:space="0" w:color="auto"/>
      </w:divBdr>
      <w:divsChild>
        <w:div w:id="791703955">
          <w:marLeft w:val="547"/>
          <w:marRight w:val="0"/>
          <w:marTop w:val="67"/>
          <w:marBottom w:val="0"/>
          <w:divBdr>
            <w:top w:val="none" w:sz="0" w:space="0" w:color="auto"/>
            <w:left w:val="none" w:sz="0" w:space="0" w:color="auto"/>
            <w:bottom w:val="none" w:sz="0" w:space="0" w:color="auto"/>
            <w:right w:val="none" w:sz="0" w:space="0" w:color="auto"/>
          </w:divBdr>
        </w:div>
        <w:div w:id="120147860">
          <w:marLeft w:val="1166"/>
          <w:marRight w:val="0"/>
          <w:marTop w:val="67"/>
          <w:marBottom w:val="0"/>
          <w:divBdr>
            <w:top w:val="none" w:sz="0" w:space="0" w:color="auto"/>
            <w:left w:val="none" w:sz="0" w:space="0" w:color="auto"/>
            <w:bottom w:val="none" w:sz="0" w:space="0" w:color="auto"/>
            <w:right w:val="none" w:sz="0" w:space="0" w:color="auto"/>
          </w:divBdr>
        </w:div>
        <w:div w:id="1644504615">
          <w:marLeft w:val="1800"/>
          <w:marRight w:val="0"/>
          <w:marTop w:val="67"/>
          <w:marBottom w:val="0"/>
          <w:divBdr>
            <w:top w:val="none" w:sz="0" w:space="0" w:color="auto"/>
            <w:left w:val="none" w:sz="0" w:space="0" w:color="auto"/>
            <w:bottom w:val="none" w:sz="0" w:space="0" w:color="auto"/>
            <w:right w:val="none" w:sz="0" w:space="0" w:color="auto"/>
          </w:divBdr>
        </w:div>
        <w:div w:id="1272594625">
          <w:marLeft w:val="2520"/>
          <w:marRight w:val="0"/>
          <w:marTop w:val="67"/>
          <w:marBottom w:val="0"/>
          <w:divBdr>
            <w:top w:val="none" w:sz="0" w:space="0" w:color="auto"/>
            <w:left w:val="none" w:sz="0" w:space="0" w:color="auto"/>
            <w:bottom w:val="none" w:sz="0" w:space="0" w:color="auto"/>
            <w:right w:val="none" w:sz="0" w:space="0" w:color="auto"/>
          </w:divBdr>
        </w:div>
      </w:divsChild>
    </w:div>
    <w:div w:id="1007244295">
      <w:bodyDiv w:val="1"/>
      <w:marLeft w:val="0"/>
      <w:marRight w:val="0"/>
      <w:marTop w:val="0"/>
      <w:marBottom w:val="0"/>
      <w:divBdr>
        <w:top w:val="none" w:sz="0" w:space="0" w:color="auto"/>
        <w:left w:val="none" w:sz="0" w:space="0" w:color="auto"/>
        <w:bottom w:val="none" w:sz="0" w:space="0" w:color="auto"/>
        <w:right w:val="none" w:sz="0" w:space="0" w:color="auto"/>
      </w:divBdr>
      <w:divsChild>
        <w:div w:id="882133689">
          <w:marLeft w:val="1166"/>
          <w:marRight w:val="0"/>
          <w:marTop w:val="0"/>
          <w:marBottom w:val="120"/>
          <w:divBdr>
            <w:top w:val="none" w:sz="0" w:space="0" w:color="auto"/>
            <w:left w:val="none" w:sz="0" w:space="0" w:color="auto"/>
            <w:bottom w:val="none" w:sz="0" w:space="0" w:color="auto"/>
            <w:right w:val="none" w:sz="0" w:space="0" w:color="auto"/>
          </w:divBdr>
        </w:div>
        <w:div w:id="2095742100">
          <w:marLeft w:val="1800"/>
          <w:marRight w:val="0"/>
          <w:marTop w:val="0"/>
          <w:marBottom w:val="120"/>
          <w:divBdr>
            <w:top w:val="none" w:sz="0" w:space="0" w:color="auto"/>
            <w:left w:val="none" w:sz="0" w:space="0" w:color="auto"/>
            <w:bottom w:val="none" w:sz="0" w:space="0" w:color="auto"/>
            <w:right w:val="none" w:sz="0" w:space="0" w:color="auto"/>
          </w:divBdr>
        </w:div>
        <w:div w:id="725030391">
          <w:marLeft w:val="1800"/>
          <w:marRight w:val="0"/>
          <w:marTop w:val="0"/>
          <w:marBottom w:val="120"/>
          <w:divBdr>
            <w:top w:val="none" w:sz="0" w:space="0" w:color="auto"/>
            <w:left w:val="none" w:sz="0" w:space="0" w:color="auto"/>
            <w:bottom w:val="none" w:sz="0" w:space="0" w:color="auto"/>
            <w:right w:val="none" w:sz="0" w:space="0" w:color="auto"/>
          </w:divBdr>
        </w:div>
        <w:div w:id="652682503">
          <w:marLeft w:val="1166"/>
          <w:marRight w:val="0"/>
          <w:marTop w:val="0"/>
          <w:marBottom w:val="120"/>
          <w:divBdr>
            <w:top w:val="none" w:sz="0" w:space="0" w:color="auto"/>
            <w:left w:val="none" w:sz="0" w:space="0" w:color="auto"/>
            <w:bottom w:val="none" w:sz="0" w:space="0" w:color="auto"/>
            <w:right w:val="none" w:sz="0" w:space="0" w:color="auto"/>
          </w:divBdr>
        </w:div>
        <w:div w:id="998965780">
          <w:marLeft w:val="1800"/>
          <w:marRight w:val="0"/>
          <w:marTop w:val="0"/>
          <w:marBottom w:val="120"/>
          <w:divBdr>
            <w:top w:val="none" w:sz="0" w:space="0" w:color="auto"/>
            <w:left w:val="none" w:sz="0" w:space="0" w:color="auto"/>
            <w:bottom w:val="none" w:sz="0" w:space="0" w:color="auto"/>
            <w:right w:val="none" w:sz="0" w:space="0" w:color="auto"/>
          </w:divBdr>
        </w:div>
        <w:div w:id="2028368653">
          <w:marLeft w:val="2520"/>
          <w:marRight w:val="0"/>
          <w:marTop w:val="0"/>
          <w:marBottom w:val="120"/>
          <w:divBdr>
            <w:top w:val="none" w:sz="0" w:space="0" w:color="auto"/>
            <w:left w:val="none" w:sz="0" w:space="0" w:color="auto"/>
            <w:bottom w:val="none" w:sz="0" w:space="0" w:color="auto"/>
            <w:right w:val="none" w:sz="0" w:space="0" w:color="auto"/>
          </w:divBdr>
        </w:div>
        <w:div w:id="1143814250">
          <w:marLeft w:val="1800"/>
          <w:marRight w:val="0"/>
          <w:marTop w:val="0"/>
          <w:marBottom w:val="120"/>
          <w:divBdr>
            <w:top w:val="none" w:sz="0" w:space="0" w:color="auto"/>
            <w:left w:val="none" w:sz="0" w:space="0" w:color="auto"/>
            <w:bottom w:val="none" w:sz="0" w:space="0" w:color="auto"/>
            <w:right w:val="none" w:sz="0" w:space="0" w:color="auto"/>
          </w:divBdr>
        </w:div>
        <w:div w:id="1007437322">
          <w:marLeft w:val="1166"/>
          <w:marRight w:val="0"/>
          <w:marTop w:val="0"/>
          <w:marBottom w:val="120"/>
          <w:divBdr>
            <w:top w:val="none" w:sz="0" w:space="0" w:color="auto"/>
            <w:left w:val="none" w:sz="0" w:space="0" w:color="auto"/>
            <w:bottom w:val="none" w:sz="0" w:space="0" w:color="auto"/>
            <w:right w:val="none" w:sz="0" w:space="0" w:color="auto"/>
          </w:divBdr>
        </w:div>
        <w:div w:id="1795101607">
          <w:marLeft w:val="1800"/>
          <w:marRight w:val="0"/>
          <w:marTop w:val="0"/>
          <w:marBottom w:val="120"/>
          <w:divBdr>
            <w:top w:val="none" w:sz="0" w:space="0" w:color="auto"/>
            <w:left w:val="none" w:sz="0" w:space="0" w:color="auto"/>
            <w:bottom w:val="none" w:sz="0" w:space="0" w:color="auto"/>
            <w:right w:val="none" w:sz="0" w:space="0" w:color="auto"/>
          </w:divBdr>
        </w:div>
        <w:div w:id="237180987">
          <w:marLeft w:val="1800"/>
          <w:marRight w:val="0"/>
          <w:marTop w:val="0"/>
          <w:marBottom w:val="120"/>
          <w:divBdr>
            <w:top w:val="none" w:sz="0" w:space="0" w:color="auto"/>
            <w:left w:val="none" w:sz="0" w:space="0" w:color="auto"/>
            <w:bottom w:val="none" w:sz="0" w:space="0" w:color="auto"/>
            <w:right w:val="none" w:sz="0" w:space="0" w:color="auto"/>
          </w:divBdr>
        </w:div>
        <w:div w:id="2108765301">
          <w:marLeft w:val="1800"/>
          <w:marRight w:val="0"/>
          <w:marTop w:val="0"/>
          <w:marBottom w:val="120"/>
          <w:divBdr>
            <w:top w:val="none" w:sz="0" w:space="0" w:color="auto"/>
            <w:left w:val="none" w:sz="0" w:space="0" w:color="auto"/>
            <w:bottom w:val="none" w:sz="0" w:space="0" w:color="auto"/>
            <w:right w:val="none" w:sz="0" w:space="0" w:color="auto"/>
          </w:divBdr>
        </w:div>
        <w:div w:id="1751535014">
          <w:marLeft w:val="2520"/>
          <w:marRight w:val="0"/>
          <w:marTop w:val="0"/>
          <w:marBottom w:val="120"/>
          <w:divBdr>
            <w:top w:val="none" w:sz="0" w:space="0" w:color="auto"/>
            <w:left w:val="none" w:sz="0" w:space="0" w:color="auto"/>
            <w:bottom w:val="none" w:sz="0" w:space="0" w:color="auto"/>
            <w:right w:val="none" w:sz="0" w:space="0" w:color="auto"/>
          </w:divBdr>
        </w:div>
        <w:div w:id="1723751068">
          <w:marLeft w:val="1800"/>
          <w:marRight w:val="0"/>
          <w:marTop w:val="0"/>
          <w:marBottom w:val="120"/>
          <w:divBdr>
            <w:top w:val="none" w:sz="0" w:space="0" w:color="auto"/>
            <w:left w:val="none" w:sz="0" w:space="0" w:color="auto"/>
            <w:bottom w:val="none" w:sz="0" w:space="0" w:color="auto"/>
            <w:right w:val="none" w:sz="0" w:space="0" w:color="auto"/>
          </w:divBdr>
        </w:div>
      </w:divsChild>
    </w:div>
    <w:div w:id="1036151589">
      <w:bodyDiv w:val="1"/>
      <w:marLeft w:val="0"/>
      <w:marRight w:val="0"/>
      <w:marTop w:val="0"/>
      <w:marBottom w:val="0"/>
      <w:divBdr>
        <w:top w:val="none" w:sz="0" w:space="0" w:color="auto"/>
        <w:left w:val="none" w:sz="0" w:space="0" w:color="auto"/>
        <w:bottom w:val="none" w:sz="0" w:space="0" w:color="auto"/>
        <w:right w:val="none" w:sz="0" w:space="0" w:color="auto"/>
      </w:divBdr>
    </w:div>
    <w:div w:id="1115323012">
      <w:bodyDiv w:val="1"/>
      <w:marLeft w:val="0"/>
      <w:marRight w:val="0"/>
      <w:marTop w:val="0"/>
      <w:marBottom w:val="0"/>
      <w:divBdr>
        <w:top w:val="none" w:sz="0" w:space="0" w:color="auto"/>
        <w:left w:val="none" w:sz="0" w:space="0" w:color="auto"/>
        <w:bottom w:val="none" w:sz="0" w:space="0" w:color="auto"/>
        <w:right w:val="none" w:sz="0" w:space="0" w:color="auto"/>
      </w:divBdr>
      <w:divsChild>
        <w:div w:id="133647338">
          <w:marLeft w:val="547"/>
          <w:marRight w:val="0"/>
          <w:marTop w:val="53"/>
          <w:marBottom w:val="0"/>
          <w:divBdr>
            <w:top w:val="none" w:sz="0" w:space="0" w:color="auto"/>
            <w:left w:val="none" w:sz="0" w:space="0" w:color="auto"/>
            <w:bottom w:val="none" w:sz="0" w:space="0" w:color="auto"/>
            <w:right w:val="none" w:sz="0" w:space="0" w:color="auto"/>
          </w:divBdr>
        </w:div>
        <w:div w:id="735709400">
          <w:marLeft w:val="1166"/>
          <w:marRight w:val="0"/>
          <w:marTop w:val="53"/>
          <w:marBottom w:val="0"/>
          <w:divBdr>
            <w:top w:val="none" w:sz="0" w:space="0" w:color="auto"/>
            <w:left w:val="none" w:sz="0" w:space="0" w:color="auto"/>
            <w:bottom w:val="none" w:sz="0" w:space="0" w:color="auto"/>
            <w:right w:val="none" w:sz="0" w:space="0" w:color="auto"/>
          </w:divBdr>
        </w:div>
        <w:div w:id="887960670">
          <w:marLeft w:val="1800"/>
          <w:marRight w:val="0"/>
          <w:marTop w:val="53"/>
          <w:marBottom w:val="0"/>
          <w:divBdr>
            <w:top w:val="none" w:sz="0" w:space="0" w:color="auto"/>
            <w:left w:val="none" w:sz="0" w:space="0" w:color="auto"/>
            <w:bottom w:val="none" w:sz="0" w:space="0" w:color="auto"/>
            <w:right w:val="none" w:sz="0" w:space="0" w:color="auto"/>
          </w:divBdr>
        </w:div>
        <w:div w:id="1167525793">
          <w:marLeft w:val="2520"/>
          <w:marRight w:val="0"/>
          <w:marTop w:val="53"/>
          <w:marBottom w:val="0"/>
          <w:divBdr>
            <w:top w:val="none" w:sz="0" w:space="0" w:color="auto"/>
            <w:left w:val="none" w:sz="0" w:space="0" w:color="auto"/>
            <w:bottom w:val="none" w:sz="0" w:space="0" w:color="auto"/>
            <w:right w:val="none" w:sz="0" w:space="0" w:color="auto"/>
          </w:divBdr>
        </w:div>
        <w:div w:id="1684865800">
          <w:marLeft w:val="1800"/>
          <w:marRight w:val="0"/>
          <w:marTop w:val="53"/>
          <w:marBottom w:val="0"/>
          <w:divBdr>
            <w:top w:val="none" w:sz="0" w:space="0" w:color="auto"/>
            <w:left w:val="none" w:sz="0" w:space="0" w:color="auto"/>
            <w:bottom w:val="none" w:sz="0" w:space="0" w:color="auto"/>
            <w:right w:val="none" w:sz="0" w:space="0" w:color="auto"/>
          </w:divBdr>
        </w:div>
        <w:div w:id="56756079">
          <w:marLeft w:val="2520"/>
          <w:marRight w:val="0"/>
          <w:marTop w:val="53"/>
          <w:marBottom w:val="0"/>
          <w:divBdr>
            <w:top w:val="none" w:sz="0" w:space="0" w:color="auto"/>
            <w:left w:val="none" w:sz="0" w:space="0" w:color="auto"/>
            <w:bottom w:val="none" w:sz="0" w:space="0" w:color="auto"/>
            <w:right w:val="none" w:sz="0" w:space="0" w:color="auto"/>
          </w:divBdr>
        </w:div>
        <w:div w:id="53433324">
          <w:marLeft w:val="1800"/>
          <w:marRight w:val="0"/>
          <w:marTop w:val="53"/>
          <w:marBottom w:val="0"/>
          <w:divBdr>
            <w:top w:val="none" w:sz="0" w:space="0" w:color="auto"/>
            <w:left w:val="none" w:sz="0" w:space="0" w:color="auto"/>
            <w:bottom w:val="none" w:sz="0" w:space="0" w:color="auto"/>
            <w:right w:val="none" w:sz="0" w:space="0" w:color="auto"/>
          </w:divBdr>
        </w:div>
        <w:div w:id="1485585741">
          <w:marLeft w:val="2520"/>
          <w:marRight w:val="0"/>
          <w:marTop w:val="53"/>
          <w:marBottom w:val="0"/>
          <w:divBdr>
            <w:top w:val="none" w:sz="0" w:space="0" w:color="auto"/>
            <w:left w:val="none" w:sz="0" w:space="0" w:color="auto"/>
            <w:bottom w:val="none" w:sz="0" w:space="0" w:color="auto"/>
            <w:right w:val="none" w:sz="0" w:space="0" w:color="auto"/>
          </w:divBdr>
        </w:div>
        <w:div w:id="1615478376">
          <w:marLeft w:val="2520"/>
          <w:marRight w:val="0"/>
          <w:marTop w:val="53"/>
          <w:marBottom w:val="0"/>
          <w:divBdr>
            <w:top w:val="none" w:sz="0" w:space="0" w:color="auto"/>
            <w:left w:val="none" w:sz="0" w:space="0" w:color="auto"/>
            <w:bottom w:val="none" w:sz="0" w:space="0" w:color="auto"/>
            <w:right w:val="none" w:sz="0" w:space="0" w:color="auto"/>
          </w:divBdr>
        </w:div>
        <w:div w:id="720909876">
          <w:marLeft w:val="1800"/>
          <w:marRight w:val="0"/>
          <w:marTop w:val="53"/>
          <w:marBottom w:val="0"/>
          <w:divBdr>
            <w:top w:val="none" w:sz="0" w:space="0" w:color="auto"/>
            <w:left w:val="none" w:sz="0" w:space="0" w:color="auto"/>
            <w:bottom w:val="none" w:sz="0" w:space="0" w:color="auto"/>
            <w:right w:val="none" w:sz="0" w:space="0" w:color="auto"/>
          </w:divBdr>
        </w:div>
        <w:div w:id="1714648768">
          <w:marLeft w:val="2520"/>
          <w:marRight w:val="0"/>
          <w:marTop w:val="53"/>
          <w:marBottom w:val="0"/>
          <w:divBdr>
            <w:top w:val="none" w:sz="0" w:space="0" w:color="auto"/>
            <w:left w:val="none" w:sz="0" w:space="0" w:color="auto"/>
            <w:bottom w:val="none" w:sz="0" w:space="0" w:color="auto"/>
            <w:right w:val="none" w:sz="0" w:space="0" w:color="auto"/>
          </w:divBdr>
        </w:div>
        <w:div w:id="716005166">
          <w:marLeft w:val="2520"/>
          <w:marRight w:val="0"/>
          <w:marTop w:val="53"/>
          <w:marBottom w:val="0"/>
          <w:divBdr>
            <w:top w:val="none" w:sz="0" w:space="0" w:color="auto"/>
            <w:left w:val="none" w:sz="0" w:space="0" w:color="auto"/>
            <w:bottom w:val="none" w:sz="0" w:space="0" w:color="auto"/>
            <w:right w:val="none" w:sz="0" w:space="0" w:color="auto"/>
          </w:divBdr>
        </w:div>
        <w:div w:id="916937600">
          <w:marLeft w:val="1800"/>
          <w:marRight w:val="0"/>
          <w:marTop w:val="53"/>
          <w:marBottom w:val="0"/>
          <w:divBdr>
            <w:top w:val="none" w:sz="0" w:space="0" w:color="auto"/>
            <w:left w:val="none" w:sz="0" w:space="0" w:color="auto"/>
            <w:bottom w:val="none" w:sz="0" w:space="0" w:color="auto"/>
            <w:right w:val="none" w:sz="0" w:space="0" w:color="auto"/>
          </w:divBdr>
        </w:div>
        <w:div w:id="2096631500">
          <w:marLeft w:val="2520"/>
          <w:marRight w:val="0"/>
          <w:marTop w:val="53"/>
          <w:marBottom w:val="0"/>
          <w:divBdr>
            <w:top w:val="none" w:sz="0" w:space="0" w:color="auto"/>
            <w:left w:val="none" w:sz="0" w:space="0" w:color="auto"/>
            <w:bottom w:val="none" w:sz="0" w:space="0" w:color="auto"/>
            <w:right w:val="none" w:sz="0" w:space="0" w:color="auto"/>
          </w:divBdr>
        </w:div>
      </w:divsChild>
    </w:div>
    <w:div w:id="1120343905">
      <w:bodyDiv w:val="1"/>
      <w:marLeft w:val="0"/>
      <w:marRight w:val="0"/>
      <w:marTop w:val="0"/>
      <w:marBottom w:val="0"/>
      <w:divBdr>
        <w:top w:val="none" w:sz="0" w:space="0" w:color="auto"/>
        <w:left w:val="none" w:sz="0" w:space="0" w:color="auto"/>
        <w:bottom w:val="none" w:sz="0" w:space="0" w:color="auto"/>
        <w:right w:val="none" w:sz="0" w:space="0" w:color="auto"/>
      </w:divBdr>
      <w:divsChild>
        <w:div w:id="697703436">
          <w:marLeft w:val="547"/>
          <w:marRight w:val="0"/>
          <w:marTop w:val="58"/>
          <w:marBottom w:val="0"/>
          <w:divBdr>
            <w:top w:val="none" w:sz="0" w:space="0" w:color="auto"/>
            <w:left w:val="none" w:sz="0" w:space="0" w:color="auto"/>
            <w:bottom w:val="none" w:sz="0" w:space="0" w:color="auto"/>
            <w:right w:val="none" w:sz="0" w:space="0" w:color="auto"/>
          </w:divBdr>
        </w:div>
        <w:div w:id="439766039">
          <w:marLeft w:val="1166"/>
          <w:marRight w:val="0"/>
          <w:marTop w:val="58"/>
          <w:marBottom w:val="0"/>
          <w:divBdr>
            <w:top w:val="none" w:sz="0" w:space="0" w:color="auto"/>
            <w:left w:val="none" w:sz="0" w:space="0" w:color="auto"/>
            <w:bottom w:val="none" w:sz="0" w:space="0" w:color="auto"/>
            <w:right w:val="none" w:sz="0" w:space="0" w:color="auto"/>
          </w:divBdr>
        </w:div>
        <w:div w:id="1589341821">
          <w:marLeft w:val="1800"/>
          <w:marRight w:val="0"/>
          <w:marTop w:val="58"/>
          <w:marBottom w:val="0"/>
          <w:divBdr>
            <w:top w:val="none" w:sz="0" w:space="0" w:color="auto"/>
            <w:left w:val="none" w:sz="0" w:space="0" w:color="auto"/>
            <w:bottom w:val="none" w:sz="0" w:space="0" w:color="auto"/>
            <w:right w:val="none" w:sz="0" w:space="0" w:color="auto"/>
          </w:divBdr>
        </w:div>
        <w:div w:id="1508011311">
          <w:marLeft w:val="1800"/>
          <w:marRight w:val="0"/>
          <w:marTop w:val="58"/>
          <w:marBottom w:val="0"/>
          <w:divBdr>
            <w:top w:val="none" w:sz="0" w:space="0" w:color="auto"/>
            <w:left w:val="none" w:sz="0" w:space="0" w:color="auto"/>
            <w:bottom w:val="none" w:sz="0" w:space="0" w:color="auto"/>
            <w:right w:val="none" w:sz="0" w:space="0" w:color="auto"/>
          </w:divBdr>
        </w:div>
        <w:div w:id="1781754544">
          <w:marLeft w:val="1800"/>
          <w:marRight w:val="0"/>
          <w:marTop w:val="58"/>
          <w:marBottom w:val="0"/>
          <w:divBdr>
            <w:top w:val="none" w:sz="0" w:space="0" w:color="auto"/>
            <w:left w:val="none" w:sz="0" w:space="0" w:color="auto"/>
            <w:bottom w:val="none" w:sz="0" w:space="0" w:color="auto"/>
            <w:right w:val="none" w:sz="0" w:space="0" w:color="auto"/>
          </w:divBdr>
        </w:div>
        <w:div w:id="546456387">
          <w:marLeft w:val="2520"/>
          <w:marRight w:val="0"/>
          <w:marTop w:val="58"/>
          <w:marBottom w:val="0"/>
          <w:divBdr>
            <w:top w:val="none" w:sz="0" w:space="0" w:color="auto"/>
            <w:left w:val="none" w:sz="0" w:space="0" w:color="auto"/>
            <w:bottom w:val="none" w:sz="0" w:space="0" w:color="auto"/>
            <w:right w:val="none" w:sz="0" w:space="0" w:color="auto"/>
          </w:divBdr>
        </w:div>
        <w:div w:id="608969254">
          <w:marLeft w:val="2520"/>
          <w:marRight w:val="0"/>
          <w:marTop w:val="58"/>
          <w:marBottom w:val="0"/>
          <w:divBdr>
            <w:top w:val="none" w:sz="0" w:space="0" w:color="auto"/>
            <w:left w:val="none" w:sz="0" w:space="0" w:color="auto"/>
            <w:bottom w:val="none" w:sz="0" w:space="0" w:color="auto"/>
            <w:right w:val="none" w:sz="0" w:space="0" w:color="auto"/>
          </w:divBdr>
        </w:div>
        <w:div w:id="1242445730">
          <w:marLeft w:val="1800"/>
          <w:marRight w:val="0"/>
          <w:marTop w:val="58"/>
          <w:marBottom w:val="0"/>
          <w:divBdr>
            <w:top w:val="none" w:sz="0" w:space="0" w:color="auto"/>
            <w:left w:val="none" w:sz="0" w:space="0" w:color="auto"/>
            <w:bottom w:val="none" w:sz="0" w:space="0" w:color="auto"/>
            <w:right w:val="none" w:sz="0" w:space="0" w:color="auto"/>
          </w:divBdr>
        </w:div>
        <w:div w:id="2114129833">
          <w:marLeft w:val="1800"/>
          <w:marRight w:val="0"/>
          <w:marTop w:val="58"/>
          <w:marBottom w:val="0"/>
          <w:divBdr>
            <w:top w:val="none" w:sz="0" w:space="0" w:color="auto"/>
            <w:left w:val="none" w:sz="0" w:space="0" w:color="auto"/>
            <w:bottom w:val="none" w:sz="0" w:space="0" w:color="auto"/>
            <w:right w:val="none" w:sz="0" w:space="0" w:color="auto"/>
          </w:divBdr>
        </w:div>
      </w:divsChild>
    </w:div>
    <w:div w:id="1205558209">
      <w:bodyDiv w:val="1"/>
      <w:marLeft w:val="0"/>
      <w:marRight w:val="0"/>
      <w:marTop w:val="0"/>
      <w:marBottom w:val="0"/>
      <w:divBdr>
        <w:top w:val="none" w:sz="0" w:space="0" w:color="auto"/>
        <w:left w:val="none" w:sz="0" w:space="0" w:color="auto"/>
        <w:bottom w:val="none" w:sz="0" w:space="0" w:color="auto"/>
        <w:right w:val="none" w:sz="0" w:space="0" w:color="auto"/>
      </w:divBdr>
    </w:div>
    <w:div w:id="1280381522">
      <w:bodyDiv w:val="1"/>
      <w:marLeft w:val="0"/>
      <w:marRight w:val="0"/>
      <w:marTop w:val="0"/>
      <w:marBottom w:val="0"/>
      <w:divBdr>
        <w:top w:val="none" w:sz="0" w:space="0" w:color="auto"/>
        <w:left w:val="none" w:sz="0" w:space="0" w:color="auto"/>
        <w:bottom w:val="none" w:sz="0" w:space="0" w:color="auto"/>
        <w:right w:val="none" w:sz="0" w:space="0" w:color="auto"/>
      </w:divBdr>
      <w:divsChild>
        <w:div w:id="2093770249">
          <w:marLeft w:val="1166"/>
          <w:marRight w:val="0"/>
          <w:marTop w:val="58"/>
          <w:marBottom w:val="120"/>
          <w:divBdr>
            <w:top w:val="none" w:sz="0" w:space="0" w:color="auto"/>
            <w:left w:val="none" w:sz="0" w:space="0" w:color="auto"/>
            <w:bottom w:val="none" w:sz="0" w:space="0" w:color="auto"/>
            <w:right w:val="none" w:sz="0" w:space="0" w:color="auto"/>
          </w:divBdr>
        </w:div>
        <w:div w:id="1664702685">
          <w:marLeft w:val="1166"/>
          <w:marRight w:val="0"/>
          <w:marTop w:val="58"/>
          <w:marBottom w:val="120"/>
          <w:divBdr>
            <w:top w:val="none" w:sz="0" w:space="0" w:color="auto"/>
            <w:left w:val="none" w:sz="0" w:space="0" w:color="auto"/>
            <w:bottom w:val="none" w:sz="0" w:space="0" w:color="auto"/>
            <w:right w:val="none" w:sz="0" w:space="0" w:color="auto"/>
          </w:divBdr>
        </w:div>
        <w:div w:id="130364485">
          <w:marLeft w:val="1166"/>
          <w:marRight w:val="0"/>
          <w:marTop w:val="58"/>
          <w:marBottom w:val="120"/>
          <w:divBdr>
            <w:top w:val="none" w:sz="0" w:space="0" w:color="auto"/>
            <w:left w:val="none" w:sz="0" w:space="0" w:color="auto"/>
            <w:bottom w:val="none" w:sz="0" w:space="0" w:color="auto"/>
            <w:right w:val="none" w:sz="0" w:space="0" w:color="auto"/>
          </w:divBdr>
        </w:div>
        <w:div w:id="128129272">
          <w:marLeft w:val="1166"/>
          <w:marRight w:val="0"/>
          <w:marTop w:val="58"/>
          <w:marBottom w:val="120"/>
          <w:divBdr>
            <w:top w:val="none" w:sz="0" w:space="0" w:color="auto"/>
            <w:left w:val="none" w:sz="0" w:space="0" w:color="auto"/>
            <w:bottom w:val="none" w:sz="0" w:space="0" w:color="auto"/>
            <w:right w:val="none" w:sz="0" w:space="0" w:color="auto"/>
          </w:divBdr>
        </w:div>
        <w:div w:id="1013340383">
          <w:marLeft w:val="1800"/>
          <w:marRight w:val="0"/>
          <w:marTop w:val="58"/>
          <w:marBottom w:val="120"/>
          <w:divBdr>
            <w:top w:val="none" w:sz="0" w:space="0" w:color="auto"/>
            <w:left w:val="none" w:sz="0" w:space="0" w:color="auto"/>
            <w:bottom w:val="none" w:sz="0" w:space="0" w:color="auto"/>
            <w:right w:val="none" w:sz="0" w:space="0" w:color="auto"/>
          </w:divBdr>
        </w:div>
        <w:div w:id="126245503">
          <w:marLeft w:val="1800"/>
          <w:marRight w:val="0"/>
          <w:marTop w:val="58"/>
          <w:marBottom w:val="120"/>
          <w:divBdr>
            <w:top w:val="none" w:sz="0" w:space="0" w:color="auto"/>
            <w:left w:val="none" w:sz="0" w:space="0" w:color="auto"/>
            <w:bottom w:val="none" w:sz="0" w:space="0" w:color="auto"/>
            <w:right w:val="none" w:sz="0" w:space="0" w:color="auto"/>
          </w:divBdr>
        </w:div>
        <w:div w:id="2033257825">
          <w:marLeft w:val="1166"/>
          <w:marRight w:val="0"/>
          <w:marTop w:val="58"/>
          <w:marBottom w:val="120"/>
          <w:divBdr>
            <w:top w:val="none" w:sz="0" w:space="0" w:color="auto"/>
            <w:left w:val="none" w:sz="0" w:space="0" w:color="auto"/>
            <w:bottom w:val="none" w:sz="0" w:space="0" w:color="auto"/>
            <w:right w:val="none" w:sz="0" w:space="0" w:color="auto"/>
          </w:divBdr>
        </w:div>
        <w:div w:id="326447703">
          <w:marLeft w:val="1166"/>
          <w:marRight w:val="0"/>
          <w:marTop w:val="58"/>
          <w:marBottom w:val="120"/>
          <w:divBdr>
            <w:top w:val="none" w:sz="0" w:space="0" w:color="auto"/>
            <w:left w:val="none" w:sz="0" w:space="0" w:color="auto"/>
            <w:bottom w:val="none" w:sz="0" w:space="0" w:color="auto"/>
            <w:right w:val="none" w:sz="0" w:space="0" w:color="auto"/>
          </w:divBdr>
        </w:div>
      </w:divsChild>
    </w:div>
    <w:div w:id="1312059590">
      <w:bodyDiv w:val="1"/>
      <w:marLeft w:val="0"/>
      <w:marRight w:val="0"/>
      <w:marTop w:val="0"/>
      <w:marBottom w:val="0"/>
      <w:divBdr>
        <w:top w:val="none" w:sz="0" w:space="0" w:color="auto"/>
        <w:left w:val="none" w:sz="0" w:space="0" w:color="auto"/>
        <w:bottom w:val="none" w:sz="0" w:space="0" w:color="auto"/>
        <w:right w:val="none" w:sz="0" w:space="0" w:color="auto"/>
      </w:divBdr>
      <w:divsChild>
        <w:div w:id="584531899">
          <w:marLeft w:val="1166"/>
          <w:marRight w:val="0"/>
          <w:marTop w:val="0"/>
          <w:marBottom w:val="120"/>
          <w:divBdr>
            <w:top w:val="none" w:sz="0" w:space="0" w:color="auto"/>
            <w:left w:val="none" w:sz="0" w:space="0" w:color="auto"/>
            <w:bottom w:val="none" w:sz="0" w:space="0" w:color="auto"/>
            <w:right w:val="none" w:sz="0" w:space="0" w:color="auto"/>
          </w:divBdr>
        </w:div>
        <w:div w:id="1038121614">
          <w:marLeft w:val="1800"/>
          <w:marRight w:val="0"/>
          <w:marTop w:val="0"/>
          <w:marBottom w:val="120"/>
          <w:divBdr>
            <w:top w:val="none" w:sz="0" w:space="0" w:color="auto"/>
            <w:left w:val="none" w:sz="0" w:space="0" w:color="auto"/>
            <w:bottom w:val="none" w:sz="0" w:space="0" w:color="auto"/>
            <w:right w:val="none" w:sz="0" w:space="0" w:color="auto"/>
          </w:divBdr>
        </w:div>
        <w:div w:id="1930577631">
          <w:marLeft w:val="2520"/>
          <w:marRight w:val="0"/>
          <w:marTop w:val="0"/>
          <w:marBottom w:val="120"/>
          <w:divBdr>
            <w:top w:val="none" w:sz="0" w:space="0" w:color="auto"/>
            <w:left w:val="none" w:sz="0" w:space="0" w:color="auto"/>
            <w:bottom w:val="none" w:sz="0" w:space="0" w:color="auto"/>
            <w:right w:val="none" w:sz="0" w:space="0" w:color="auto"/>
          </w:divBdr>
        </w:div>
        <w:div w:id="1637564554">
          <w:marLeft w:val="1166"/>
          <w:marRight w:val="0"/>
          <w:marTop w:val="0"/>
          <w:marBottom w:val="120"/>
          <w:divBdr>
            <w:top w:val="none" w:sz="0" w:space="0" w:color="auto"/>
            <w:left w:val="none" w:sz="0" w:space="0" w:color="auto"/>
            <w:bottom w:val="none" w:sz="0" w:space="0" w:color="auto"/>
            <w:right w:val="none" w:sz="0" w:space="0" w:color="auto"/>
          </w:divBdr>
        </w:div>
        <w:div w:id="1705712863">
          <w:marLeft w:val="1800"/>
          <w:marRight w:val="0"/>
          <w:marTop w:val="0"/>
          <w:marBottom w:val="120"/>
          <w:divBdr>
            <w:top w:val="none" w:sz="0" w:space="0" w:color="auto"/>
            <w:left w:val="none" w:sz="0" w:space="0" w:color="auto"/>
            <w:bottom w:val="none" w:sz="0" w:space="0" w:color="auto"/>
            <w:right w:val="none" w:sz="0" w:space="0" w:color="auto"/>
          </w:divBdr>
        </w:div>
        <w:div w:id="1575972639">
          <w:marLeft w:val="2520"/>
          <w:marRight w:val="0"/>
          <w:marTop w:val="0"/>
          <w:marBottom w:val="120"/>
          <w:divBdr>
            <w:top w:val="none" w:sz="0" w:space="0" w:color="auto"/>
            <w:left w:val="none" w:sz="0" w:space="0" w:color="auto"/>
            <w:bottom w:val="none" w:sz="0" w:space="0" w:color="auto"/>
            <w:right w:val="none" w:sz="0" w:space="0" w:color="auto"/>
          </w:divBdr>
        </w:div>
        <w:div w:id="1016007166">
          <w:marLeft w:val="1166"/>
          <w:marRight w:val="0"/>
          <w:marTop w:val="0"/>
          <w:marBottom w:val="120"/>
          <w:divBdr>
            <w:top w:val="none" w:sz="0" w:space="0" w:color="auto"/>
            <w:left w:val="none" w:sz="0" w:space="0" w:color="auto"/>
            <w:bottom w:val="none" w:sz="0" w:space="0" w:color="auto"/>
            <w:right w:val="none" w:sz="0" w:space="0" w:color="auto"/>
          </w:divBdr>
        </w:div>
        <w:div w:id="896360762">
          <w:marLeft w:val="1800"/>
          <w:marRight w:val="0"/>
          <w:marTop w:val="0"/>
          <w:marBottom w:val="120"/>
          <w:divBdr>
            <w:top w:val="none" w:sz="0" w:space="0" w:color="auto"/>
            <w:left w:val="none" w:sz="0" w:space="0" w:color="auto"/>
            <w:bottom w:val="none" w:sz="0" w:space="0" w:color="auto"/>
            <w:right w:val="none" w:sz="0" w:space="0" w:color="auto"/>
          </w:divBdr>
        </w:div>
        <w:div w:id="1376655227">
          <w:marLeft w:val="1166"/>
          <w:marRight w:val="0"/>
          <w:marTop w:val="0"/>
          <w:marBottom w:val="120"/>
          <w:divBdr>
            <w:top w:val="none" w:sz="0" w:space="0" w:color="auto"/>
            <w:left w:val="none" w:sz="0" w:space="0" w:color="auto"/>
            <w:bottom w:val="none" w:sz="0" w:space="0" w:color="auto"/>
            <w:right w:val="none" w:sz="0" w:space="0" w:color="auto"/>
          </w:divBdr>
        </w:div>
        <w:div w:id="1541437584">
          <w:marLeft w:val="1800"/>
          <w:marRight w:val="0"/>
          <w:marTop w:val="0"/>
          <w:marBottom w:val="120"/>
          <w:divBdr>
            <w:top w:val="none" w:sz="0" w:space="0" w:color="auto"/>
            <w:left w:val="none" w:sz="0" w:space="0" w:color="auto"/>
            <w:bottom w:val="none" w:sz="0" w:space="0" w:color="auto"/>
            <w:right w:val="none" w:sz="0" w:space="0" w:color="auto"/>
          </w:divBdr>
        </w:div>
      </w:divsChild>
    </w:div>
    <w:div w:id="1377000692">
      <w:bodyDiv w:val="1"/>
      <w:marLeft w:val="0"/>
      <w:marRight w:val="0"/>
      <w:marTop w:val="0"/>
      <w:marBottom w:val="0"/>
      <w:divBdr>
        <w:top w:val="none" w:sz="0" w:space="0" w:color="auto"/>
        <w:left w:val="none" w:sz="0" w:space="0" w:color="auto"/>
        <w:bottom w:val="none" w:sz="0" w:space="0" w:color="auto"/>
        <w:right w:val="none" w:sz="0" w:space="0" w:color="auto"/>
      </w:divBdr>
      <w:divsChild>
        <w:div w:id="1692295474">
          <w:marLeft w:val="1166"/>
          <w:marRight w:val="0"/>
          <w:marTop w:val="58"/>
          <w:marBottom w:val="0"/>
          <w:divBdr>
            <w:top w:val="none" w:sz="0" w:space="0" w:color="auto"/>
            <w:left w:val="none" w:sz="0" w:space="0" w:color="auto"/>
            <w:bottom w:val="none" w:sz="0" w:space="0" w:color="auto"/>
            <w:right w:val="none" w:sz="0" w:space="0" w:color="auto"/>
          </w:divBdr>
        </w:div>
        <w:div w:id="633557261">
          <w:marLeft w:val="1166"/>
          <w:marRight w:val="0"/>
          <w:marTop w:val="58"/>
          <w:marBottom w:val="0"/>
          <w:divBdr>
            <w:top w:val="none" w:sz="0" w:space="0" w:color="auto"/>
            <w:left w:val="none" w:sz="0" w:space="0" w:color="auto"/>
            <w:bottom w:val="none" w:sz="0" w:space="0" w:color="auto"/>
            <w:right w:val="none" w:sz="0" w:space="0" w:color="auto"/>
          </w:divBdr>
        </w:div>
        <w:div w:id="413934347">
          <w:marLeft w:val="1166"/>
          <w:marRight w:val="0"/>
          <w:marTop w:val="58"/>
          <w:marBottom w:val="0"/>
          <w:divBdr>
            <w:top w:val="none" w:sz="0" w:space="0" w:color="auto"/>
            <w:left w:val="none" w:sz="0" w:space="0" w:color="auto"/>
            <w:bottom w:val="none" w:sz="0" w:space="0" w:color="auto"/>
            <w:right w:val="none" w:sz="0" w:space="0" w:color="auto"/>
          </w:divBdr>
        </w:div>
        <w:div w:id="486702454">
          <w:marLeft w:val="1800"/>
          <w:marRight w:val="0"/>
          <w:marTop w:val="58"/>
          <w:marBottom w:val="0"/>
          <w:divBdr>
            <w:top w:val="none" w:sz="0" w:space="0" w:color="auto"/>
            <w:left w:val="none" w:sz="0" w:space="0" w:color="auto"/>
            <w:bottom w:val="none" w:sz="0" w:space="0" w:color="auto"/>
            <w:right w:val="none" w:sz="0" w:space="0" w:color="auto"/>
          </w:divBdr>
        </w:div>
        <w:div w:id="1161895321">
          <w:marLeft w:val="1800"/>
          <w:marRight w:val="0"/>
          <w:marTop w:val="58"/>
          <w:marBottom w:val="0"/>
          <w:divBdr>
            <w:top w:val="none" w:sz="0" w:space="0" w:color="auto"/>
            <w:left w:val="none" w:sz="0" w:space="0" w:color="auto"/>
            <w:bottom w:val="none" w:sz="0" w:space="0" w:color="auto"/>
            <w:right w:val="none" w:sz="0" w:space="0" w:color="auto"/>
          </w:divBdr>
        </w:div>
        <w:div w:id="2087025698">
          <w:marLeft w:val="1166"/>
          <w:marRight w:val="0"/>
          <w:marTop w:val="58"/>
          <w:marBottom w:val="0"/>
          <w:divBdr>
            <w:top w:val="none" w:sz="0" w:space="0" w:color="auto"/>
            <w:left w:val="none" w:sz="0" w:space="0" w:color="auto"/>
            <w:bottom w:val="none" w:sz="0" w:space="0" w:color="auto"/>
            <w:right w:val="none" w:sz="0" w:space="0" w:color="auto"/>
          </w:divBdr>
        </w:div>
      </w:divsChild>
    </w:div>
    <w:div w:id="1383820463">
      <w:bodyDiv w:val="1"/>
      <w:marLeft w:val="0"/>
      <w:marRight w:val="0"/>
      <w:marTop w:val="0"/>
      <w:marBottom w:val="0"/>
      <w:divBdr>
        <w:top w:val="none" w:sz="0" w:space="0" w:color="auto"/>
        <w:left w:val="none" w:sz="0" w:space="0" w:color="auto"/>
        <w:bottom w:val="none" w:sz="0" w:space="0" w:color="auto"/>
        <w:right w:val="none" w:sz="0" w:space="0" w:color="auto"/>
      </w:divBdr>
      <w:divsChild>
        <w:div w:id="313609557">
          <w:marLeft w:val="1166"/>
          <w:marRight w:val="0"/>
          <w:marTop w:val="58"/>
          <w:marBottom w:val="0"/>
          <w:divBdr>
            <w:top w:val="none" w:sz="0" w:space="0" w:color="auto"/>
            <w:left w:val="none" w:sz="0" w:space="0" w:color="auto"/>
            <w:bottom w:val="none" w:sz="0" w:space="0" w:color="auto"/>
            <w:right w:val="none" w:sz="0" w:space="0" w:color="auto"/>
          </w:divBdr>
        </w:div>
        <w:div w:id="2058124543">
          <w:marLeft w:val="1800"/>
          <w:marRight w:val="0"/>
          <w:marTop w:val="58"/>
          <w:marBottom w:val="0"/>
          <w:divBdr>
            <w:top w:val="none" w:sz="0" w:space="0" w:color="auto"/>
            <w:left w:val="none" w:sz="0" w:space="0" w:color="auto"/>
            <w:bottom w:val="none" w:sz="0" w:space="0" w:color="auto"/>
            <w:right w:val="none" w:sz="0" w:space="0" w:color="auto"/>
          </w:divBdr>
        </w:div>
        <w:div w:id="1431506041">
          <w:marLeft w:val="2520"/>
          <w:marRight w:val="0"/>
          <w:marTop w:val="58"/>
          <w:marBottom w:val="0"/>
          <w:divBdr>
            <w:top w:val="none" w:sz="0" w:space="0" w:color="auto"/>
            <w:left w:val="none" w:sz="0" w:space="0" w:color="auto"/>
            <w:bottom w:val="none" w:sz="0" w:space="0" w:color="auto"/>
            <w:right w:val="none" w:sz="0" w:space="0" w:color="auto"/>
          </w:divBdr>
        </w:div>
        <w:div w:id="878278440">
          <w:marLeft w:val="1800"/>
          <w:marRight w:val="0"/>
          <w:marTop w:val="58"/>
          <w:marBottom w:val="0"/>
          <w:divBdr>
            <w:top w:val="none" w:sz="0" w:space="0" w:color="auto"/>
            <w:left w:val="none" w:sz="0" w:space="0" w:color="auto"/>
            <w:bottom w:val="none" w:sz="0" w:space="0" w:color="auto"/>
            <w:right w:val="none" w:sz="0" w:space="0" w:color="auto"/>
          </w:divBdr>
        </w:div>
        <w:div w:id="2005548599">
          <w:marLeft w:val="2520"/>
          <w:marRight w:val="0"/>
          <w:marTop w:val="58"/>
          <w:marBottom w:val="0"/>
          <w:divBdr>
            <w:top w:val="none" w:sz="0" w:space="0" w:color="auto"/>
            <w:left w:val="none" w:sz="0" w:space="0" w:color="auto"/>
            <w:bottom w:val="none" w:sz="0" w:space="0" w:color="auto"/>
            <w:right w:val="none" w:sz="0" w:space="0" w:color="auto"/>
          </w:divBdr>
        </w:div>
        <w:div w:id="1908299074">
          <w:marLeft w:val="1166"/>
          <w:marRight w:val="0"/>
          <w:marTop w:val="58"/>
          <w:marBottom w:val="0"/>
          <w:divBdr>
            <w:top w:val="none" w:sz="0" w:space="0" w:color="auto"/>
            <w:left w:val="none" w:sz="0" w:space="0" w:color="auto"/>
            <w:bottom w:val="none" w:sz="0" w:space="0" w:color="auto"/>
            <w:right w:val="none" w:sz="0" w:space="0" w:color="auto"/>
          </w:divBdr>
        </w:div>
        <w:div w:id="1262883798">
          <w:marLeft w:val="1800"/>
          <w:marRight w:val="0"/>
          <w:marTop w:val="58"/>
          <w:marBottom w:val="0"/>
          <w:divBdr>
            <w:top w:val="none" w:sz="0" w:space="0" w:color="auto"/>
            <w:left w:val="none" w:sz="0" w:space="0" w:color="auto"/>
            <w:bottom w:val="none" w:sz="0" w:space="0" w:color="auto"/>
            <w:right w:val="none" w:sz="0" w:space="0" w:color="auto"/>
          </w:divBdr>
        </w:div>
        <w:div w:id="1581871220">
          <w:marLeft w:val="2520"/>
          <w:marRight w:val="0"/>
          <w:marTop w:val="58"/>
          <w:marBottom w:val="0"/>
          <w:divBdr>
            <w:top w:val="none" w:sz="0" w:space="0" w:color="auto"/>
            <w:left w:val="none" w:sz="0" w:space="0" w:color="auto"/>
            <w:bottom w:val="none" w:sz="0" w:space="0" w:color="auto"/>
            <w:right w:val="none" w:sz="0" w:space="0" w:color="auto"/>
          </w:divBdr>
        </w:div>
        <w:div w:id="315886689">
          <w:marLeft w:val="2520"/>
          <w:marRight w:val="0"/>
          <w:marTop w:val="58"/>
          <w:marBottom w:val="0"/>
          <w:divBdr>
            <w:top w:val="none" w:sz="0" w:space="0" w:color="auto"/>
            <w:left w:val="none" w:sz="0" w:space="0" w:color="auto"/>
            <w:bottom w:val="none" w:sz="0" w:space="0" w:color="auto"/>
            <w:right w:val="none" w:sz="0" w:space="0" w:color="auto"/>
          </w:divBdr>
        </w:div>
        <w:div w:id="282033583">
          <w:marLeft w:val="1166"/>
          <w:marRight w:val="0"/>
          <w:marTop w:val="58"/>
          <w:marBottom w:val="0"/>
          <w:divBdr>
            <w:top w:val="none" w:sz="0" w:space="0" w:color="auto"/>
            <w:left w:val="none" w:sz="0" w:space="0" w:color="auto"/>
            <w:bottom w:val="none" w:sz="0" w:space="0" w:color="auto"/>
            <w:right w:val="none" w:sz="0" w:space="0" w:color="auto"/>
          </w:divBdr>
        </w:div>
        <w:div w:id="1616446530">
          <w:marLeft w:val="1800"/>
          <w:marRight w:val="0"/>
          <w:marTop w:val="58"/>
          <w:marBottom w:val="0"/>
          <w:divBdr>
            <w:top w:val="none" w:sz="0" w:space="0" w:color="auto"/>
            <w:left w:val="none" w:sz="0" w:space="0" w:color="auto"/>
            <w:bottom w:val="none" w:sz="0" w:space="0" w:color="auto"/>
            <w:right w:val="none" w:sz="0" w:space="0" w:color="auto"/>
          </w:divBdr>
        </w:div>
        <w:div w:id="989209327">
          <w:marLeft w:val="2520"/>
          <w:marRight w:val="0"/>
          <w:marTop w:val="58"/>
          <w:marBottom w:val="0"/>
          <w:divBdr>
            <w:top w:val="none" w:sz="0" w:space="0" w:color="auto"/>
            <w:left w:val="none" w:sz="0" w:space="0" w:color="auto"/>
            <w:bottom w:val="none" w:sz="0" w:space="0" w:color="auto"/>
            <w:right w:val="none" w:sz="0" w:space="0" w:color="auto"/>
          </w:divBdr>
        </w:div>
        <w:div w:id="815493040">
          <w:marLeft w:val="547"/>
          <w:marRight w:val="0"/>
          <w:marTop w:val="67"/>
          <w:marBottom w:val="180"/>
          <w:divBdr>
            <w:top w:val="none" w:sz="0" w:space="0" w:color="auto"/>
            <w:left w:val="none" w:sz="0" w:space="0" w:color="auto"/>
            <w:bottom w:val="none" w:sz="0" w:space="0" w:color="auto"/>
            <w:right w:val="none" w:sz="0" w:space="0" w:color="auto"/>
          </w:divBdr>
        </w:div>
      </w:divsChild>
    </w:div>
    <w:div w:id="1406368771">
      <w:bodyDiv w:val="1"/>
      <w:marLeft w:val="0"/>
      <w:marRight w:val="0"/>
      <w:marTop w:val="0"/>
      <w:marBottom w:val="0"/>
      <w:divBdr>
        <w:top w:val="none" w:sz="0" w:space="0" w:color="auto"/>
        <w:left w:val="none" w:sz="0" w:space="0" w:color="auto"/>
        <w:bottom w:val="none" w:sz="0" w:space="0" w:color="auto"/>
        <w:right w:val="none" w:sz="0" w:space="0" w:color="auto"/>
      </w:divBdr>
    </w:div>
    <w:div w:id="1532958297">
      <w:bodyDiv w:val="1"/>
      <w:marLeft w:val="0"/>
      <w:marRight w:val="0"/>
      <w:marTop w:val="0"/>
      <w:marBottom w:val="0"/>
      <w:divBdr>
        <w:top w:val="none" w:sz="0" w:space="0" w:color="auto"/>
        <w:left w:val="none" w:sz="0" w:space="0" w:color="auto"/>
        <w:bottom w:val="none" w:sz="0" w:space="0" w:color="auto"/>
        <w:right w:val="none" w:sz="0" w:space="0" w:color="auto"/>
      </w:divBdr>
      <w:divsChild>
        <w:div w:id="621348066">
          <w:marLeft w:val="547"/>
          <w:marRight w:val="0"/>
          <w:marTop w:val="115"/>
          <w:marBottom w:val="0"/>
          <w:divBdr>
            <w:top w:val="none" w:sz="0" w:space="0" w:color="auto"/>
            <w:left w:val="none" w:sz="0" w:space="0" w:color="auto"/>
            <w:bottom w:val="none" w:sz="0" w:space="0" w:color="auto"/>
            <w:right w:val="none" w:sz="0" w:space="0" w:color="auto"/>
          </w:divBdr>
        </w:div>
      </w:divsChild>
    </w:div>
    <w:div w:id="1860120851">
      <w:bodyDiv w:val="1"/>
      <w:marLeft w:val="0"/>
      <w:marRight w:val="0"/>
      <w:marTop w:val="0"/>
      <w:marBottom w:val="0"/>
      <w:divBdr>
        <w:top w:val="none" w:sz="0" w:space="0" w:color="auto"/>
        <w:left w:val="none" w:sz="0" w:space="0" w:color="auto"/>
        <w:bottom w:val="none" w:sz="0" w:space="0" w:color="auto"/>
        <w:right w:val="none" w:sz="0" w:space="0" w:color="auto"/>
      </w:divBdr>
      <w:divsChild>
        <w:div w:id="1098453721">
          <w:marLeft w:val="547"/>
          <w:marRight w:val="0"/>
          <w:marTop w:val="115"/>
          <w:marBottom w:val="0"/>
          <w:divBdr>
            <w:top w:val="none" w:sz="0" w:space="0" w:color="auto"/>
            <w:left w:val="none" w:sz="0" w:space="0" w:color="auto"/>
            <w:bottom w:val="none" w:sz="0" w:space="0" w:color="auto"/>
            <w:right w:val="none" w:sz="0" w:space="0" w:color="auto"/>
          </w:divBdr>
        </w:div>
        <w:div w:id="813060288">
          <w:marLeft w:val="1166"/>
          <w:marRight w:val="0"/>
          <w:marTop w:val="96"/>
          <w:marBottom w:val="0"/>
          <w:divBdr>
            <w:top w:val="none" w:sz="0" w:space="0" w:color="auto"/>
            <w:left w:val="none" w:sz="0" w:space="0" w:color="auto"/>
            <w:bottom w:val="none" w:sz="0" w:space="0" w:color="auto"/>
            <w:right w:val="none" w:sz="0" w:space="0" w:color="auto"/>
          </w:divBdr>
        </w:div>
      </w:divsChild>
    </w:div>
    <w:div w:id="1966813801">
      <w:bodyDiv w:val="1"/>
      <w:marLeft w:val="0"/>
      <w:marRight w:val="0"/>
      <w:marTop w:val="0"/>
      <w:marBottom w:val="0"/>
      <w:divBdr>
        <w:top w:val="none" w:sz="0" w:space="0" w:color="auto"/>
        <w:left w:val="none" w:sz="0" w:space="0" w:color="auto"/>
        <w:bottom w:val="none" w:sz="0" w:space="0" w:color="auto"/>
        <w:right w:val="none" w:sz="0" w:space="0" w:color="auto"/>
      </w:divBdr>
      <w:divsChild>
        <w:div w:id="695933945">
          <w:marLeft w:val="547"/>
          <w:marRight w:val="0"/>
          <w:marTop w:val="43"/>
          <w:marBottom w:val="0"/>
          <w:divBdr>
            <w:top w:val="none" w:sz="0" w:space="0" w:color="auto"/>
            <w:left w:val="none" w:sz="0" w:space="0" w:color="auto"/>
            <w:bottom w:val="none" w:sz="0" w:space="0" w:color="auto"/>
            <w:right w:val="none" w:sz="0" w:space="0" w:color="auto"/>
          </w:divBdr>
        </w:div>
        <w:div w:id="1444499725">
          <w:marLeft w:val="1166"/>
          <w:marRight w:val="0"/>
          <w:marTop w:val="43"/>
          <w:marBottom w:val="0"/>
          <w:divBdr>
            <w:top w:val="none" w:sz="0" w:space="0" w:color="auto"/>
            <w:left w:val="none" w:sz="0" w:space="0" w:color="auto"/>
            <w:bottom w:val="none" w:sz="0" w:space="0" w:color="auto"/>
            <w:right w:val="none" w:sz="0" w:space="0" w:color="auto"/>
          </w:divBdr>
        </w:div>
        <w:div w:id="1958288253">
          <w:marLeft w:val="1800"/>
          <w:marRight w:val="0"/>
          <w:marTop w:val="43"/>
          <w:marBottom w:val="0"/>
          <w:divBdr>
            <w:top w:val="none" w:sz="0" w:space="0" w:color="auto"/>
            <w:left w:val="none" w:sz="0" w:space="0" w:color="auto"/>
            <w:bottom w:val="none" w:sz="0" w:space="0" w:color="auto"/>
            <w:right w:val="none" w:sz="0" w:space="0" w:color="auto"/>
          </w:divBdr>
        </w:div>
        <w:div w:id="1326980771">
          <w:marLeft w:val="1800"/>
          <w:marRight w:val="0"/>
          <w:marTop w:val="43"/>
          <w:marBottom w:val="0"/>
          <w:divBdr>
            <w:top w:val="none" w:sz="0" w:space="0" w:color="auto"/>
            <w:left w:val="none" w:sz="0" w:space="0" w:color="auto"/>
            <w:bottom w:val="none" w:sz="0" w:space="0" w:color="auto"/>
            <w:right w:val="none" w:sz="0" w:space="0" w:color="auto"/>
          </w:divBdr>
        </w:div>
        <w:div w:id="1003583554">
          <w:marLeft w:val="1800"/>
          <w:marRight w:val="0"/>
          <w:marTop w:val="43"/>
          <w:marBottom w:val="0"/>
          <w:divBdr>
            <w:top w:val="none" w:sz="0" w:space="0" w:color="auto"/>
            <w:left w:val="none" w:sz="0" w:space="0" w:color="auto"/>
            <w:bottom w:val="none" w:sz="0" w:space="0" w:color="auto"/>
            <w:right w:val="none" w:sz="0" w:space="0" w:color="auto"/>
          </w:divBdr>
        </w:div>
        <w:div w:id="694115507">
          <w:marLeft w:val="2520"/>
          <w:marRight w:val="0"/>
          <w:marTop w:val="43"/>
          <w:marBottom w:val="0"/>
          <w:divBdr>
            <w:top w:val="none" w:sz="0" w:space="0" w:color="auto"/>
            <w:left w:val="none" w:sz="0" w:space="0" w:color="auto"/>
            <w:bottom w:val="none" w:sz="0" w:space="0" w:color="auto"/>
            <w:right w:val="none" w:sz="0" w:space="0" w:color="auto"/>
          </w:divBdr>
        </w:div>
        <w:div w:id="740638612">
          <w:marLeft w:val="3240"/>
          <w:marRight w:val="0"/>
          <w:marTop w:val="43"/>
          <w:marBottom w:val="0"/>
          <w:divBdr>
            <w:top w:val="none" w:sz="0" w:space="0" w:color="auto"/>
            <w:left w:val="none" w:sz="0" w:space="0" w:color="auto"/>
            <w:bottom w:val="none" w:sz="0" w:space="0" w:color="auto"/>
            <w:right w:val="none" w:sz="0" w:space="0" w:color="auto"/>
          </w:divBdr>
        </w:div>
        <w:div w:id="1824079055">
          <w:marLeft w:val="3240"/>
          <w:marRight w:val="0"/>
          <w:marTop w:val="43"/>
          <w:marBottom w:val="0"/>
          <w:divBdr>
            <w:top w:val="none" w:sz="0" w:space="0" w:color="auto"/>
            <w:left w:val="none" w:sz="0" w:space="0" w:color="auto"/>
            <w:bottom w:val="none" w:sz="0" w:space="0" w:color="auto"/>
            <w:right w:val="none" w:sz="0" w:space="0" w:color="auto"/>
          </w:divBdr>
        </w:div>
        <w:div w:id="1567301221">
          <w:marLeft w:val="2520"/>
          <w:marRight w:val="0"/>
          <w:marTop w:val="43"/>
          <w:marBottom w:val="0"/>
          <w:divBdr>
            <w:top w:val="none" w:sz="0" w:space="0" w:color="auto"/>
            <w:left w:val="none" w:sz="0" w:space="0" w:color="auto"/>
            <w:bottom w:val="none" w:sz="0" w:space="0" w:color="auto"/>
            <w:right w:val="none" w:sz="0" w:space="0" w:color="auto"/>
          </w:divBdr>
        </w:div>
        <w:div w:id="1671912375">
          <w:marLeft w:val="3240"/>
          <w:marRight w:val="0"/>
          <w:marTop w:val="43"/>
          <w:marBottom w:val="0"/>
          <w:divBdr>
            <w:top w:val="none" w:sz="0" w:space="0" w:color="auto"/>
            <w:left w:val="none" w:sz="0" w:space="0" w:color="auto"/>
            <w:bottom w:val="none" w:sz="0" w:space="0" w:color="auto"/>
            <w:right w:val="none" w:sz="0" w:space="0" w:color="auto"/>
          </w:divBdr>
        </w:div>
        <w:div w:id="1522478136">
          <w:marLeft w:val="3240"/>
          <w:marRight w:val="0"/>
          <w:marTop w:val="43"/>
          <w:marBottom w:val="0"/>
          <w:divBdr>
            <w:top w:val="none" w:sz="0" w:space="0" w:color="auto"/>
            <w:left w:val="none" w:sz="0" w:space="0" w:color="auto"/>
            <w:bottom w:val="none" w:sz="0" w:space="0" w:color="auto"/>
            <w:right w:val="none" w:sz="0" w:space="0" w:color="auto"/>
          </w:divBdr>
        </w:div>
        <w:div w:id="467403675">
          <w:marLeft w:val="1800"/>
          <w:marRight w:val="0"/>
          <w:marTop w:val="43"/>
          <w:marBottom w:val="0"/>
          <w:divBdr>
            <w:top w:val="none" w:sz="0" w:space="0" w:color="auto"/>
            <w:left w:val="none" w:sz="0" w:space="0" w:color="auto"/>
            <w:bottom w:val="none" w:sz="0" w:space="0" w:color="auto"/>
            <w:right w:val="none" w:sz="0" w:space="0" w:color="auto"/>
          </w:divBdr>
        </w:div>
        <w:div w:id="931475323">
          <w:marLeft w:val="2520"/>
          <w:marRight w:val="0"/>
          <w:marTop w:val="43"/>
          <w:marBottom w:val="0"/>
          <w:divBdr>
            <w:top w:val="none" w:sz="0" w:space="0" w:color="auto"/>
            <w:left w:val="none" w:sz="0" w:space="0" w:color="auto"/>
            <w:bottom w:val="none" w:sz="0" w:space="0" w:color="auto"/>
            <w:right w:val="none" w:sz="0" w:space="0" w:color="auto"/>
          </w:divBdr>
        </w:div>
        <w:div w:id="1342930708">
          <w:marLeft w:val="3240"/>
          <w:marRight w:val="0"/>
          <w:marTop w:val="43"/>
          <w:marBottom w:val="0"/>
          <w:divBdr>
            <w:top w:val="none" w:sz="0" w:space="0" w:color="auto"/>
            <w:left w:val="none" w:sz="0" w:space="0" w:color="auto"/>
            <w:bottom w:val="none" w:sz="0" w:space="0" w:color="auto"/>
            <w:right w:val="none" w:sz="0" w:space="0" w:color="auto"/>
          </w:divBdr>
        </w:div>
        <w:div w:id="2091534604">
          <w:marLeft w:val="3240"/>
          <w:marRight w:val="0"/>
          <w:marTop w:val="43"/>
          <w:marBottom w:val="0"/>
          <w:divBdr>
            <w:top w:val="none" w:sz="0" w:space="0" w:color="auto"/>
            <w:left w:val="none" w:sz="0" w:space="0" w:color="auto"/>
            <w:bottom w:val="none" w:sz="0" w:space="0" w:color="auto"/>
            <w:right w:val="none" w:sz="0" w:space="0" w:color="auto"/>
          </w:divBdr>
        </w:div>
        <w:div w:id="362679031">
          <w:marLeft w:val="2520"/>
          <w:marRight w:val="0"/>
          <w:marTop w:val="43"/>
          <w:marBottom w:val="0"/>
          <w:divBdr>
            <w:top w:val="none" w:sz="0" w:space="0" w:color="auto"/>
            <w:left w:val="none" w:sz="0" w:space="0" w:color="auto"/>
            <w:bottom w:val="none" w:sz="0" w:space="0" w:color="auto"/>
            <w:right w:val="none" w:sz="0" w:space="0" w:color="auto"/>
          </w:divBdr>
        </w:div>
        <w:div w:id="1398628395">
          <w:marLeft w:val="3240"/>
          <w:marRight w:val="0"/>
          <w:marTop w:val="43"/>
          <w:marBottom w:val="0"/>
          <w:divBdr>
            <w:top w:val="none" w:sz="0" w:space="0" w:color="auto"/>
            <w:left w:val="none" w:sz="0" w:space="0" w:color="auto"/>
            <w:bottom w:val="none" w:sz="0" w:space="0" w:color="auto"/>
            <w:right w:val="none" w:sz="0" w:space="0" w:color="auto"/>
          </w:divBdr>
        </w:div>
        <w:div w:id="1952928763">
          <w:marLeft w:val="3240"/>
          <w:marRight w:val="0"/>
          <w:marTop w:val="43"/>
          <w:marBottom w:val="0"/>
          <w:divBdr>
            <w:top w:val="none" w:sz="0" w:space="0" w:color="auto"/>
            <w:left w:val="none" w:sz="0" w:space="0" w:color="auto"/>
            <w:bottom w:val="none" w:sz="0" w:space="0" w:color="auto"/>
            <w:right w:val="none" w:sz="0" w:space="0" w:color="auto"/>
          </w:divBdr>
        </w:div>
      </w:divsChild>
    </w:div>
    <w:div w:id="2012680632">
      <w:bodyDiv w:val="1"/>
      <w:marLeft w:val="0"/>
      <w:marRight w:val="0"/>
      <w:marTop w:val="0"/>
      <w:marBottom w:val="0"/>
      <w:divBdr>
        <w:top w:val="none" w:sz="0" w:space="0" w:color="auto"/>
        <w:left w:val="none" w:sz="0" w:space="0" w:color="auto"/>
        <w:bottom w:val="none" w:sz="0" w:space="0" w:color="auto"/>
        <w:right w:val="none" w:sz="0" w:space="0" w:color="auto"/>
      </w:divBdr>
    </w:div>
    <w:div w:id="2035962708">
      <w:bodyDiv w:val="1"/>
      <w:marLeft w:val="0"/>
      <w:marRight w:val="0"/>
      <w:marTop w:val="0"/>
      <w:marBottom w:val="0"/>
      <w:divBdr>
        <w:top w:val="none" w:sz="0" w:space="0" w:color="auto"/>
        <w:left w:val="none" w:sz="0" w:space="0" w:color="auto"/>
        <w:bottom w:val="none" w:sz="0" w:space="0" w:color="auto"/>
        <w:right w:val="none" w:sz="0" w:space="0" w:color="auto"/>
      </w:divBdr>
    </w:div>
    <w:div w:id="2039772407">
      <w:bodyDiv w:val="1"/>
      <w:marLeft w:val="0"/>
      <w:marRight w:val="0"/>
      <w:marTop w:val="0"/>
      <w:marBottom w:val="0"/>
      <w:divBdr>
        <w:top w:val="none" w:sz="0" w:space="0" w:color="auto"/>
        <w:left w:val="none" w:sz="0" w:space="0" w:color="auto"/>
        <w:bottom w:val="none" w:sz="0" w:space="0" w:color="auto"/>
        <w:right w:val="none" w:sz="0" w:space="0" w:color="auto"/>
      </w:divBdr>
      <w:divsChild>
        <w:div w:id="1024987093">
          <w:marLeft w:val="1166"/>
          <w:marRight w:val="0"/>
          <w:marTop w:val="58"/>
          <w:marBottom w:val="0"/>
          <w:divBdr>
            <w:top w:val="none" w:sz="0" w:space="0" w:color="auto"/>
            <w:left w:val="none" w:sz="0" w:space="0" w:color="auto"/>
            <w:bottom w:val="none" w:sz="0" w:space="0" w:color="auto"/>
            <w:right w:val="none" w:sz="0" w:space="0" w:color="auto"/>
          </w:divBdr>
        </w:div>
        <w:div w:id="983898206">
          <w:marLeft w:val="1800"/>
          <w:marRight w:val="0"/>
          <w:marTop w:val="58"/>
          <w:marBottom w:val="0"/>
          <w:divBdr>
            <w:top w:val="none" w:sz="0" w:space="0" w:color="auto"/>
            <w:left w:val="none" w:sz="0" w:space="0" w:color="auto"/>
            <w:bottom w:val="none" w:sz="0" w:space="0" w:color="auto"/>
            <w:right w:val="none" w:sz="0" w:space="0" w:color="auto"/>
          </w:divBdr>
        </w:div>
        <w:div w:id="763303833">
          <w:marLeft w:val="1166"/>
          <w:marRight w:val="0"/>
          <w:marTop w:val="58"/>
          <w:marBottom w:val="0"/>
          <w:divBdr>
            <w:top w:val="none" w:sz="0" w:space="0" w:color="auto"/>
            <w:left w:val="none" w:sz="0" w:space="0" w:color="auto"/>
            <w:bottom w:val="none" w:sz="0" w:space="0" w:color="auto"/>
            <w:right w:val="none" w:sz="0" w:space="0" w:color="auto"/>
          </w:divBdr>
        </w:div>
        <w:div w:id="1248734442">
          <w:marLeft w:val="1800"/>
          <w:marRight w:val="0"/>
          <w:marTop w:val="58"/>
          <w:marBottom w:val="0"/>
          <w:divBdr>
            <w:top w:val="none" w:sz="0" w:space="0" w:color="auto"/>
            <w:left w:val="none" w:sz="0" w:space="0" w:color="auto"/>
            <w:bottom w:val="none" w:sz="0" w:space="0" w:color="auto"/>
            <w:right w:val="none" w:sz="0" w:space="0" w:color="auto"/>
          </w:divBdr>
        </w:div>
        <w:div w:id="282347434">
          <w:marLeft w:val="1166"/>
          <w:marRight w:val="0"/>
          <w:marTop w:val="58"/>
          <w:marBottom w:val="0"/>
          <w:divBdr>
            <w:top w:val="none" w:sz="0" w:space="0" w:color="auto"/>
            <w:left w:val="none" w:sz="0" w:space="0" w:color="auto"/>
            <w:bottom w:val="none" w:sz="0" w:space="0" w:color="auto"/>
            <w:right w:val="none" w:sz="0" w:space="0" w:color="auto"/>
          </w:divBdr>
        </w:div>
        <w:div w:id="71052754">
          <w:marLeft w:val="1166"/>
          <w:marRight w:val="0"/>
          <w:marTop w:val="58"/>
          <w:marBottom w:val="0"/>
          <w:divBdr>
            <w:top w:val="none" w:sz="0" w:space="0" w:color="auto"/>
            <w:left w:val="none" w:sz="0" w:space="0" w:color="auto"/>
            <w:bottom w:val="none" w:sz="0" w:space="0" w:color="auto"/>
            <w:right w:val="none" w:sz="0" w:space="0" w:color="auto"/>
          </w:divBdr>
        </w:div>
        <w:div w:id="1849833699">
          <w:marLeft w:val="1166"/>
          <w:marRight w:val="0"/>
          <w:marTop w:val="58"/>
          <w:marBottom w:val="0"/>
          <w:divBdr>
            <w:top w:val="none" w:sz="0" w:space="0" w:color="auto"/>
            <w:left w:val="none" w:sz="0" w:space="0" w:color="auto"/>
            <w:bottom w:val="none" w:sz="0" w:space="0" w:color="auto"/>
            <w:right w:val="none" w:sz="0" w:space="0" w:color="auto"/>
          </w:divBdr>
        </w:div>
        <w:div w:id="651174867">
          <w:marLeft w:val="1800"/>
          <w:marRight w:val="0"/>
          <w:marTop w:val="58"/>
          <w:marBottom w:val="0"/>
          <w:divBdr>
            <w:top w:val="none" w:sz="0" w:space="0" w:color="auto"/>
            <w:left w:val="none" w:sz="0" w:space="0" w:color="auto"/>
            <w:bottom w:val="none" w:sz="0" w:space="0" w:color="auto"/>
            <w:right w:val="none" w:sz="0" w:space="0" w:color="auto"/>
          </w:divBdr>
        </w:div>
      </w:divsChild>
    </w:div>
    <w:div w:id="2128620219">
      <w:bodyDiv w:val="1"/>
      <w:marLeft w:val="0"/>
      <w:marRight w:val="0"/>
      <w:marTop w:val="0"/>
      <w:marBottom w:val="0"/>
      <w:divBdr>
        <w:top w:val="none" w:sz="0" w:space="0" w:color="auto"/>
        <w:left w:val="none" w:sz="0" w:space="0" w:color="auto"/>
        <w:bottom w:val="none" w:sz="0" w:space="0" w:color="auto"/>
        <w:right w:val="none" w:sz="0" w:space="0" w:color="auto"/>
      </w:divBdr>
    </w:div>
    <w:div w:id="2146463475">
      <w:bodyDiv w:val="1"/>
      <w:marLeft w:val="0"/>
      <w:marRight w:val="0"/>
      <w:marTop w:val="0"/>
      <w:marBottom w:val="0"/>
      <w:divBdr>
        <w:top w:val="none" w:sz="0" w:space="0" w:color="auto"/>
        <w:left w:val="none" w:sz="0" w:space="0" w:color="auto"/>
        <w:bottom w:val="none" w:sz="0" w:space="0" w:color="auto"/>
        <w:right w:val="none" w:sz="0" w:space="0" w:color="auto"/>
      </w:divBdr>
      <w:divsChild>
        <w:div w:id="1258560614">
          <w:marLeft w:val="1166"/>
          <w:marRight w:val="0"/>
          <w:marTop w:val="58"/>
          <w:marBottom w:val="0"/>
          <w:divBdr>
            <w:top w:val="none" w:sz="0" w:space="0" w:color="auto"/>
            <w:left w:val="none" w:sz="0" w:space="0" w:color="auto"/>
            <w:bottom w:val="none" w:sz="0" w:space="0" w:color="auto"/>
            <w:right w:val="none" w:sz="0" w:space="0" w:color="auto"/>
          </w:divBdr>
        </w:div>
        <w:div w:id="1024863746">
          <w:marLeft w:val="1166"/>
          <w:marRight w:val="0"/>
          <w:marTop w:val="58"/>
          <w:marBottom w:val="0"/>
          <w:divBdr>
            <w:top w:val="none" w:sz="0" w:space="0" w:color="auto"/>
            <w:left w:val="none" w:sz="0" w:space="0" w:color="auto"/>
            <w:bottom w:val="none" w:sz="0" w:space="0" w:color="auto"/>
            <w:right w:val="none" w:sz="0" w:space="0" w:color="auto"/>
          </w:divBdr>
        </w:div>
        <w:div w:id="282076998">
          <w:marLeft w:val="1166"/>
          <w:marRight w:val="0"/>
          <w:marTop w:val="58"/>
          <w:marBottom w:val="0"/>
          <w:divBdr>
            <w:top w:val="none" w:sz="0" w:space="0" w:color="auto"/>
            <w:left w:val="none" w:sz="0" w:space="0" w:color="auto"/>
            <w:bottom w:val="none" w:sz="0" w:space="0" w:color="auto"/>
            <w:right w:val="none" w:sz="0" w:space="0" w:color="auto"/>
          </w:divBdr>
        </w:div>
        <w:div w:id="290209450">
          <w:marLeft w:val="1800"/>
          <w:marRight w:val="0"/>
          <w:marTop w:val="58"/>
          <w:marBottom w:val="0"/>
          <w:divBdr>
            <w:top w:val="none" w:sz="0" w:space="0" w:color="auto"/>
            <w:left w:val="none" w:sz="0" w:space="0" w:color="auto"/>
            <w:bottom w:val="none" w:sz="0" w:space="0" w:color="auto"/>
            <w:right w:val="none" w:sz="0" w:space="0" w:color="auto"/>
          </w:divBdr>
        </w:div>
        <w:div w:id="1001128526">
          <w:marLeft w:val="1800"/>
          <w:marRight w:val="0"/>
          <w:marTop w:val="58"/>
          <w:marBottom w:val="0"/>
          <w:divBdr>
            <w:top w:val="none" w:sz="0" w:space="0" w:color="auto"/>
            <w:left w:val="none" w:sz="0" w:space="0" w:color="auto"/>
            <w:bottom w:val="none" w:sz="0" w:space="0" w:color="auto"/>
            <w:right w:val="none" w:sz="0" w:space="0" w:color="auto"/>
          </w:divBdr>
        </w:div>
        <w:div w:id="1331903808">
          <w:marLeft w:val="1166"/>
          <w:marRight w:val="0"/>
          <w:marTop w:val="58"/>
          <w:marBottom w:val="0"/>
          <w:divBdr>
            <w:top w:val="none" w:sz="0" w:space="0" w:color="auto"/>
            <w:left w:val="none" w:sz="0" w:space="0" w:color="auto"/>
            <w:bottom w:val="none" w:sz="0" w:space="0" w:color="auto"/>
            <w:right w:val="none" w:sz="0" w:space="0" w:color="auto"/>
          </w:divBdr>
        </w:div>
        <w:div w:id="1968120407">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860c63037974fb848352638cbdb3159a">
  <xsd:schema xmlns:xsd="http://www.w3.org/2001/XMLSchema" xmlns:xs="http://www.w3.org/2001/XMLSchema" xmlns:p="http://schemas.microsoft.com/office/2006/metadata/properties" xmlns:ns3="a0881c7e-bde8-497c-bcbe-18a05f14a854" targetNamespace="http://schemas.microsoft.com/office/2006/metadata/properties" ma:root="true" ma:fieldsID="1f3475bfae8f6e2313e30ac97e0c65d2" ns3:_="">
    <xsd:import namespace="a0881c7e-bde8-497c-bcbe-18a05f14a85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D8059C-6974-494B-B522-5988EF3B508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5036AA1-A4FC-4D6E-8350-71862F3CD16F}">
  <ds:schemaRefs>
    <ds:schemaRef ds:uri="http://schemas.microsoft.com/sharepoint/v3/contenttype/forms"/>
  </ds:schemaRefs>
</ds:datastoreItem>
</file>

<file path=customXml/itemProps3.xml><?xml version="1.0" encoding="utf-8"?>
<ds:datastoreItem xmlns:ds="http://schemas.openxmlformats.org/officeDocument/2006/customXml" ds:itemID="{341323B9-01D4-4AC5-82DF-C0438C9154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1470</Words>
  <Characters>8383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
  <dc:description/>
  <cp:lastModifiedBy>Li, Hua</cp:lastModifiedBy>
  <cp:revision>3</cp:revision>
  <dcterms:created xsi:type="dcterms:W3CDTF">2022-01-10T08:16:00Z</dcterms:created>
  <dcterms:modified xsi:type="dcterms:W3CDTF">2022-01-10T11:52:00Z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0x010100C9AB131A33795349ACDBD6B8876A9E85</vt:lpwstr>
  </property>
</Properties>
</file>