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0A17D" w14:textId="0C6D625B" w:rsidR="00803510" w:rsidRPr="00EE2C74" w:rsidRDefault="00E23971" w:rsidP="00803510">
      <w:pPr>
        <w:pStyle w:val="3GPPHeader"/>
        <w:spacing w:after="0"/>
        <w:rPr>
          <w:lang w:val="en-US"/>
        </w:rPr>
      </w:pPr>
      <w:r w:rsidRPr="00E23971">
        <w:rPr>
          <w:lang w:val="en-US"/>
        </w:rPr>
        <w:t xml:space="preserve">3GPP TSG-RAN WG4 Meeting # </w:t>
      </w:r>
      <w:r w:rsidR="002E1F6A">
        <w:rPr>
          <w:lang w:val="en-US"/>
        </w:rPr>
        <w:t>101</w:t>
      </w:r>
      <w:r w:rsidRPr="00E23971">
        <w:rPr>
          <w:lang w:val="en-US"/>
        </w:rPr>
        <w:t>-</w:t>
      </w:r>
      <w:r w:rsidR="002E1F6A">
        <w:rPr>
          <w:lang w:val="en-US"/>
        </w:rPr>
        <w:t>bis-</w:t>
      </w:r>
      <w:r w:rsidRPr="00E23971">
        <w:rPr>
          <w:lang w:val="en-US"/>
        </w:rPr>
        <w:t>e</w:t>
      </w:r>
      <w:r w:rsidR="00803510" w:rsidRPr="00EE2C74">
        <w:rPr>
          <w:lang w:val="en-US"/>
        </w:rPr>
        <w:tab/>
      </w:r>
      <w:r w:rsidR="00033B55" w:rsidRPr="00033B55">
        <w:rPr>
          <w:lang w:val="en-US"/>
        </w:rPr>
        <w:t>R4-2200456</w:t>
      </w:r>
    </w:p>
    <w:p w14:paraId="091FE811" w14:textId="27CD1787" w:rsidR="00803510" w:rsidRDefault="002E1F6A" w:rsidP="00803510">
      <w:pPr>
        <w:pStyle w:val="3GPPHeader"/>
        <w:spacing w:after="0"/>
        <w:rPr>
          <w:lang w:val="en-US"/>
        </w:rPr>
      </w:pPr>
      <w:r w:rsidRPr="002E1F6A">
        <w:rPr>
          <w:lang w:val="en-US"/>
        </w:rPr>
        <w:t>Online Meeting, 17 January – 25 January 2022</w:t>
      </w:r>
    </w:p>
    <w:p w14:paraId="26F858F2" w14:textId="77777777" w:rsidR="0043450E" w:rsidRPr="00803510" w:rsidRDefault="0043450E" w:rsidP="0043450E">
      <w:pPr>
        <w:overflowPunct/>
        <w:autoSpaceDE/>
        <w:autoSpaceDN/>
        <w:adjustRightInd/>
        <w:textAlignment w:val="auto"/>
        <w:rPr>
          <w:rFonts w:ascii="Arial" w:hAnsi="Arial"/>
          <w:b/>
          <w:noProof/>
          <w:sz w:val="24"/>
          <w:lang w:val="en-US"/>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7C2B88D1"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033B55" w:rsidRPr="00033B55">
        <w:rPr>
          <w:sz w:val="22"/>
        </w:rPr>
        <w:t>Handling of multiple DC locations for intra-band configuration</w:t>
      </w:r>
    </w:p>
    <w:p w14:paraId="23226DA5" w14:textId="3E48ED0A"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1A3935">
        <w:rPr>
          <w:bCs/>
          <w:sz w:val="22"/>
        </w:rPr>
        <w:t>6</w:t>
      </w:r>
      <w:r w:rsidR="008F1A10" w:rsidRPr="008F1A10">
        <w:rPr>
          <w:bCs/>
          <w:sz w:val="22"/>
        </w:rPr>
        <w:t>.</w:t>
      </w:r>
      <w:r w:rsidR="001A3935">
        <w:rPr>
          <w:bCs/>
          <w:sz w:val="22"/>
        </w:rPr>
        <w:t>4</w:t>
      </w:r>
      <w:r w:rsidR="008F1A10" w:rsidRPr="008F1A10">
        <w:rPr>
          <w:bCs/>
          <w:sz w:val="22"/>
        </w:rPr>
        <w:t>.</w:t>
      </w:r>
      <w:r w:rsidR="001A3935">
        <w:rPr>
          <w:bCs/>
          <w:sz w:val="22"/>
        </w:rPr>
        <w:t>4</w:t>
      </w:r>
    </w:p>
    <w:p w14:paraId="7AD518C5" w14:textId="18EDA80A" w:rsidR="0043450E" w:rsidRPr="00F26B60" w:rsidRDefault="0043450E" w:rsidP="0043450E">
      <w:pPr>
        <w:tabs>
          <w:tab w:val="left" w:pos="1985"/>
        </w:tabs>
        <w:jc w:val="both"/>
        <w:rPr>
          <w:caps/>
          <w:sz w:val="22"/>
        </w:rPr>
      </w:pPr>
      <w:r w:rsidRPr="00B16EEF">
        <w:rPr>
          <w:b/>
          <w:sz w:val="22"/>
        </w:rPr>
        <w:t>Document for:</w:t>
      </w:r>
      <w:r w:rsidRPr="00B16EEF">
        <w:rPr>
          <w:sz w:val="22"/>
        </w:rPr>
        <w:tab/>
      </w:r>
      <w:r w:rsidR="00803510">
        <w:rPr>
          <w:sz w:val="22"/>
        </w:rPr>
        <w:t>Approval</w:t>
      </w:r>
    </w:p>
    <w:p w14:paraId="5C2448DB" w14:textId="1CFD1FA8" w:rsidR="0043450E" w:rsidRDefault="00126055" w:rsidP="0043450E">
      <w:pPr>
        <w:pStyle w:val="Heading1"/>
      </w:pPr>
      <w:r>
        <w:t>1</w:t>
      </w:r>
      <w:r>
        <w:tab/>
        <w:t>Introduction</w:t>
      </w:r>
    </w:p>
    <w:p w14:paraId="37FBAFFF" w14:textId="748D4CC3" w:rsidR="00A04E4A" w:rsidRDefault="00126055" w:rsidP="00AE1D3D">
      <w:r>
        <w:t>RAN4#</w:t>
      </w:r>
      <w:r w:rsidR="00A04E4A">
        <w:t>101</w:t>
      </w:r>
      <w:r w:rsidR="008926AE">
        <w:t>-</w:t>
      </w:r>
      <w:r w:rsidR="00F62561">
        <w:t>e</w:t>
      </w:r>
      <w:r w:rsidR="005155DE">
        <w:t xml:space="preserve"> </w:t>
      </w:r>
      <w:r w:rsidR="00AF47C0">
        <w:t xml:space="preserve">approved an </w:t>
      </w:r>
      <w:r w:rsidR="00A04E4A">
        <w:t>LS</w:t>
      </w:r>
      <w:r w:rsidR="00AF47C0">
        <w:t xml:space="preserve"> [1], where </w:t>
      </w:r>
      <w:r w:rsidR="00A04E4A">
        <w:t>a following text was included.</w:t>
      </w:r>
    </w:p>
    <w:p w14:paraId="39C52FDE" w14:textId="7C5D299A" w:rsidR="00A04E4A" w:rsidRDefault="00A04E4A" w:rsidP="00A04E4A">
      <w:r>
        <w:rPr>
          <w:noProof/>
        </w:rPr>
        <w:drawing>
          <wp:inline distT="0" distB="0" distL="0" distR="0" wp14:anchorId="1154E5AB" wp14:editId="6EA2C665">
            <wp:extent cx="6051550" cy="368300"/>
            <wp:effectExtent l="19050" t="19050" r="25400"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51550" cy="368300"/>
                    </a:xfrm>
                    <a:prstGeom prst="rect">
                      <a:avLst/>
                    </a:prstGeom>
                    <a:noFill/>
                    <a:ln>
                      <a:solidFill>
                        <a:schemeClr val="tx1"/>
                      </a:solidFill>
                    </a:ln>
                  </pic:spPr>
                </pic:pic>
              </a:graphicData>
            </a:graphic>
          </wp:inline>
        </w:drawing>
      </w:r>
    </w:p>
    <w:p w14:paraId="7FFCDB52" w14:textId="0EBA5DA5" w:rsidR="00A04E4A" w:rsidRDefault="00A04E4A" w:rsidP="00A04E4A">
      <w:r>
        <w:t xml:space="preserve">Though how to handle the above depends on RAN2, it may be challenging for RAN2 by themself to conclude how to accommodate or proceed with the discussion without understanding some details on the status where multiple DC locations </w:t>
      </w:r>
      <w:r w:rsidR="00033B55">
        <w:t xml:space="preserve">for </w:t>
      </w:r>
      <w:r>
        <w:t>intra-band configuration exist.</w:t>
      </w:r>
    </w:p>
    <w:p w14:paraId="15DE3220" w14:textId="1CDD4FAD" w:rsidR="008B71FF" w:rsidRPr="002A31E8" w:rsidRDefault="00A04E4A" w:rsidP="001C3C45">
      <w:r>
        <w:t>Hence, we share our views on this in RAN4 in case we receive an LS from RAN2 on this.</w:t>
      </w:r>
    </w:p>
    <w:p w14:paraId="33BDEED4" w14:textId="42958603" w:rsidR="00E014E2" w:rsidRDefault="00E014E2" w:rsidP="005E7C59">
      <w:pPr>
        <w:pStyle w:val="Heading1"/>
        <w:ind w:left="709" w:hanging="709"/>
      </w:pPr>
      <w:r>
        <w:t>2</w:t>
      </w:r>
      <w:r>
        <w:tab/>
      </w:r>
      <w:r w:rsidR="000E2C46">
        <w:t>Discussion</w:t>
      </w:r>
    </w:p>
    <w:p w14:paraId="26642F0B" w14:textId="23531297" w:rsidR="000E2C46" w:rsidRDefault="000E2C46" w:rsidP="001C3C45">
      <w:pPr>
        <w:pStyle w:val="Heading2"/>
      </w:pPr>
      <w:r>
        <w:t>2.1</w:t>
      </w:r>
      <w:r>
        <w:tab/>
        <w:t>Single DC location and default UL DC location</w:t>
      </w:r>
    </w:p>
    <w:p w14:paraId="1DE9E07D" w14:textId="5E293F38" w:rsidR="000E2C46" w:rsidRDefault="000E2C46" w:rsidP="00FB6B55">
      <w:r>
        <w:t>For simplicity, here we assume that a UE uses configured component carrier</w:t>
      </w:r>
      <w:r w:rsidR="001A3935">
        <w:t>s</w:t>
      </w:r>
      <w:r>
        <w:t xml:space="preserve"> as </w:t>
      </w:r>
      <w:r w:rsidR="001A3935">
        <w:t>“</w:t>
      </w:r>
      <w:r w:rsidRPr="001A3935">
        <w:rPr>
          <w:i/>
          <w:iCs/>
        </w:rPr>
        <w:t>frequency component</w:t>
      </w:r>
      <w:r w:rsidR="001A3935">
        <w:t>” which is defined in [1]</w:t>
      </w:r>
      <w:r>
        <w:t>. As far as the UE follows default UL DC location, the location can be identified by calculation as illustrated in Figure 2.1-1.</w:t>
      </w:r>
    </w:p>
    <w:p w14:paraId="6D09E202" w14:textId="3555423F" w:rsidR="000E2C46" w:rsidRDefault="001C3C45" w:rsidP="001C3C45">
      <w:pPr>
        <w:jc w:val="center"/>
      </w:pPr>
      <w:r>
        <w:rPr>
          <w:noProof/>
        </w:rPr>
        <w:drawing>
          <wp:inline distT="0" distB="0" distL="0" distR="0" wp14:anchorId="22DB4CF8" wp14:editId="3E869EEF">
            <wp:extent cx="3558910" cy="1030674"/>
            <wp:effectExtent l="19050" t="19050" r="22860" b="171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8">
                      <a:extLst>
                        <a:ext uri="{28A0092B-C50C-407E-A947-70E740481C1C}">
                          <a14:useLocalDpi xmlns:a14="http://schemas.microsoft.com/office/drawing/2010/main" val="0"/>
                        </a:ext>
                      </a:extLst>
                    </a:blip>
                    <a:stretch>
                      <a:fillRect/>
                    </a:stretch>
                  </pic:blipFill>
                  <pic:spPr>
                    <a:xfrm>
                      <a:off x="0" y="0"/>
                      <a:ext cx="3576912" cy="1035887"/>
                    </a:xfrm>
                    <a:prstGeom prst="rect">
                      <a:avLst/>
                    </a:prstGeom>
                    <a:ln>
                      <a:solidFill>
                        <a:schemeClr val="tx1"/>
                      </a:solidFill>
                    </a:ln>
                  </pic:spPr>
                </pic:pic>
              </a:graphicData>
            </a:graphic>
          </wp:inline>
        </w:drawing>
      </w:r>
    </w:p>
    <w:p w14:paraId="0BF2C07A" w14:textId="2604D436" w:rsidR="001C3C45" w:rsidRPr="00F46354" w:rsidRDefault="001C3C45" w:rsidP="001C3C45">
      <w:pPr>
        <w:jc w:val="center"/>
        <w:rPr>
          <w:rFonts w:ascii="Arial" w:hAnsi="Arial" w:cs="Arial"/>
        </w:rPr>
      </w:pPr>
      <w:r w:rsidRPr="00C07A46">
        <w:rPr>
          <w:rFonts w:ascii="Arial" w:hAnsi="Arial" w:cs="Arial"/>
        </w:rPr>
        <w:t xml:space="preserve">Figure </w:t>
      </w:r>
      <w:r>
        <w:rPr>
          <w:rFonts w:ascii="Arial" w:hAnsi="Arial" w:cs="Arial"/>
        </w:rPr>
        <w:t>2.1-1</w:t>
      </w:r>
      <w:r w:rsidRPr="00C07A46">
        <w:rPr>
          <w:rFonts w:ascii="Arial" w:hAnsi="Arial" w:cs="Arial"/>
        </w:rPr>
        <w:t xml:space="preserve">: </w:t>
      </w:r>
      <w:r>
        <w:rPr>
          <w:rFonts w:ascii="Arial" w:hAnsi="Arial" w:cs="Arial"/>
        </w:rPr>
        <w:t>A default DC location for a UE whose frequency component is configured carrier</w:t>
      </w:r>
    </w:p>
    <w:p w14:paraId="5DC91802" w14:textId="4C8957CE" w:rsidR="001C3C45" w:rsidRDefault="001C3C45" w:rsidP="001C3C45">
      <w:pPr>
        <w:pStyle w:val="Heading2"/>
      </w:pPr>
      <w:r>
        <w:t>2.2</w:t>
      </w:r>
      <w:r>
        <w:tab/>
        <w:t>Two DC locations and default UL DC location</w:t>
      </w:r>
    </w:p>
    <w:p w14:paraId="5E8B8A6D" w14:textId="60BF496F" w:rsidR="001C3C45" w:rsidRDefault="001C3C45" w:rsidP="001C3C45">
      <w:pPr>
        <w:spacing w:before="240" w:after="240"/>
      </w:pPr>
      <w:r>
        <w:t>The question is if multiple DC locations exist, is it possible to apply default UL DC location in a similar way seen in single DC location or not. For simplicity, here we assume that a UE has two UL DC locations at a time and uses configured component carrier</w:t>
      </w:r>
      <w:r w:rsidR="001A3935">
        <w:t>s</w:t>
      </w:r>
      <w:r>
        <w:t xml:space="preserve"> as </w:t>
      </w:r>
      <w:r w:rsidR="001A3935">
        <w:t>“</w:t>
      </w:r>
      <w:r w:rsidRPr="001A3935">
        <w:rPr>
          <w:i/>
          <w:iCs/>
        </w:rPr>
        <w:t>frequency component</w:t>
      </w:r>
      <w:r w:rsidR="001A3935">
        <w:t>”</w:t>
      </w:r>
      <w:r>
        <w:t xml:space="preserve"> as used in Section 2.1. Since there are two UL DC locations, the UE would have dual Tx chains. Hence, as far as a network can know which CCs are covered by each of the Tx chains, the network can apply the same logic used for single DC location report. Two specific examples are illustrated in Figure 2.2-1.</w:t>
      </w:r>
    </w:p>
    <w:p w14:paraId="73EFC5FF" w14:textId="5B8518CC" w:rsidR="001C3C45" w:rsidRDefault="001C3C45" w:rsidP="001C3C45">
      <w:pPr>
        <w:spacing w:before="120" w:after="120"/>
        <w:jc w:val="center"/>
      </w:pPr>
      <w:r>
        <w:rPr>
          <w:noProof/>
        </w:rPr>
        <w:lastRenderedPageBreak/>
        <w:drawing>
          <wp:inline distT="0" distB="0" distL="0" distR="0" wp14:anchorId="1C1543B8" wp14:editId="651A5CE5">
            <wp:extent cx="2981646" cy="2227380"/>
            <wp:effectExtent l="19050" t="19050" r="9525" b="20955"/>
            <wp:docPr id="8" name="Picture 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18985" cy="2255273"/>
                    </a:xfrm>
                    <a:prstGeom prst="rect">
                      <a:avLst/>
                    </a:prstGeom>
                    <a:ln>
                      <a:solidFill>
                        <a:schemeClr val="tx1"/>
                      </a:solidFill>
                    </a:ln>
                  </pic:spPr>
                </pic:pic>
              </a:graphicData>
            </a:graphic>
          </wp:inline>
        </w:drawing>
      </w:r>
    </w:p>
    <w:p w14:paraId="79A80218" w14:textId="4FB7A092" w:rsidR="001C3C45" w:rsidRPr="00F46354" w:rsidRDefault="001C3C45" w:rsidP="001C3C45">
      <w:pPr>
        <w:spacing w:after="120"/>
        <w:jc w:val="center"/>
        <w:rPr>
          <w:rFonts w:ascii="Arial" w:hAnsi="Arial" w:cs="Arial"/>
        </w:rPr>
      </w:pPr>
      <w:r w:rsidRPr="00C07A46">
        <w:rPr>
          <w:rFonts w:ascii="Arial" w:hAnsi="Arial" w:cs="Arial"/>
        </w:rPr>
        <w:t xml:space="preserve">Figure </w:t>
      </w:r>
      <w:r>
        <w:rPr>
          <w:rFonts w:ascii="Arial" w:hAnsi="Arial" w:cs="Arial"/>
        </w:rPr>
        <w:t>2.2-1</w:t>
      </w:r>
      <w:r w:rsidRPr="00C07A46">
        <w:rPr>
          <w:rFonts w:ascii="Arial" w:hAnsi="Arial" w:cs="Arial"/>
        </w:rPr>
        <w:t xml:space="preserve">: </w:t>
      </w:r>
      <w:r>
        <w:rPr>
          <w:rFonts w:ascii="Arial" w:hAnsi="Arial" w:cs="Arial"/>
        </w:rPr>
        <w:t>A default DC location for a UE whose frequency component is configured carrier</w:t>
      </w:r>
    </w:p>
    <w:p w14:paraId="206EA3CD" w14:textId="52A2904A" w:rsidR="002A31E8" w:rsidRDefault="001C3C45" w:rsidP="001C3C45">
      <w:pPr>
        <w:spacing w:before="120" w:after="120"/>
      </w:pPr>
      <w:r>
        <w:t xml:space="preserve">As can been seen in Figure 2.2-1, if the UE can report groups to tell which CCs each Tx chain covers, then, the UL DC default location can be found in each of the groups. </w:t>
      </w:r>
    </w:p>
    <w:p w14:paraId="60DE6175" w14:textId="5F2B7AC0" w:rsidR="008B71FF" w:rsidRDefault="001C3C45" w:rsidP="001C3C45">
      <w:pPr>
        <w:spacing w:before="120" w:after="120"/>
      </w:pPr>
      <w:r w:rsidRPr="001C3C45">
        <w:rPr>
          <w:b/>
          <w:bCs/>
        </w:rPr>
        <w:t>Observation: If a UE can report groups for which CCs each of the Tx chains can cover, UL DC default location can be calculated in each of the groups.</w:t>
      </w:r>
    </w:p>
    <w:p w14:paraId="4063B845" w14:textId="6E7C98FC" w:rsidR="00276F69" w:rsidRDefault="00276F69" w:rsidP="00276F69">
      <w:pPr>
        <w:pStyle w:val="Heading1"/>
      </w:pPr>
      <w:r>
        <w:t>4</w:t>
      </w:r>
      <w:r>
        <w:tab/>
        <w:t>Conclusion</w:t>
      </w:r>
    </w:p>
    <w:p w14:paraId="291E0946" w14:textId="59552D15" w:rsidR="001C3C45" w:rsidRDefault="0076068D" w:rsidP="001C3C45">
      <w:r>
        <w:t xml:space="preserve">This contribution discusses RAN4 aspect of </w:t>
      </w:r>
      <w:r w:rsidR="001C3C45">
        <w:t xml:space="preserve">UL </w:t>
      </w:r>
      <w:r>
        <w:t xml:space="preserve">DC location reporting </w:t>
      </w:r>
      <w:r w:rsidR="001C3C45">
        <w:t>for the case where the number of UL DC locations is more than one and we obtained the following observation.</w:t>
      </w:r>
    </w:p>
    <w:p w14:paraId="0A44B7A3" w14:textId="10AA8BE4" w:rsidR="001C3C45" w:rsidRDefault="001C3C45" w:rsidP="001C3C45">
      <w:pPr>
        <w:rPr>
          <w:b/>
          <w:bCs/>
        </w:rPr>
      </w:pPr>
      <w:r w:rsidRPr="001C3C45">
        <w:rPr>
          <w:b/>
          <w:bCs/>
        </w:rPr>
        <w:t>Observation: If a UE can report groups for which CCs each of the Tx chains can cover, UL DC default location can be calculated in each of the groups.</w:t>
      </w:r>
    </w:p>
    <w:p w14:paraId="79C55762" w14:textId="5EFAF5AB" w:rsidR="001C3C45" w:rsidRDefault="001C3C45" w:rsidP="001C3C45">
      <w:r>
        <w:t>How to report the above additional information can be left to RAN2. In case, however, RAN2 askes RAN4 for more input for multiple UL DC location cases, we suggest to share the above information.</w:t>
      </w:r>
    </w:p>
    <w:p w14:paraId="08E8FE59" w14:textId="3F01D42C" w:rsidR="00F62561" w:rsidRDefault="00276F69" w:rsidP="00F62561">
      <w:pPr>
        <w:pStyle w:val="Heading1"/>
      </w:pPr>
      <w:r>
        <w:t>5</w:t>
      </w:r>
      <w:r w:rsidR="00F62561">
        <w:tab/>
        <w:t>References</w:t>
      </w:r>
    </w:p>
    <w:p w14:paraId="35B71734" w14:textId="26FF721E" w:rsidR="00846F0E" w:rsidRDefault="00F62561" w:rsidP="00F62561">
      <w:r>
        <w:t xml:space="preserve">[1] </w:t>
      </w:r>
      <w:r w:rsidR="00A04E4A" w:rsidRPr="00A04E4A">
        <w:t>R4-2119965</w:t>
      </w:r>
      <w:r>
        <w:t xml:space="preserve">, </w:t>
      </w:r>
      <w:r w:rsidR="00A04E4A" w:rsidRPr="00A04E4A">
        <w:t>LS on DC location for &gt;2CC</w:t>
      </w:r>
      <w:r>
        <w:t xml:space="preserve">, </w:t>
      </w:r>
      <w:r w:rsidR="00A04E4A">
        <w:t>Qualcomm</w:t>
      </w:r>
    </w:p>
    <w:sectPr w:rsidR="00846F0E" w:rsidSect="00426A90">
      <w:headerReference w:type="even" r:id="rId10"/>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16EA1A" w14:textId="77777777" w:rsidR="00713010" w:rsidRDefault="00713010" w:rsidP="002B3503">
      <w:pPr>
        <w:spacing w:after="0"/>
      </w:pPr>
      <w:r>
        <w:separator/>
      </w:r>
    </w:p>
  </w:endnote>
  <w:endnote w:type="continuationSeparator" w:id="0">
    <w:p w14:paraId="3E6A0BAE" w14:textId="77777777" w:rsidR="00713010" w:rsidRDefault="00713010"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l‚r –¾’©"/>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ECAAF" w14:textId="77777777" w:rsidR="00713010" w:rsidRDefault="00713010" w:rsidP="002B3503">
      <w:pPr>
        <w:spacing w:after="0"/>
      </w:pPr>
      <w:r>
        <w:separator/>
      </w:r>
    </w:p>
  </w:footnote>
  <w:footnote w:type="continuationSeparator" w:id="0">
    <w:p w14:paraId="55ECFD32" w14:textId="77777777" w:rsidR="00713010" w:rsidRDefault="00713010"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7AE" w14:textId="77777777" w:rsidR="000E2C46" w:rsidRDefault="000E2C4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游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5"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0"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970201"/>
    <w:multiLevelType w:val="hybridMultilevel"/>
    <w:tmpl w:val="46F6ACDE"/>
    <w:lvl w:ilvl="0" w:tplc="5C62B8FC">
      <w:start w:val="3"/>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9D443F"/>
    <w:multiLevelType w:val="hybridMultilevel"/>
    <w:tmpl w:val="64B052D4"/>
    <w:lvl w:ilvl="0" w:tplc="096CD134">
      <w:start w:val="1"/>
      <w:numFmt w:val="bullet"/>
      <w:lvlText w:val="-"/>
      <w:lvlJc w:val="left"/>
      <w:pPr>
        <w:ind w:left="100" w:hanging="360"/>
      </w:pPr>
      <w:rPr>
        <w:rFonts w:ascii="Times New Roman" w:eastAsia="ＭＳ 明朝" w:hAnsi="Times New Roman" w:cs="Times New Roman" w:hint="default"/>
      </w:rPr>
    </w:lvl>
    <w:lvl w:ilvl="1" w:tplc="08090003">
      <w:start w:val="1"/>
      <w:numFmt w:val="bullet"/>
      <w:lvlText w:val="o"/>
      <w:lvlJc w:val="left"/>
      <w:pPr>
        <w:ind w:left="820" w:hanging="360"/>
      </w:pPr>
      <w:rPr>
        <w:rFonts w:ascii="Courier New" w:hAnsi="Courier New" w:cs="Courier New" w:hint="default"/>
      </w:rPr>
    </w:lvl>
    <w:lvl w:ilvl="2" w:tplc="08090005" w:tentative="1">
      <w:start w:val="1"/>
      <w:numFmt w:val="bullet"/>
      <w:lvlText w:val=""/>
      <w:lvlJc w:val="left"/>
      <w:pPr>
        <w:ind w:left="1540" w:hanging="360"/>
      </w:pPr>
      <w:rPr>
        <w:rFonts w:ascii="Wingdings" w:hAnsi="Wingdings" w:hint="default"/>
      </w:rPr>
    </w:lvl>
    <w:lvl w:ilvl="3" w:tplc="08090001" w:tentative="1">
      <w:start w:val="1"/>
      <w:numFmt w:val="bullet"/>
      <w:lvlText w:val=""/>
      <w:lvlJc w:val="left"/>
      <w:pPr>
        <w:ind w:left="2260" w:hanging="360"/>
      </w:pPr>
      <w:rPr>
        <w:rFonts w:ascii="Symbol" w:hAnsi="Symbol" w:hint="default"/>
      </w:rPr>
    </w:lvl>
    <w:lvl w:ilvl="4" w:tplc="08090003" w:tentative="1">
      <w:start w:val="1"/>
      <w:numFmt w:val="bullet"/>
      <w:lvlText w:val="o"/>
      <w:lvlJc w:val="left"/>
      <w:pPr>
        <w:ind w:left="2980" w:hanging="360"/>
      </w:pPr>
      <w:rPr>
        <w:rFonts w:ascii="Courier New" w:hAnsi="Courier New" w:cs="Courier New" w:hint="default"/>
      </w:rPr>
    </w:lvl>
    <w:lvl w:ilvl="5" w:tplc="08090005" w:tentative="1">
      <w:start w:val="1"/>
      <w:numFmt w:val="bullet"/>
      <w:lvlText w:val=""/>
      <w:lvlJc w:val="left"/>
      <w:pPr>
        <w:ind w:left="3700" w:hanging="360"/>
      </w:pPr>
      <w:rPr>
        <w:rFonts w:ascii="Wingdings" w:hAnsi="Wingdings" w:hint="default"/>
      </w:rPr>
    </w:lvl>
    <w:lvl w:ilvl="6" w:tplc="08090001" w:tentative="1">
      <w:start w:val="1"/>
      <w:numFmt w:val="bullet"/>
      <w:lvlText w:val=""/>
      <w:lvlJc w:val="left"/>
      <w:pPr>
        <w:ind w:left="4420" w:hanging="360"/>
      </w:pPr>
      <w:rPr>
        <w:rFonts w:ascii="Symbol" w:hAnsi="Symbol" w:hint="default"/>
      </w:rPr>
    </w:lvl>
    <w:lvl w:ilvl="7" w:tplc="08090003" w:tentative="1">
      <w:start w:val="1"/>
      <w:numFmt w:val="bullet"/>
      <w:lvlText w:val="o"/>
      <w:lvlJc w:val="left"/>
      <w:pPr>
        <w:ind w:left="5140" w:hanging="360"/>
      </w:pPr>
      <w:rPr>
        <w:rFonts w:ascii="Courier New" w:hAnsi="Courier New" w:cs="Courier New" w:hint="default"/>
      </w:rPr>
    </w:lvl>
    <w:lvl w:ilvl="8" w:tplc="08090005" w:tentative="1">
      <w:start w:val="1"/>
      <w:numFmt w:val="bullet"/>
      <w:lvlText w:val=""/>
      <w:lvlJc w:val="left"/>
      <w:pPr>
        <w:ind w:left="5860" w:hanging="360"/>
      </w:pPr>
      <w:rPr>
        <w:rFonts w:ascii="Wingdings" w:hAnsi="Wingdings" w:hint="default"/>
      </w:rPr>
    </w:lvl>
  </w:abstractNum>
  <w:abstractNum w:abstractNumId="18"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5"/>
  </w:num>
  <w:num w:numId="3">
    <w:abstractNumId w:val="11"/>
  </w:num>
  <w:num w:numId="4">
    <w:abstractNumId w:val="20"/>
  </w:num>
  <w:num w:numId="5">
    <w:abstractNumId w:val="5"/>
  </w:num>
  <w:num w:numId="6">
    <w:abstractNumId w:val="19"/>
  </w:num>
  <w:num w:numId="7">
    <w:abstractNumId w:val="1"/>
  </w:num>
  <w:num w:numId="8">
    <w:abstractNumId w:val="21"/>
  </w:num>
  <w:num w:numId="9">
    <w:abstractNumId w:val="7"/>
  </w:num>
  <w:num w:numId="10">
    <w:abstractNumId w:val="2"/>
  </w:num>
  <w:num w:numId="11">
    <w:abstractNumId w:val="12"/>
  </w:num>
  <w:num w:numId="12">
    <w:abstractNumId w:val="23"/>
  </w:num>
  <w:num w:numId="13">
    <w:abstractNumId w:val="18"/>
  </w:num>
  <w:num w:numId="14">
    <w:abstractNumId w:val="4"/>
  </w:num>
  <w:num w:numId="15">
    <w:abstractNumId w:val="9"/>
  </w:num>
  <w:num w:numId="16">
    <w:abstractNumId w:val="13"/>
  </w:num>
  <w:num w:numId="17">
    <w:abstractNumId w:val="26"/>
  </w:num>
  <w:num w:numId="18">
    <w:abstractNumId w:val="0"/>
  </w:num>
  <w:num w:numId="19">
    <w:abstractNumId w:val="22"/>
  </w:num>
  <w:num w:numId="20">
    <w:abstractNumId w:val="6"/>
  </w:num>
  <w:num w:numId="21">
    <w:abstractNumId w:val="15"/>
  </w:num>
  <w:num w:numId="22">
    <w:abstractNumId w:val="10"/>
  </w:num>
  <w:num w:numId="23">
    <w:abstractNumId w:val="24"/>
  </w:num>
  <w:num w:numId="24">
    <w:abstractNumId w:val="17"/>
  </w:num>
  <w:num w:numId="25">
    <w:abstractNumId w:val="14"/>
  </w:num>
  <w:num w:numId="26">
    <w:abstractNumId w:val="27"/>
  </w:num>
  <w:num w:numId="27">
    <w:abstractNumId w:val="3"/>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138FC"/>
    <w:rsid w:val="00023AC5"/>
    <w:rsid w:val="00033B55"/>
    <w:rsid w:val="00060CBC"/>
    <w:rsid w:val="00060D78"/>
    <w:rsid w:val="0007321B"/>
    <w:rsid w:val="00091F0B"/>
    <w:rsid w:val="00094D3A"/>
    <w:rsid w:val="000A6473"/>
    <w:rsid w:val="000A754F"/>
    <w:rsid w:val="000B4E56"/>
    <w:rsid w:val="000B5E8E"/>
    <w:rsid w:val="000E2C46"/>
    <w:rsid w:val="000F2546"/>
    <w:rsid w:val="000F50EC"/>
    <w:rsid w:val="00101626"/>
    <w:rsid w:val="00101957"/>
    <w:rsid w:val="00121080"/>
    <w:rsid w:val="00126055"/>
    <w:rsid w:val="00130402"/>
    <w:rsid w:val="00136328"/>
    <w:rsid w:val="001364A1"/>
    <w:rsid w:val="001413C7"/>
    <w:rsid w:val="00142124"/>
    <w:rsid w:val="0015000E"/>
    <w:rsid w:val="00154D1C"/>
    <w:rsid w:val="0016131F"/>
    <w:rsid w:val="00177EFF"/>
    <w:rsid w:val="00190D7B"/>
    <w:rsid w:val="001953B8"/>
    <w:rsid w:val="001A3935"/>
    <w:rsid w:val="001A4FAE"/>
    <w:rsid w:val="001A61F0"/>
    <w:rsid w:val="001C3C45"/>
    <w:rsid w:val="001F746E"/>
    <w:rsid w:val="00205A61"/>
    <w:rsid w:val="002127E2"/>
    <w:rsid w:val="00214C87"/>
    <w:rsid w:val="00215035"/>
    <w:rsid w:val="00215E52"/>
    <w:rsid w:val="00233B46"/>
    <w:rsid w:val="00242B76"/>
    <w:rsid w:val="002523CC"/>
    <w:rsid w:val="00272473"/>
    <w:rsid w:val="00276F69"/>
    <w:rsid w:val="00291DDD"/>
    <w:rsid w:val="002A066E"/>
    <w:rsid w:val="002A31E8"/>
    <w:rsid w:val="002A7181"/>
    <w:rsid w:val="002B3503"/>
    <w:rsid w:val="002D1B45"/>
    <w:rsid w:val="002E1F6A"/>
    <w:rsid w:val="002F6A38"/>
    <w:rsid w:val="003029F0"/>
    <w:rsid w:val="003103A7"/>
    <w:rsid w:val="00316FC7"/>
    <w:rsid w:val="00347DEA"/>
    <w:rsid w:val="00356FB1"/>
    <w:rsid w:val="003777FE"/>
    <w:rsid w:val="00387C78"/>
    <w:rsid w:val="003B3990"/>
    <w:rsid w:val="003D26B4"/>
    <w:rsid w:val="003E237A"/>
    <w:rsid w:val="003E422D"/>
    <w:rsid w:val="0041441A"/>
    <w:rsid w:val="00417963"/>
    <w:rsid w:val="0042109F"/>
    <w:rsid w:val="00422ABC"/>
    <w:rsid w:val="00426A90"/>
    <w:rsid w:val="00430A73"/>
    <w:rsid w:val="0043450E"/>
    <w:rsid w:val="00453BA5"/>
    <w:rsid w:val="00454E53"/>
    <w:rsid w:val="00473FFD"/>
    <w:rsid w:val="00482477"/>
    <w:rsid w:val="00484078"/>
    <w:rsid w:val="00491386"/>
    <w:rsid w:val="00494F18"/>
    <w:rsid w:val="004974FD"/>
    <w:rsid w:val="004A41DA"/>
    <w:rsid w:val="004C0103"/>
    <w:rsid w:val="004C58F9"/>
    <w:rsid w:val="004D017E"/>
    <w:rsid w:val="004D0C67"/>
    <w:rsid w:val="004D3D81"/>
    <w:rsid w:val="004F517D"/>
    <w:rsid w:val="005155DE"/>
    <w:rsid w:val="00517050"/>
    <w:rsid w:val="00525C0B"/>
    <w:rsid w:val="0053656E"/>
    <w:rsid w:val="00560A63"/>
    <w:rsid w:val="005647F5"/>
    <w:rsid w:val="00564B2E"/>
    <w:rsid w:val="00570B14"/>
    <w:rsid w:val="005735CF"/>
    <w:rsid w:val="005908EA"/>
    <w:rsid w:val="00593353"/>
    <w:rsid w:val="00595369"/>
    <w:rsid w:val="005B2640"/>
    <w:rsid w:val="005D18A4"/>
    <w:rsid w:val="005D784D"/>
    <w:rsid w:val="005E7C59"/>
    <w:rsid w:val="005F31A5"/>
    <w:rsid w:val="005F4052"/>
    <w:rsid w:val="005F6CE3"/>
    <w:rsid w:val="006026F2"/>
    <w:rsid w:val="00602EB6"/>
    <w:rsid w:val="0060711C"/>
    <w:rsid w:val="00613AB3"/>
    <w:rsid w:val="00641C2E"/>
    <w:rsid w:val="00641E1F"/>
    <w:rsid w:val="00664AE9"/>
    <w:rsid w:val="00664DF6"/>
    <w:rsid w:val="00681F39"/>
    <w:rsid w:val="00687537"/>
    <w:rsid w:val="006919C7"/>
    <w:rsid w:val="006B0708"/>
    <w:rsid w:val="006B6CB6"/>
    <w:rsid w:val="006C3E2E"/>
    <w:rsid w:val="006C44A0"/>
    <w:rsid w:val="006C4854"/>
    <w:rsid w:val="006C6840"/>
    <w:rsid w:val="006D43D1"/>
    <w:rsid w:val="006D63C8"/>
    <w:rsid w:val="006D701F"/>
    <w:rsid w:val="00702ED2"/>
    <w:rsid w:val="00703602"/>
    <w:rsid w:val="00713010"/>
    <w:rsid w:val="00713482"/>
    <w:rsid w:val="00726265"/>
    <w:rsid w:val="00734EBD"/>
    <w:rsid w:val="0074778D"/>
    <w:rsid w:val="00747F44"/>
    <w:rsid w:val="00757284"/>
    <w:rsid w:val="0076068D"/>
    <w:rsid w:val="0077527C"/>
    <w:rsid w:val="007A74DE"/>
    <w:rsid w:val="007B0619"/>
    <w:rsid w:val="007C3D2F"/>
    <w:rsid w:val="007C7E14"/>
    <w:rsid w:val="007D1C54"/>
    <w:rsid w:val="007D20DF"/>
    <w:rsid w:val="007E0C29"/>
    <w:rsid w:val="007E752F"/>
    <w:rsid w:val="00803510"/>
    <w:rsid w:val="00813258"/>
    <w:rsid w:val="008236E4"/>
    <w:rsid w:val="00846F0E"/>
    <w:rsid w:val="00850296"/>
    <w:rsid w:val="00871B4D"/>
    <w:rsid w:val="0089084A"/>
    <w:rsid w:val="00891F14"/>
    <w:rsid w:val="008926AE"/>
    <w:rsid w:val="00895E24"/>
    <w:rsid w:val="008A4493"/>
    <w:rsid w:val="008A635A"/>
    <w:rsid w:val="008B71FF"/>
    <w:rsid w:val="008B72EE"/>
    <w:rsid w:val="008D12E4"/>
    <w:rsid w:val="008F1A10"/>
    <w:rsid w:val="0091383D"/>
    <w:rsid w:val="00936086"/>
    <w:rsid w:val="00940559"/>
    <w:rsid w:val="00966126"/>
    <w:rsid w:val="00996062"/>
    <w:rsid w:val="009A1B59"/>
    <w:rsid w:val="009B1E68"/>
    <w:rsid w:val="009B6543"/>
    <w:rsid w:val="009B7F2A"/>
    <w:rsid w:val="00A04E4A"/>
    <w:rsid w:val="00A16F72"/>
    <w:rsid w:val="00A23811"/>
    <w:rsid w:val="00A451E8"/>
    <w:rsid w:val="00A6018C"/>
    <w:rsid w:val="00A83B5D"/>
    <w:rsid w:val="00A925DB"/>
    <w:rsid w:val="00AB3FAE"/>
    <w:rsid w:val="00AC1B35"/>
    <w:rsid w:val="00AC21A5"/>
    <w:rsid w:val="00AD0CC8"/>
    <w:rsid w:val="00AD0F48"/>
    <w:rsid w:val="00AE1D3D"/>
    <w:rsid w:val="00AE52A5"/>
    <w:rsid w:val="00AE58B4"/>
    <w:rsid w:val="00AE6327"/>
    <w:rsid w:val="00AF47C0"/>
    <w:rsid w:val="00AF7CB0"/>
    <w:rsid w:val="00B17FCA"/>
    <w:rsid w:val="00B4385F"/>
    <w:rsid w:val="00B65B59"/>
    <w:rsid w:val="00B72408"/>
    <w:rsid w:val="00B77164"/>
    <w:rsid w:val="00BC228C"/>
    <w:rsid w:val="00BC2924"/>
    <w:rsid w:val="00BC764C"/>
    <w:rsid w:val="00BF4B17"/>
    <w:rsid w:val="00BF72E0"/>
    <w:rsid w:val="00C0316B"/>
    <w:rsid w:val="00C07A46"/>
    <w:rsid w:val="00C17B19"/>
    <w:rsid w:val="00C21554"/>
    <w:rsid w:val="00C3087E"/>
    <w:rsid w:val="00C30EBD"/>
    <w:rsid w:val="00C45DB3"/>
    <w:rsid w:val="00C47C9F"/>
    <w:rsid w:val="00C55F94"/>
    <w:rsid w:val="00C81190"/>
    <w:rsid w:val="00C83E86"/>
    <w:rsid w:val="00C91EE2"/>
    <w:rsid w:val="00CB607B"/>
    <w:rsid w:val="00CC2754"/>
    <w:rsid w:val="00CE241D"/>
    <w:rsid w:val="00D03FD8"/>
    <w:rsid w:val="00D07626"/>
    <w:rsid w:val="00D275CC"/>
    <w:rsid w:val="00D348C6"/>
    <w:rsid w:val="00D44EB4"/>
    <w:rsid w:val="00D546CC"/>
    <w:rsid w:val="00D57C62"/>
    <w:rsid w:val="00D767C4"/>
    <w:rsid w:val="00D77CF5"/>
    <w:rsid w:val="00DA03D6"/>
    <w:rsid w:val="00DA4A61"/>
    <w:rsid w:val="00DA7396"/>
    <w:rsid w:val="00DF1DEC"/>
    <w:rsid w:val="00DF302A"/>
    <w:rsid w:val="00E014E2"/>
    <w:rsid w:val="00E23971"/>
    <w:rsid w:val="00E332C0"/>
    <w:rsid w:val="00E33B68"/>
    <w:rsid w:val="00E36095"/>
    <w:rsid w:val="00E61521"/>
    <w:rsid w:val="00E62D76"/>
    <w:rsid w:val="00E71101"/>
    <w:rsid w:val="00E95C04"/>
    <w:rsid w:val="00E962C5"/>
    <w:rsid w:val="00EA3488"/>
    <w:rsid w:val="00EB05B3"/>
    <w:rsid w:val="00EB0D8A"/>
    <w:rsid w:val="00EB5F7D"/>
    <w:rsid w:val="00EC589F"/>
    <w:rsid w:val="00ED54F1"/>
    <w:rsid w:val="00EE0298"/>
    <w:rsid w:val="00EE5885"/>
    <w:rsid w:val="00EE6657"/>
    <w:rsid w:val="00F125F3"/>
    <w:rsid w:val="00F46354"/>
    <w:rsid w:val="00F562CA"/>
    <w:rsid w:val="00F62561"/>
    <w:rsid w:val="00F646D5"/>
    <w:rsid w:val="00F648B5"/>
    <w:rsid w:val="00F97D64"/>
    <w:rsid w:val="00FA3036"/>
    <w:rsid w:val="00FB6B55"/>
    <w:rsid w:val="00FD085A"/>
    <w:rsid w:val="00FD543C"/>
    <w:rsid w:val="00FF63A4"/>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ＭＳ 明朝"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B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rsid w:val="00C83E86"/>
    <w:rPr>
      <w:rFonts w:ascii="Arial" w:hAnsi="Arial"/>
      <w:sz w:val="18"/>
      <w:lang w:val="en-GB" w:eastAsia="en-US"/>
    </w:rPr>
  </w:style>
  <w:style w:type="character" w:styleId="Hyperlink">
    <w:name w:val="Hyperlink"/>
    <w:rsid w:val="005170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Pages>
  <Words>411</Words>
  <Characters>2346</Characters>
  <Application>Microsoft Office Word</Application>
  <DocSecurity>0</DocSecurity>
  <Lines>19</Lines>
  <Paragraphs>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3</cp:revision>
  <cp:lastPrinted>1900-01-01T06:00:00Z</cp:lastPrinted>
  <dcterms:created xsi:type="dcterms:W3CDTF">2022-01-08T08:31:00Z</dcterms:created>
  <dcterms:modified xsi:type="dcterms:W3CDTF">2022-01-10T11:11:00Z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2021-07-02T06:03:33Z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