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242D9AEE"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C94AC7">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335842" w:rsidRPr="00335842">
        <w:rPr>
          <w:rFonts w:ascii="Arial" w:hAnsi="Arial" w:cs="Arial"/>
          <w:b/>
          <w:sz w:val="24"/>
          <w:szCs w:val="24"/>
        </w:rPr>
        <w:t>R4-2200271</w:t>
      </w:r>
    </w:p>
    <w:p w14:paraId="2C67BE8C" w14:textId="2D2D71D4"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C94AC7">
        <w:rPr>
          <w:rFonts w:ascii="Arial" w:eastAsia="SimSun" w:hAnsi="Arial"/>
          <w:b/>
          <w:sz w:val="24"/>
          <w:szCs w:val="24"/>
          <w:lang w:eastAsia="zh-CN"/>
        </w:rPr>
        <w:t>January</w:t>
      </w:r>
      <w:r>
        <w:rPr>
          <w:rFonts w:ascii="Arial" w:eastAsia="SimSun" w:hAnsi="Arial"/>
          <w:b/>
          <w:sz w:val="24"/>
          <w:szCs w:val="24"/>
          <w:lang w:eastAsia="zh-CN"/>
        </w:rPr>
        <w:t xml:space="preserve"> </w:t>
      </w:r>
      <w:r w:rsidR="00C94AC7">
        <w:rPr>
          <w:rFonts w:ascii="Arial" w:eastAsia="SimSun" w:hAnsi="Arial"/>
          <w:b/>
          <w:sz w:val="24"/>
          <w:szCs w:val="24"/>
          <w:lang w:eastAsia="zh-CN"/>
        </w:rPr>
        <w:t>17</w:t>
      </w:r>
      <w:r>
        <w:rPr>
          <w:rFonts w:ascii="Arial" w:eastAsia="SimSun" w:hAnsi="Arial"/>
          <w:b/>
          <w:sz w:val="24"/>
          <w:szCs w:val="24"/>
          <w:lang w:eastAsia="zh-CN"/>
        </w:rPr>
        <w:t>-</w:t>
      </w:r>
      <w:r w:rsidR="00C94AC7">
        <w:rPr>
          <w:rFonts w:ascii="Arial" w:eastAsia="SimSun" w:hAnsi="Arial"/>
          <w:b/>
          <w:sz w:val="24"/>
          <w:szCs w:val="24"/>
          <w:lang w:eastAsia="zh-CN"/>
        </w:rPr>
        <w:t>25</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1D196E7C" w:rsidR="009F52D7" w:rsidRPr="00303915" w:rsidRDefault="009F52D7" w:rsidP="009F52D7">
      <w:pPr>
        <w:pStyle w:val="CH"/>
        <w:rPr>
          <w:sz w:val="24"/>
          <w:szCs w:val="24"/>
        </w:rPr>
      </w:pPr>
      <w:r w:rsidRPr="00303915">
        <w:rPr>
          <w:sz w:val="24"/>
          <w:szCs w:val="24"/>
        </w:rPr>
        <w:t>Agenda item:</w:t>
      </w:r>
      <w:r w:rsidRPr="00303915">
        <w:rPr>
          <w:sz w:val="24"/>
          <w:szCs w:val="24"/>
        </w:rPr>
        <w:tab/>
      </w:r>
      <w:r w:rsidR="00C94AC7" w:rsidRPr="00E077C2">
        <w:rPr>
          <w:sz w:val="24"/>
          <w:szCs w:val="24"/>
        </w:rPr>
        <w:t>6</w:t>
      </w:r>
      <w:r w:rsidR="005D1B1F" w:rsidRPr="00E077C2">
        <w:rPr>
          <w:sz w:val="24"/>
          <w:szCs w:val="24"/>
        </w:rPr>
        <w:t>.1</w:t>
      </w:r>
      <w:r w:rsidR="00C94AC7" w:rsidRPr="00E077C2">
        <w:rPr>
          <w:sz w:val="24"/>
          <w:szCs w:val="24"/>
        </w:rPr>
        <w:t>2</w:t>
      </w:r>
      <w:r w:rsidR="005D1B1F" w:rsidRPr="00E077C2">
        <w:rPr>
          <w:sz w:val="24"/>
          <w:szCs w:val="24"/>
        </w:rPr>
        <w:t>.</w:t>
      </w:r>
      <w:r w:rsidR="00C94AC7" w:rsidRPr="00E077C2">
        <w:rPr>
          <w:sz w:val="24"/>
          <w:szCs w:val="24"/>
        </w:rPr>
        <w:t>2</w:t>
      </w:r>
      <w:r w:rsidR="005D1B1F" w:rsidRPr="00E077C2">
        <w:rPr>
          <w:sz w:val="24"/>
          <w:szCs w:val="24"/>
        </w:rPr>
        <w:t>.</w:t>
      </w:r>
      <w:r w:rsidR="00C94AC7" w:rsidRPr="00E077C2">
        <w:rPr>
          <w:sz w:val="24"/>
          <w:szCs w:val="24"/>
        </w:rPr>
        <w:t>1.</w:t>
      </w:r>
      <w:r w:rsidR="003012DD" w:rsidRPr="00E077C2">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E56891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2F1D20" w:rsidRPr="002F1D20">
        <w:rPr>
          <w:sz w:val="24"/>
          <w:szCs w:val="24"/>
        </w:rPr>
        <w:t>Discussion on CSI reporting requirements in intercell interference scenarios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7DFB98F7" w:rsidR="00C94AC7" w:rsidRPr="00316E46" w:rsidRDefault="00C94AC7" w:rsidP="00C94AC7">
      <w:pPr>
        <w:spacing w:after="120"/>
        <w:rPr>
          <w:sz w:val="20"/>
          <w:szCs w:val="20"/>
        </w:rPr>
      </w:pPr>
      <w:r w:rsidRPr="00E077C2">
        <w:rPr>
          <w:sz w:val="20"/>
          <w:szCs w:val="20"/>
        </w:rPr>
        <w:t>In RAN4#10</w:t>
      </w:r>
      <w:r w:rsidR="00E077C2" w:rsidRPr="00E077C2">
        <w:rPr>
          <w:sz w:val="20"/>
          <w:szCs w:val="20"/>
        </w:rPr>
        <w:t>1</w:t>
      </w:r>
      <w:r w:rsidRPr="00E077C2">
        <w:rPr>
          <w:sz w:val="20"/>
          <w:szCs w:val="20"/>
        </w:rPr>
        <w:t xml:space="preserve">-e </w:t>
      </w:r>
      <w:r w:rsidR="00911BAD" w:rsidRPr="00E077C2">
        <w:rPr>
          <w:sz w:val="20"/>
          <w:szCs w:val="20"/>
        </w:rPr>
        <w:t xml:space="preserve">CSI requirements for inter-cell interference MMSE-IRC </w:t>
      </w:r>
      <w:r w:rsidRPr="00E077C2">
        <w:rPr>
          <w:sz w:val="20"/>
          <w:szCs w:val="20"/>
        </w:rPr>
        <w:t>was discussed and way forward [1] was agreed. In this contribution we present our views on the simulation assumptions for requirements definition and simulation results.</w:t>
      </w:r>
      <w:r w:rsidRPr="00316E46">
        <w:rPr>
          <w:sz w:val="20"/>
          <w:szCs w:val="20"/>
        </w:rPr>
        <w:t xml:space="preserve">  </w:t>
      </w:r>
    </w:p>
    <w:p w14:paraId="4EAFA8EB" w14:textId="77777777" w:rsidR="009F52D7" w:rsidRDefault="009F52D7" w:rsidP="009F52D7">
      <w:pPr>
        <w:pStyle w:val="Heading1"/>
      </w:pPr>
      <w:r>
        <w:t>2. Discussion</w:t>
      </w:r>
    </w:p>
    <w:p w14:paraId="6BB3AD6B" w14:textId="65608952" w:rsidR="009F52D7" w:rsidRDefault="00911BAD" w:rsidP="005B410D">
      <w:pPr>
        <w:spacing w:after="120"/>
        <w:rPr>
          <w:rFonts w:eastAsia="SimSun"/>
          <w:sz w:val="20"/>
          <w:szCs w:val="20"/>
          <w:lang w:val="en-GB" w:eastAsia="en-GB"/>
        </w:rPr>
      </w:pPr>
      <w:r>
        <w:rPr>
          <w:rFonts w:eastAsia="SimSun"/>
          <w:sz w:val="20"/>
          <w:szCs w:val="20"/>
          <w:lang w:val="en-GB" w:eastAsia="en-GB"/>
        </w:rPr>
        <w:t>In RAN4#101-e for CQI reporting requirements in ICI the following were agreed:</w:t>
      </w:r>
    </w:p>
    <w:p w14:paraId="0C688952" w14:textId="2D315D8C" w:rsidR="00911BAD" w:rsidRDefault="00911BAD" w:rsidP="005B410D">
      <w:pPr>
        <w:spacing w:after="120"/>
        <w:rPr>
          <w:rFonts w:eastAsia="SimSun"/>
          <w:sz w:val="20"/>
          <w:szCs w:val="20"/>
          <w:lang w:val="en-GB" w:eastAsia="en-GB"/>
        </w:rPr>
      </w:pPr>
      <w:r>
        <w:rPr>
          <w:rFonts w:eastAsia="SimSun"/>
          <w:sz w:val="20"/>
          <w:szCs w:val="20"/>
          <w:lang w:val="en-GB" w:eastAsia="en-GB"/>
        </w:rPr>
        <w:t>Interference Model</w:t>
      </w:r>
    </w:p>
    <w:p w14:paraId="59DE9F7F" w14:textId="2DF5C96E" w:rsidR="00911BAD" w:rsidRDefault="00911BAD" w:rsidP="005B410D">
      <w:pPr>
        <w:spacing w:after="120"/>
        <w:rPr>
          <w:rFonts w:eastAsia="SimSun"/>
          <w:sz w:val="20"/>
          <w:szCs w:val="20"/>
          <w:lang w:val="en-GB" w:eastAsia="en-GB"/>
        </w:rPr>
      </w:pPr>
      <w:r>
        <w:rPr>
          <w:rFonts w:eastAsia="SimSun"/>
          <w:sz w:val="20"/>
          <w:szCs w:val="20"/>
          <w:lang w:val="en-GB" w:eastAsia="en-GB"/>
        </w:rPr>
        <w:tab/>
        <w:t>CSI-IM on target cell overlaps with PDSCH from interference</w:t>
      </w:r>
    </w:p>
    <w:p w14:paraId="705FA335" w14:textId="5A56838A" w:rsidR="00911BAD" w:rsidRDefault="00911BAD" w:rsidP="005B410D">
      <w:pPr>
        <w:spacing w:after="120"/>
        <w:rPr>
          <w:rFonts w:eastAsia="SimSun"/>
          <w:sz w:val="20"/>
          <w:szCs w:val="20"/>
          <w:lang w:val="en-GB" w:eastAsia="en-GB"/>
        </w:rPr>
      </w:pPr>
      <w:r>
        <w:rPr>
          <w:rFonts w:eastAsia="SimSun"/>
          <w:sz w:val="20"/>
          <w:szCs w:val="20"/>
          <w:lang w:val="en-GB" w:eastAsia="en-GB"/>
        </w:rPr>
        <w:tab/>
        <w:t>NZP CSI-RS from target cell overlaps with NZP CSI-RS from interference</w:t>
      </w:r>
    </w:p>
    <w:p w14:paraId="5912E175" w14:textId="04036BEB" w:rsidR="00C55539" w:rsidRDefault="00C55539" w:rsidP="005B410D">
      <w:pPr>
        <w:spacing w:after="120"/>
        <w:rPr>
          <w:rFonts w:eastAsia="SimSun"/>
          <w:sz w:val="20"/>
          <w:szCs w:val="20"/>
          <w:lang w:val="en-GB" w:eastAsia="en-GB"/>
        </w:rPr>
      </w:pPr>
      <w:r>
        <w:rPr>
          <w:rFonts w:eastAsia="SimSun"/>
          <w:sz w:val="20"/>
          <w:szCs w:val="20"/>
          <w:lang w:val="en-GB" w:eastAsia="en-GB"/>
        </w:rPr>
        <w:t xml:space="preserve">The simulation </w:t>
      </w:r>
      <w:r w:rsidR="00A33B5F">
        <w:rPr>
          <w:rFonts w:eastAsia="SimSun"/>
          <w:sz w:val="20"/>
          <w:szCs w:val="20"/>
          <w:lang w:val="en-GB" w:eastAsia="en-GB"/>
        </w:rPr>
        <w:t>assumptions</w:t>
      </w:r>
      <w:r>
        <w:rPr>
          <w:rFonts w:eastAsia="SimSun"/>
          <w:sz w:val="20"/>
          <w:szCs w:val="20"/>
          <w:lang w:val="en-GB" w:eastAsia="en-GB"/>
        </w:rPr>
        <w:t xml:space="preserve"> were also agreed in [1].</w:t>
      </w:r>
    </w:p>
    <w:p w14:paraId="44013021" w14:textId="7FC587FB" w:rsidR="00C55539" w:rsidRDefault="00C55539" w:rsidP="005B410D">
      <w:pPr>
        <w:spacing w:after="120"/>
        <w:rPr>
          <w:rFonts w:eastAsia="SimSun"/>
          <w:sz w:val="20"/>
          <w:szCs w:val="20"/>
          <w:lang w:val="en-GB" w:eastAsia="en-GB"/>
        </w:rPr>
      </w:pPr>
      <w:r>
        <w:rPr>
          <w:rFonts w:eastAsia="SimSun"/>
          <w:sz w:val="20"/>
          <w:szCs w:val="20"/>
          <w:lang w:val="en-GB" w:eastAsia="en-GB"/>
        </w:rPr>
        <w:t>The open issues related to CQI reporting requirements in ICI are the antenna configuration for target cell</w:t>
      </w:r>
      <w:r w:rsidR="00F8344F">
        <w:rPr>
          <w:rFonts w:eastAsia="SimSun"/>
          <w:sz w:val="20"/>
          <w:szCs w:val="20"/>
          <w:lang w:val="en-GB" w:eastAsia="en-GB"/>
        </w:rPr>
        <w:t xml:space="preserve"> </w:t>
      </w:r>
      <w:r>
        <w:rPr>
          <w:rFonts w:eastAsia="SimSun"/>
          <w:sz w:val="20"/>
          <w:szCs w:val="20"/>
          <w:lang w:val="en-GB" w:eastAsia="en-GB"/>
        </w:rPr>
        <w:t xml:space="preserve">and test metrics. </w:t>
      </w:r>
    </w:p>
    <w:p w14:paraId="57FEB2CD" w14:textId="53153E8B" w:rsidR="002E45EE" w:rsidRDefault="002E45EE" w:rsidP="005B410D">
      <w:pPr>
        <w:spacing w:after="120"/>
        <w:rPr>
          <w:rFonts w:eastAsia="SimSun"/>
          <w:sz w:val="20"/>
          <w:szCs w:val="20"/>
          <w:lang w:val="en-GB" w:eastAsia="en-GB"/>
        </w:rPr>
      </w:pPr>
      <w:r>
        <w:rPr>
          <w:rFonts w:eastAsia="SimSun"/>
          <w:sz w:val="20"/>
          <w:szCs w:val="20"/>
          <w:lang w:val="en-GB" w:eastAsia="en-GB"/>
        </w:rPr>
        <w:t xml:space="preserve">For the simulation parameters agreed in [1] we evaluated the performance of CQI reporting in ICI with different antenna configurations. </w:t>
      </w:r>
      <w:r w:rsidR="00727E21">
        <w:rPr>
          <w:rFonts w:eastAsia="SimSun"/>
          <w:sz w:val="20"/>
          <w:szCs w:val="20"/>
          <w:lang w:val="en-GB" w:eastAsia="en-GB"/>
        </w:rPr>
        <w:t xml:space="preserve">The TP gain with MMSE and MMSE-IRC processing for CQI processing is presented. </w:t>
      </w:r>
    </w:p>
    <w:p w14:paraId="6FF6FCCE" w14:textId="65985820" w:rsidR="002E45EE" w:rsidRPr="00727E21" w:rsidRDefault="002E45EE" w:rsidP="005B410D">
      <w:pPr>
        <w:spacing w:after="120"/>
        <w:rPr>
          <w:rFonts w:eastAsia="SimSun"/>
          <w:b/>
          <w:bCs/>
          <w:sz w:val="20"/>
          <w:szCs w:val="20"/>
          <w:lang w:val="en-GB" w:eastAsia="en-GB"/>
        </w:rPr>
      </w:pPr>
      <w:r w:rsidRPr="00727E21">
        <w:rPr>
          <w:rFonts w:eastAsia="SimSun"/>
          <w:b/>
          <w:bCs/>
          <w:sz w:val="20"/>
          <w:szCs w:val="20"/>
          <w:lang w:val="en-GB" w:eastAsia="en-GB"/>
        </w:rPr>
        <w:t>2RX</w:t>
      </w:r>
    </w:p>
    <w:p w14:paraId="3A53B340" w14:textId="05AB59DC" w:rsidR="00727E21" w:rsidRDefault="00727E21" w:rsidP="00727E21">
      <w:pPr>
        <w:pStyle w:val="Caption"/>
        <w:keepNext/>
        <w:jc w:val="center"/>
      </w:pPr>
      <w:r>
        <w:t xml:space="preserve">Table </w:t>
      </w:r>
      <w:r w:rsidR="00E077C2">
        <w:fldChar w:fldCharType="begin"/>
      </w:r>
      <w:r w:rsidR="00E077C2">
        <w:instrText xml:space="preserve"> SEQ Table \* ARABIC </w:instrText>
      </w:r>
      <w:r w:rsidR="00E077C2">
        <w:fldChar w:fldCharType="separate"/>
      </w:r>
      <w:r>
        <w:rPr>
          <w:noProof/>
        </w:rPr>
        <w:t>1</w:t>
      </w:r>
      <w:r w:rsidR="00E077C2">
        <w:rPr>
          <w:noProof/>
        </w:rPr>
        <w:fldChar w:fldCharType="end"/>
      </w:r>
      <w:r>
        <w:t>: TP Gain with MMSE and MMSE-IRC processing for CQI with 2RX</w:t>
      </w: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275"/>
        <w:gridCol w:w="1325"/>
        <w:gridCol w:w="1275"/>
        <w:gridCol w:w="1325"/>
      </w:tblGrid>
      <w:tr w:rsidR="002E45EE" w:rsidRPr="002E45EE" w14:paraId="6FBE6BBD" w14:textId="77777777" w:rsidTr="002E45EE">
        <w:trPr>
          <w:trHeight w:val="320"/>
          <w:jc w:val="center"/>
        </w:trPr>
        <w:tc>
          <w:tcPr>
            <w:tcW w:w="1300" w:type="dxa"/>
            <w:vMerge w:val="restart"/>
            <w:shd w:val="clear" w:color="auto" w:fill="auto"/>
            <w:noWrap/>
            <w:vAlign w:val="center"/>
            <w:hideMark/>
          </w:tcPr>
          <w:p w14:paraId="12B8825F" w14:textId="77777777" w:rsidR="002E45EE" w:rsidRPr="002E45EE" w:rsidRDefault="002E45EE" w:rsidP="002E45EE">
            <w:pPr>
              <w:jc w:val="center"/>
              <w:rPr>
                <w:rFonts w:eastAsia="Times New Roman"/>
                <w:b/>
                <w:bCs/>
                <w:color w:val="000000"/>
                <w:sz w:val="20"/>
                <w:szCs w:val="20"/>
              </w:rPr>
            </w:pPr>
            <w:r w:rsidRPr="002E45EE">
              <w:rPr>
                <w:rFonts w:eastAsia="Times New Roman"/>
                <w:b/>
                <w:bCs/>
                <w:color w:val="000000"/>
                <w:sz w:val="20"/>
                <w:szCs w:val="20"/>
              </w:rPr>
              <w:t>SINR (dB)</w:t>
            </w:r>
          </w:p>
        </w:tc>
        <w:tc>
          <w:tcPr>
            <w:tcW w:w="2600" w:type="dxa"/>
            <w:gridSpan w:val="2"/>
            <w:shd w:val="clear" w:color="auto" w:fill="auto"/>
            <w:noWrap/>
            <w:vAlign w:val="center"/>
            <w:hideMark/>
          </w:tcPr>
          <w:p w14:paraId="4B6E336E" w14:textId="77777777" w:rsidR="002E45EE" w:rsidRPr="002E45EE" w:rsidRDefault="002E45EE" w:rsidP="002E45EE">
            <w:pPr>
              <w:jc w:val="center"/>
              <w:rPr>
                <w:rFonts w:eastAsia="Times New Roman"/>
                <w:b/>
                <w:bCs/>
                <w:color w:val="000000"/>
                <w:sz w:val="20"/>
                <w:szCs w:val="20"/>
              </w:rPr>
            </w:pPr>
            <w:r w:rsidRPr="002E45EE">
              <w:rPr>
                <w:rFonts w:eastAsia="Times New Roman"/>
                <w:b/>
                <w:bCs/>
                <w:color w:val="000000"/>
                <w:sz w:val="20"/>
                <w:szCs w:val="20"/>
              </w:rPr>
              <w:t>1x2</w:t>
            </w:r>
          </w:p>
        </w:tc>
        <w:tc>
          <w:tcPr>
            <w:tcW w:w="2600" w:type="dxa"/>
            <w:gridSpan w:val="2"/>
            <w:shd w:val="clear" w:color="auto" w:fill="auto"/>
            <w:noWrap/>
            <w:vAlign w:val="center"/>
            <w:hideMark/>
          </w:tcPr>
          <w:p w14:paraId="5DB7D049" w14:textId="77777777" w:rsidR="002E45EE" w:rsidRPr="002E45EE" w:rsidRDefault="002E45EE" w:rsidP="002E45EE">
            <w:pPr>
              <w:jc w:val="center"/>
              <w:rPr>
                <w:rFonts w:eastAsia="Times New Roman"/>
                <w:b/>
                <w:bCs/>
                <w:color w:val="000000"/>
                <w:sz w:val="20"/>
                <w:szCs w:val="20"/>
              </w:rPr>
            </w:pPr>
            <w:r w:rsidRPr="002E45EE">
              <w:rPr>
                <w:rFonts w:eastAsia="Times New Roman"/>
                <w:b/>
                <w:bCs/>
                <w:color w:val="000000"/>
                <w:sz w:val="20"/>
                <w:szCs w:val="20"/>
              </w:rPr>
              <w:t>2x2</w:t>
            </w:r>
          </w:p>
        </w:tc>
      </w:tr>
      <w:tr w:rsidR="002E45EE" w:rsidRPr="002E45EE" w14:paraId="1BFCD503" w14:textId="77777777" w:rsidTr="002E45EE">
        <w:trPr>
          <w:trHeight w:val="320"/>
          <w:jc w:val="center"/>
        </w:trPr>
        <w:tc>
          <w:tcPr>
            <w:tcW w:w="1300" w:type="dxa"/>
            <w:vMerge/>
            <w:vAlign w:val="center"/>
            <w:hideMark/>
          </w:tcPr>
          <w:p w14:paraId="77382F16" w14:textId="77777777" w:rsidR="002E45EE" w:rsidRPr="002E45EE" w:rsidRDefault="002E45EE" w:rsidP="002E45EE">
            <w:pPr>
              <w:jc w:val="left"/>
              <w:rPr>
                <w:rFonts w:eastAsia="Times New Roman"/>
                <w:b/>
                <w:bCs/>
                <w:color w:val="000000"/>
                <w:sz w:val="20"/>
                <w:szCs w:val="20"/>
              </w:rPr>
            </w:pPr>
          </w:p>
        </w:tc>
        <w:tc>
          <w:tcPr>
            <w:tcW w:w="1275" w:type="dxa"/>
            <w:shd w:val="clear" w:color="auto" w:fill="auto"/>
            <w:noWrap/>
            <w:vAlign w:val="center"/>
            <w:hideMark/>
          </w:tcPr>
          <w:p w14:paraId="417361E4" w14:textId="77777777" w:rsidR="002E45EE" w:rsidRPr="002E45EE" w:rsidRDefault="002E45EE" w:rsidP="002E45EE">
            <w:pPr>
              <w:jc w:val="center"/>
              <w:rPr>
                <w:rFonts w:eastAsia="Times New Roman"/>
                <w:b/>
                <w:bCs/>
                <w:color w:val="000000"/>
                <w:sz w:val="20"/>
                <w:szCs w:val="20"/>
              </w:rPr>
            </w:pPr>
            <w:r w:rsidRPr="002E45EE">
              <w:rPr>
                <w:rFonts w:eastAsia="Times New Roman"/>
                <w:b/>
                <w:bCs/>
                <w:color w:val="000000"/>
                <w:sz w:val="20"/>
                <w:szCs w:val="20"/>
              </w:rPr>
              <w:t>CSI MMSE</w:t>
            </w:r>
          </w:p>
        </w:tc>
        <w:tc>
          <w:tcPr>
            <w:tcW w:w="1325" w:type="dxa"/>
            <w:shd w:val="clear" w:color="auto" w:fill="auto"/>
            <w:noWrap/>
            <w:vAlign w:val="center"/>
            <w:hideMark/>
          </w:tcPr>
          <w:p w14:paraId="027F4E42" w14:textId="77777777" w:rsidR="002E45EE" w:rsidRPr="002E45EE" w:rsidRDefault="002E45EE" w:rsidP="002E45EE">
            <w:pPr>
              <w:jc w:val="center"/>
              <w:rPr>
                <w:rFonts w:eastAsia="Times New Roman"/>
                <w:b/>
                <w:bCs/>
                <w:color w:val="000000"/>
                <w:sz w:val="20"/>
                <w:szCs w:val="20"/>
              </w:rPr>
            </w:pPr>
            <w:r w:rsidRPr="002E45EE">
              <w:rPr>
                <w:rFonts w:eastAsia="Times New Roman"/>
                <w:b/>
                <w:bCs/>
                <w:color w:val="000000"/>
                <w:sz w:val="20"/>
                <w:szCs w:val="20"/>
              </w:rPr>
              <w:t>MMSE-IRC</w:t>
            </w:r>
          </w:p>
        </w:tc>
        <w:tc>
          <w:tcPr>
            <w:tcW w:w="1275" w:type="dxa"/>
            <w:shd w:val="clear" w:color="auto" w:fill="auto"/>
            <w:noWrap/>
            <w:vAlign w:val="center"/>
            <w:hideMark/>
          </w:tcPr>
          <w:p w14:paraId="68E9F910" w14:textId="77777777" w:rsidR="002E45EE" w:rsidRPr="002E45EE" w:rsidRDefault="002E45EE" w:rsidP="002E45EE">
            <w:pPr>
              <w:jc w:val="center"/>
              <w:rPr>
                <w:rFonts w:eastAsia="Times New Roman"/>
                <w:b/>
                <w:bCs/>
                <w:color w:val="000000"/>
                <w:sz w:val="20"/>
                <w:szCs w:val="20"/>
              </w:rPr>
            </w:pPr>
            <w:r w:rsidRPr="002E45EE">
              <w:rPr>
                <w:rFonts w:eastAsia="Times New Roman"/>
                <w:b/>
                <w:bCs/>
                <w:color w:val="000000"/>
                <w:sz w:val="20"/>
                <w:szCs w:val="20"/>
              </w:rPr>
              <w:t>CSI MMSE</w:t>
            </w:r>
          </w:p>
        </w:tc>
        <w:tc>
          <w:tcPr>
            <w:tcW w:w="1325" w:type="dxa"/>
            <w:shd w:val="clear" w:color="auto" w:fill="auto"/>
            <w:noWrap/>
            <w:vAlign w:val="center"/>
            <w:hideMark/>
          </w:tcPr>
          <w:p w14:paraId="7304D8C4" w14:textId="77777777" w:rsidR="002E45EE" w:rsidRPr="002E45EE" w:rsidRDefault="002E45EE" w:rsidP="002E45EE">
            <w:pPr>
              <w:jc w:val="center"/>
              <w:rPr>
                <w:rFonts w:eastAsia="Times New Roman"/>
                <w:b/>
                <w:bCs/>
                <w:color w:val="000000"/>
                <w:sz w:val="20"/>
                <w:szCs w:val="20"/>
              </w:rPr>
            </w:pPr>
            <w:r w:rsidRPr="002E45EE">
              <w:rPr>
                <w:rFonts w:eastAsia="Times New Roman"/>
                <w:b/>
                <w:bCs/>
                <w:color w:val="000000"/>
                <w:sz w:val="20"/>
                <w:szCs w:val="20"/>
              </w:rPr>
              <w:t>MMSE-IRC</w:t>
            </w:r>
          </w:p>
        </w:tc>
      </w:tr>
      <w:tr w:rsidR="002E45EE" w:rsidRPr="002E45EE" w14:paraId="1546E30A" w14:textId="77777777" w:rsidTr="002E45EE">
        <w:trPr>
          <w:trHeight w:val="320"/>
          <w:jc w:val="center"/>
        </w:trPr>
        <w:tc>
          <w:tcPr>
            <w:tcW w:w="1300" w:type="dxa"/>
            <w:shd w:val="clear" w:color="auto" w:fill="auto"/>
            <w:noWrap/>
            <w:vAlign w:val="center"/>
            <w:hideMark/>
          </w:tcPr>
          <w:p w14:paraId="249263C2"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3</w:t>
            </w:r>
          </w:p>
        </w:tc>
        <w:tc>
          <w:tcPr>
            <w:tcW w:w="1275" w:type="dxa"/>
            <w:shd w:val="clear" w:color="auto" w:fill="auto"/>
            <w:noWrap/>
            <w:vAlign w:val="center"/>
            <w:hideMark/>
          </w:tcPr>
          <w:p w14:paraId="1F09C7BF"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0.83</w:t>
            </w:r>
          </w:p>
        </w:tc>
        <w:tc>
          <w:tcPr>
            <w:tcW w:w="1325" w:type="dxa"/>
            <w:shd w:val="clear" w:color="auto" w:fill="auto"/>
            <w:noWrap/>
            <w:vAlign w:val="center"/>
            <w:hideMark/>
          </w:tcPr>
          <w:p w14:paraId="55409BB0"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2.46</w:t>
            </w:r>
          </w:p>
        </w:tc>
        <w:tc>
          <w:tcPr>
            <w:tcW w:w="1275" w:type="dxa"/>
            <w:shd w:val="clear" w:color="auto" w:fill="auto"/>
            <w:noWrap/>
            <w:vAlign w:val="center"/>
            <w:hideMark/>
          </w:tcPr>
          <w:p w14:paraId="2AA19CB6"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0.91</w:t>
            </w:r>
          </w:p>
        </w:tc>
        <w:tc>
          <w:tcPr>
            <w:tcW w:w="1325" w:type="dxa"/>
            <w:shd w:val="clear" w:color="auto" w:fill="auto"/>
            <w:noWrap/>
            <w:vAlign w:val="center"/>
            <w:hideMark/>
          </w:tcPr>
          <w:p w14:paraId="1505A991"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2.14</w:t>
            </w:r>
          </w:p>
        </w:tc>
      </w:tr>
      <w:tr w:rsidR="002E45EE" w:rsidRPr="002E45EE" w14:paraId="7FBF77CC" w14:textId="77777777" w:rsidTr="002E45EE">
        <w:trPr>
          <w:trHeight w:val="320"/>
          <w:jc w:val="center"/>
        </w:trPr>
        <w:tc>
          <w:tcPr>
            <w:tcW w:w="1300" w:type="dxa"/>
            <w:shd w:val="clear" w:color="auto" w:fill="auto"/>
            <w:noWrap/>
            <w:vAlign w:val="center"/>
            <w:hideMark/>
          </w:tcPr>
          <w:p w14:paraId="5B80B56C"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4</w:t>
            </w:r>
          </w:p>
        </w:tc>
        <w:tc>
          <w:tcPr>
            <w:tcW w:w="1275" w:type="dxa"/>
            <w:shd w:val="clear" w:color="auto" w:fill="auto"/>
            <w:noWrap/>
            <w:vAlign w:val="center"/>
            <w:hideMark/>
          </w:tcPr>
          <w:p w14:paraId="73BCD250"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0.84</w:t>
            </w:r>
          </w:p>
        </w:tc>
        <w:tc>
          <w:tcPr>
            <w:tcW w:w="1325" w:type="dxa"/>
            <w:shd w:val="clear" w:color="auto" w:fill="auto"/>
            <w:noWrap/>
            <w:vAlign w:val="center"/>
            <w:hideMark/>
          </w:tcPr>
          <w:p w14:paraId="2DDD3E5A"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2.27</w:t>
            </w:r>
          </w:p>
        </w:tc>
        <w:tc>
          <w:tcPr>
            <w:tcW w:w="1275" w:type="dxa"/>
            <w:shd w:val="clear" w:color="auto" w:fill="auto"/>
            <w:noWrap/>
            <w:vAlign w:val="center"/>
            <w:hideMark/>
          </w:tcPr>
          <w:p w14:paraId="1BADBCC4"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0.91</w:t>
            </w:r>
          </w:p>
        </w:tc>
        <w:tc>
          <w:tcPr>
            <w:tcW w:w="1325" w:type="dxa"/>
            <w:shd w:val="clear" w:color="auto" w:fill="auto"/>
            <w:noWrap/>
            <w:vAlign w:val="center"/>
            <w:hideMark/>
          </w:tcPr>
          <w:p w14:paraId="732F7C46"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2.02</w:t>
            </w:r>
          </w:p>
        </w:tc>
      </w:tr>
      <w:tr w:rsidR="002E45EE" w:rsidRPr="002E45EE" w14:paraId="438DDEDC" w14:textId="77777777" w:rsidTr="002E45EE">
        <w:trPr>
          <w:trHeight w:val="320"/>
          <w:jc w:val="center"/>
        </w:trPr>
        <w:tc>
          <w:tcPr>
            <w:tcW w:w="1300" w:type="dxa"/>
            <w:shd w:val="clear" w:color="auto" w:fill="auto"/>
            <w:noWrap/>
            <w:vAlign w:val="center"/>
            <w:hideMark/>
          </w:tcPr>
          <w:p w14:paraId="6F63BC60"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5</w:t>
            </w:r>
          </w:p>
        </w:tc>
        <w:tc>
          <w:tcPr>
            <w:tcW w:w="1275" w:type="dxa"/>
            <w:shd w:val="clear" w:color="auto" w:fill="auto"/>
            <w:noWrap/>
            <w:vAlign w:val="center"/>
            <w:hideMark/>
          </w:tcPr>
          <w:p w14:paraId="603EA509"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0.85</w:t>
            </w:r>
          </w:p>
        </w:tc>
        <w:tc>
          <w:tcPr>
            <w:tcW w:w="1325" w:type="dxa"/>
            <w:shd w:val="clear" w:color="auto" w:fill="auto"/>
            <w:noWrap/>
            <w:vAlign w:val="center"/>
            <w:hideMark/>
          </w:tcPr>
          <w:p w14:paraId="5E4E3557"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2.18</w:t>
            </w:r>
          </w:p>
        </w:tc>
        <w:tc>
          <w:tcPr>
            <w:tcW w:w="1275" w:type="dxa"/>
            <w:shd w:val="clear" w:color="auto" w:fill="auto"/>
            <w:noWrap/>
            <w:vAlign w:val="center"/>
            <w:hideMark/>
          </w:tcPr>
          <w:p w14:paraId="79613A18"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0.92</w:t>
            </w:r>
          </w:p>
        </w:tc>
        <w:tc>
          <w:tcPr>
            <w:tcW w:w="1325" w:type="dxa"/>
            <w:shd w:val="clear" w:color="auto" w:fill="auto"/>
            <w:noWrap/>
            <w:vAlign w:val="center"/>
            <w:hideMark/>
          </w:tcPr>
          <w:p w14:paraId="21FEB5B7"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1.90</w:t>
            </w:r>
          </w:p>
        </w:tc>
      </w:tr>
      <w:tr w:rsidR="002E45EE" w:rsidRPr="002E45EE" w14:paraId="30790BD9" w14:textId="77777777" w:rsidTr="002E45EE">
        <w:trPr>
          <w:trHeight w:val="320"/>
          <w:jc w:val="center"/>
        </w:trPr>
        <w:tc>
          <w:tcPr>
            <w:tcW w:w="1300" w:type="dxa"/>
            <w:shd w:val="clear" w:color="auto" w:fill="auto"/>
            <w:noWrap/>
            <w:vAlign w:val="center"/>
            <w:hideMark/>
          </w:tcPr>
          <w:p w14:paraId="34AB6C4C"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6</w:t>
            </w:r>
          </w:p>
        </w:tc>
        <w:tc>
          <w:tcPr>
            <w:tcW w:w="1275" w:type="dxa"/>
            <w:shd w:val="clear" w:color="auto" w:fill="auto"/>
            <w:noWrap/>
            <w:vAlign w:val="center"/>
            <w:hideMark/>
          </w:tcPr>
          <w:p w14:paraId="2F66794D"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0.86</w:t>
            </w:r>
          </w:p>
        </w:tc>
        <w:tc>
          <w:tcPr>
            <w:tcW w:w="1325" w:type="dxa"/>
            <w:shd w:val="clear" w:color="auto" w:fill="auto"/>
            <w:noWrap/>
            <w:vAlign w:val="center"/>
            <w:hideMark/>
          </w:tcPr>
          <w:p w14:paraId="094842B6"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2.03</w:t>
            </w:r>
          </w:p>
        </w:tc>
        <w:tc>
          <w:tcPr>
            <w:tcW w:w="1275" w:type="dxa"/>
            <w:shd w:val="clear" w:color="auto" w:fill="auto"/>
            <w:noWrap/>
            <w:vAlign w:val="center"/>
            <w:hideMark/>
          </w:tcPr>
          <w:p w14:paraId="3433FB63"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0.93</w:t>
            </w:r>
          </w:p>
        </w:tc>
        <w:tc>
          <w:tcPr>
            <w:tcW w:w="1325" w:type="dxa"/>
            <w:shd w:val="clear" w:color="auto" w:fill="auto"/>
            <w:noWrap/>
            <w:vAlign w:val="center"/>
            <w:hideMark/>
          </w:tcPr>
          <w:p w14:paraId="493FD271"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1.81</w:t>
            </w:r>
          </w:p>
        </w:tc>
      </w:tr>
      <w:tr w:rsidR="002E45EE" w:rsidRPr="002E45EE" w14:paraId="15D771DE" w14:textId="77777777" w:rsidTr="002E45EE">
        <w:trPr>
          <w:trHeight w:val="320"/>
          <w:jc w:val="center"/>
        </w:trPr>
        <w:tc>
          <w:tcPr>
            <w:tcW w:w="1300" w:type="dxa"/>
            <w:shd w:val="clear" w:color="auto" w:fill="auto"/>
            <w:noWrap/>
            <w:vAlign w:val="center"/>
            <w:hideMark/>
          </w:tcPr>
          <w:p w14:paraId="2EC852A8"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7</w:t>
            </w:r>
          </w:p>
        </w:tc>
        <w:tc>
          <w:tcPr>
            <w:tcW w:w="1275" w:type="dxa"/>
            <w:shd w:val="clear" w:color="auto" w:fill="auto"/>
            <w:noWrap/>
            <w:vAlign w:val="center"/>
            <w:hideMark/>
          </w:tcPr>
          <w:p w14:paraId="5617D42B"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0.86</w:t>
            </w:r>
          </w:p>
        </w:tc>
        <w:tc>
          <w:tcPr>
            <w:tcW w:w="1325" w:type="dxa"/>
            <w:shd w:val="clear" w:color="auto" w:fill="auto"/>
            <w:noWrap/>
            <w:vAlign w:val="center"/>
            <w:hideMark/>
          </w:tcPr>
          <w:p w14:paraId="6B3346FE"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1.92</w:t>
            </w:r>
          </w:p>
        </w:tc>
        <w:tc>
          <w:tcPr>
            <w:tcW w:w="1275" w:type="dxa"/>
            <w:shd w:val="clear" w:color="auto" w:fill="auto"/>
            <w:noWrap/>
            <w:vAlign w:val="center"/>
            <w:hideMark/>
          </w:tcPr>
          <w:p w14:paraId="29376228"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0.93</w:t>
            </w:r>
          </w:p>
        </w:tc>
        <w:tc>
          <w:tcPr>
            <w:tcW w:w="1325" w:type="dxa"/>
            <w:shd w:val="clear" w:color="auto" w:fill="auto"/>
            <w:noWrap/>
            <w:vAlign w:val="center"/>
            <w:hideMark/>
          </w:tcPr>
          <w:p w14:paraId="4CBD50F4"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1.72</w:t>
            </w:r>
          </w:p>
        </w:tc>
      </w:tr>
      <w:tr w:rsidR="002E45EE" w:rsidRPr="002E45EE" w14:paraId="3CF69C7F" w14:textId="77777777" w:rsidTr="002E45EE">
        <w:trPr>
          <w:trHeight w:val="320"/>
          <w:jc w:val="center"/>
        </w:trPr>
        <w:tc>
          <w:tcPr>
            <w:tcW w:w="1300" w:type="dxa"/>
            <w:shd w:val="clear" w:color="auto" w:fill="auto"/>
            <w:noWrap/>
            <w:vAlign w:val="center"/>
            <w:hideMark/>
          </w:tcPr>
          <w:p w14:paraId="0538013B"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8</w:t>
            </w:r>
          </w:p>
        </w:tc>
        <w:tc>
          <w:tcPr>
            <w:tcW w:w="1275" w:type="dxa"/>
            <w:shd w:val="clear" w:color="auto" w:fill="auto"/>
            <w:noWrap/>
            <w:vAlign w:val="center"/>
            <w:hideMark/>
          </w:tcPr>
          <w:p w14:paraId="5093F505"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0.87</w:t>
            </w:r>
          </w:p>
        </w:tc>
        <w:tc>
          <w:tcPr>
            <w:tcW w:w="1325" w:type="dxa"/>
            <w:shd w:val="clear" w:color="auto" w:fill="auto"/>
            <w:noWrap/>
            <w:vAlign w:val="center"/>
            <w:hideMark/>
          </w:tcPr>
          <w:p w14:paraId="572BB0AF"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1.81</w:t>
            </w:r>
          </w:p>
        </w:tc>
        <w:tc>
          <w:tcPr>
            <w:tcW w:w="1275" w:type="dxa"/>
            <w:shd w:val="clear" w:color="auto" w:fill="auto"/>
            <w:noWrap/>
            <w:vAlign w:val="center"/>
            <w:hideMark/>
          </w:tcPr>
          <w:p w14:paraId="42260AAE"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0.92</w:t>
            </w:r>
          </w:p>
        </w:tc>
        <w:tc>
          <w:tcPr>
            <w:tcW w:w="1325" w:type="dxa"/>
            <w:shd w:val="clear" w:color="auto" w:fill="auto"/>
            <w:noWrap/>
            <w:vAlign w:val="center"/>
            <w:hideMark/>
          </w:tcPr>
          <w:p w14:paraId="48749EA3"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1.69</w:t>
            </w:r>
          </w:p>
        </w:tc>
      </w:tr>
      <w:tr w:rsidR="002E45EE" w:rsidRPr="002E45EE" w14:paraId="5F53E4C6" w14:textId="77777777" w:rsidTr="002E45EE">
        <w:trPr>
          <w:trHeight w:val="320"/>
          <w:jc w:val="center"/>
        </w:trPr>
        <w:tc>
          <w:tcPr>
            <w:tcW w:w="1300" w:type="dxa"/>
            <w:shd w:val="clear" w:color="auto" w:fill="auto"/>
            <w:noWrap/>
            <w:vAlign w:val="center"/>
            <w:hideMark/>
          </w:tcPr>
          <w:p w14:paraId="5BDE8056"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9</w:t>
            </w:r>
          </w:p>
        </w:tc>
        <w:tc>
          <w:tcPr>
            <w:tcW w:w="1275" w:type="dxa"/>
            <w:shd w:val="clear" w:color="auto" w:fill="auto"/>
            <w:noWrap/>
            <w:vAlign w:val="center"/>
            <w:hideMark/>
          </w:tcPr>
          <w:p w14:paraId="01EE5909"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0.89</w:t>
            </w:r>
          </w:p>
        </w:tc>
        <w:tc>
          <w:tcPr>
            <w:tcW w:w="1325" w:type="dxa"/>
            <w:shd w:val="clear" w:color="auto" w:fill="auto"/>
            <w:noWrap/>
            <w:vAlign w:val="center"/>
            <w:hideMark/>
          </w:tcPr>
          <w:p w14:paraId="2FDA5010"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1.74</w:t>
            </w:r>
          </w:p>
        </w:tc>
        <w:tc>
          <w:tcPr>
            <w:tcW w:w="1275" w:type="dxa"/>
            <w:shd w:val="clear" w:color="auto" w:fill="auto"/>
            <w:noWrap/>
            <w:vAlign w:val="center"/>
            <w:hideMark/>
          </w:tcPr>
          <w:p w14:paraId="653E4C94"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0.93</w:t>
            </w:r>
          </w:p>
        </w:tc>
        <w:tc>
          <w:tcPr>
            <w:tcW w:w="1325" w:type="dxa"/>
            <w:shd w:val="clear" w:color="auto" w:fill="auto"/>
            <w:noWrap/>
            <w:vAlign w:val="center"/>
            <w:hideMark/>
          </w:tcPr>
          <w:p w14:paraId="220CC7A6"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1.60</w:t>
            </w:r>
          </w:p>
        </w:tc>
      </w:tr>
      <w:tr w:rsidR="002E45EE" w:rsidRPr="002E45EE" w14:paraId="346A5622" w14:textId="77777777" w:rsidTr="002E45EE">
        <w:trPr>
          <w:trHeight w:val="320"/>
          <w:jc w:val="center"/>
        </w:trPr>
        <w:tc>
          <w:tcPr>
            <w:tcW w:w="1300" w:type="dxa"/>
            <w:shd w:val="clear" w:color="auto" w:fill="auto"/>
            <w:noWrap/>
            <w:vAlign w:val="center"/>
            <w:hideMark/>
          </w:tcPr>
          <w:p w14:paraId="307C65FC"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10</w:t>
            </w:r>
          </w:p>
        </w:tc>
        <w:tc>
          <w:tcPr>
            <w:tcW w:w="1275" w:type="dxa"/>
            <w:shd w:val="clear" w:color="auto" w:fill="auto"/>
            <w:noWrap/>
            <w:vAlign w:val="center"/>
            <w:hideMark/>
          </w:tcPr>
          <w:p w14:paraId="2F613729"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0.90</w:t>
            </w:r>
          </w:p>
        </w:tc>
        <w:tc>
          <w:tcPr>
            <w:tcW w:w="1325" w:type="dxa"/>
            <w:shd w:val="clear" w:color="auto" w:fill="auto"/>
            <w:noWrap/>
            <w:vAlign w:val="center"/>
            <w:hideMark/>
          </w:tcPr>
          <w:p w14:paraId="3F8DE5BA"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1.67</w:t>
            </w:r>
          </w:p>
        </w:tc>
        <w:tc>
          <w:tcPr>
            <w:tcW w:w="1275" w:type="dxa"/>
            <w:shd w:val="clear" w:color="auto" w:fill="auto"/>
            <w:noWrap/>
            <w:vAlign w:val="center"/>
            <w:hideMark/>
          </w:tcPr>
          <w:p w14:paraId="41B2F580"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0.94</w:t>
            </w:r>
          </w:p>
        </w:tc>
        <w:tc>
          <w:tcPr>
            <w:tcW w:w="1325" w:type="dxa"/>
            <w:shd w:val="clear" w:color="auto" w:fill="auto"/>
            <w:noWrap/>
            <w:vAlign w:val="center"/>
            <w:hideMark/>
          </w:tcPr>
          <w:p w14:paraId="0980FCAE"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1.55</w:t>
            </w:r>
          </w:p>
        </w:tc>
      </w:tr>
      <w:tr w:rsidR="002E45EE" w:rsidRPr="002E45EE" w14:paraId="72243C80" w14:textId="77777777" w:rsidTr="002E45EE">
        <w:trPr>
          <w:trHeight w:val="320"/>
          <w:jc w:val="center"/>
        </w:trPr>
        <w:tc>
          <w:tcPr>
            <w:tcW w:w="1300" w:type="dxa"/>
            <w:shd w:val="clear" w:color="auto" w:fill="auto"/>
            <w:noWrap/>
            <w:vAlign w:val="center"/>
            <w:hideMark/>
          </w:tcPr>
          <w:p w14:paraId="6E7735A8"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11</w:t>
            </w:r>
          </w:p>
        </w:tc>
        <w:tc>
          <w:tcPr>
            <w:tcW w:w="1275" w:type="dxa"/>
            <w:shd w:val="clear" w:color="auto" w:fill="auto"/>
            <w:noWrap/>
            <w:vAlign w:val="center"/>
            <w:hideMark/>
          </w:tcPr>
          <w:p w14:paraId="6E527008"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0.89</w:t>
            </w:r>
          </w:p>
        </w:tc>
        <w:tc>
          <w:tcPr>
            <w:tcW w:w="1325" w:type="dxa"/>
            <w:shd w:val="clear" w:color="auto" w:fill="auto"/>
            <w:noWrap/>
            <w:vAlign w:val="center"/>
            <w:hideMark/>
          </w:tcPr>
          <w:p w14:paraId="6BA0C270"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1.61</w:t>
            </w:r>
          </w:p>
        </w:tc>
        <w:tc>
          <w:tcPr>
            <w:tcW w:w="1275" w:type="dxa"/>
            <w:shd w:val="clear" w:color="auto" w:fill="auto"/>
            <w:noWrap/>
            <w:vAlign w:val="center"/>
            <w:hideMark/>
          </w:tcPr>
          <w:p w14:paraId="1150334F"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0.94</w:t>
            </w:r>
          </w:p>
        </w:tc>
        <w:tc>
          <w:tcPr>
            <w:tcW w:w="1325" w:type="dxa"/>
            <w:shd w:val="clear" w:color="auto" w:fill="auto"/>
            <w:noWrap/>
            <w:vAlign w:val="center"/>
            <w:hideMark/>
          </w:tcPr>
          <w:p w14:paraId="4CCD1179"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1.53</w:t>
            </w:r>
          </w:p>
        </w:tc>
      </w:tr>
      <w:tr w:rsidR="002E45EE" w:rsidRPr="002E45EE" w14:paraId="70BB545C" w14:textId="77777777" w:rsidTr="002E45EE">
        <w:trPr>
          <w:trHeight w:val="320"/>
          <w:jc w:val="center"/>
        </w:trPr>
        <w:tc>
          <w:tcPr>
            <w:tcW w:w="1300" w:type="dxa"/>
            <w:shd w:val="clear" w:color="auto" w:fill="auto"/>
            <w:noWrap/>
            <w:vAlign w:val="center"/>
            <w:hideMark/>
          </w:tcPr>
          <w:p w14:paraId="7331E9C4"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12</w:t>
            </w:r>
          </w:p>
        </w:tc>
        <w:tc>
          <w:tcPr>
            <w:tcW w:w="1275" w:type="dxa"/>
            <w:shd w:val="clear" w:color="auto" w:fill="auto"/>
            <w:noWrap/>
            <w:vAlign w:val="center"/>
            <w:hideMark/>
          </w:tcPr>
          <w:p w14:paraId="5CE1FA5D"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0.91</w:t>
            </w:r>
          </w:p>
        </w:tc>
        <w:tc>
          <w:tcPr>
            <w:tcW w:w="1325" w:type="dxa"/>
            <w:shd w:val="clear" w:color="auto" w:fill="auto"/>
            <w:noWrap/>
            <w:vAlign w:val="center"/>
            <w:hideMark/>
          </w:tcPr>
          <w:p w14:paraId="644EACDB"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1.57</w:t>
            </w:r>
          </w:p>
        </w:tc>
        <w:tc>
          <w:tcPr>
            <w:tcW w:w="1275" w:type="dxa"/>
            <w:shd w:val="clear" w:color="auto" w:fill="auto"/>
            <w:noWrap/>
            <w:vAlign w:val="center"/>
            <w:hideMark/>
          </w:tcPr>
          <w:p w14:paraId="394A3D0D"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0.95</w:t>
            </w:r>
          </w:p>
        </w:tc>
        <w:tc>
          <w:tcPr>
            <w:tcW w:w="1325" w:type="dxa"/>
            <w:shd w:val="clear" w:color="auto" w:fill="auto"/>
            <w:noWrap/>
            <w:vAlign w:val="center"/>
            <w:hideMark/>
          </w:tcPr>
          <w:p w14:paraId="70150059" w14:textId="77777777" w:rsidR="002E45EE" w:rsidRPr="002E45EE" w:rsidRDefault="002E45EE" w:rsidP="002E45EE">
            <w:pPr>
              <w:jc w:val="center"/>
              <w:rPr>
                <w:rFonts w:eastAsia="Times New Roman"/>
                <w:color w:val="000000"/>
                <w:sz w:val="20"/>
                <w:szCs w:val="20"/>
              </w:rPr>
            </w:pPr>
            <w:r w:rsidRPr="002E45EE">
              <w:rPr>
                <w:rFonts w:eastAsia="Times New Roman"/>
                <w:color w:val="000000"/>
                <w:sz w:val="20"/>
                <w:szCs w:val="20"/>
              </w:rPr>
              <w:t>1.50</w:t>
            </w:r>
          </w:p>
        </w:tc>
      </w:tr>
    </w:tbl>
    <w:p w14:paraId="2079B1D9" w14:textId="08E39887" w:rsidR="002E45EE" w:rsidRDefault="00727E21" w:rsidP="005B410D">
      <w:pPr>
        <w:spacing w:after="120"/>
        <w:rPr>
          <w:rFonts w:eastAsia="SimSun"/>
          <w:sz w:val="20"/>
          <w:szCs w:val="20"/>
          <w:lang w:val="en-GB" w:eastAsia="en-GB"/>
        </w:rPr>
      </w:pPr>
      <w:r>
        <w:rPr>
          <w:rFonts w:eastAsia="SimSun"/>
          <w:sz w:val="20"/>
          <w:szCs w:val="20"/>
          <w:lang w:val="en-GB" w:eastAsia="en-GB"/>
        </w:rPr>
        <w:lastRenderedPageBreak/>
        <w:t>For 2 RX antenna, the TP gain with 1TX is slightly higher than with 2TX.</w:t>
      </w:r>
      <w:r w:rsidR="00B36392">
        <w:rPr>
          <w:rFonts w:eastAsia="SimSun"/>
          <w:sz w:val="20"/>
          <w:szCs w:val="20"/>
          <w:lang w:val="en-GB" w:eastAsia="en-GB"/>
        </w:rPr>
        <w:t xml:space="preserve"> </w:t>
      </w:r>
      <w:r w:rsidR="00AE67B9">
        <w:rPr>
          <w:rFonts w:eastAsia="SimSun"/>
          <w:sz w:val="20"/>
          <w:szCs w:val="20"/>
          <w:lang w:val="en-GB" w:eastAsia="en-GB"/>
        </w:rPr>
        <w:t xml:space="preserve">The TP gain with MMSE processing for CSI is much lower than with MMSE-IRC processing. </w:t>
      </w:r>
    </w:p>
    <w:p w14:paraId="182B8C92" w14:textId="5665A09D" w:rsidR="002E45EE" w:rsidRPr="00727E21" w:rsidRDefault="002E45EE" w:rsidP="005B410D">
      <w:pPr>
        <w:spacing w:after="120"/>
        <w:rPr>
          <w:rFonts w:eastAsia="SimSun"/>
          <w:b/>
          <w:bCs/>
          <w:sz w:val="20"/>
          <w:szCs w:val="20"/>
          <w:lang w:val="en-GB" w:eastAsia="en-GB"/>
        </w:rPr>
      </w:pPr>
      <w:r w:rsidRPr="00727E21">
        <w:rPr>
          <w:rFonts w:eastAsia="SimSun"/>
          <w:b/>
          <w:bCs/>
          <w:sz w:val="20"/>
          <w:szCs w:val="20"/>
          <w:lang w:val="en-GB" w:eastAsia="en-GB"/>
        </w:rPr>
        <w:t>4RX</w:t>
      </w:r>
    </w:p>
    <w:p w14:paraId="5F65070C" w14:textId="4B22EBE1" w:rsidR="00C55539" w:rsidRPr="00727E21" w:rsidRDefault="00727E21" w:rsidP="00727E21">
      <w:pPr>
        <w:pStyle w:val="Caption"/>
        <w:keepNext/>
        <w:jc w:val="center"/>
      </w:pPr>
      <w:r>
        <w:t xml:space="preserve">Table </w:t>
      </w:r>
      <w:fldSimple w:instr=" SEQ Table \* ARABIC ">
        <w:r>
          <w:rPr>
            <w:noProof/>
          </w:rPr>
          <w:t>2</w:t>
        </w:r>
      </w:fldSimple>
      <w:r>
        <w:t xml:space="preserve">: TP Gain with MMSE and MMSE-IRC processing for CQI with </w:t>
      </w:r>
      <w:r w:rsidR="00AE67B9">
        <w:t>4</w:t>
      </w:r>
      <w:r>
        <w:t>RX</w:t>
      </w: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275"/>
        <w:gridCol w:w="1325"/>
        <w:gridCol w:w="1275"/>
        <w:gridCol w:w="1325"/>
      </w:tblGrid>
      <w:tr w:rsidR="00727E21" w:rsidRPr="00727E21" w14:paraId="75B6BB31" w14:textId="77777777" w:rsidTr="00727E21">
        <w:trPr>
          <w:trHeight w:val="320"/>
          <w:jc w:val="center"/>
        </w:trPr>
        <w:tc>
          <w:tcPr>
            <w:tcW w:w="1300" w:type="dxa"/>
            <w:vMerge w:val="restart"/>
            <w:shd w:val="clear" w:color="auto" w:fill="auto"/>
            <w:noWrap/>
            <w:vAlign w:val="center"/>
            <w:hideMark/>
          </w:tcPr>
          <w:p w14:paraId="4719AE65" w14:textId="77777777" w:rsidR="00727E21" w:rsidRPr="00727E21" w:rsidRDefault="00727E21" w:rsidP="00727E21">
            <w:pPr>
              <w:jc w:val="center"/>
              <w:rPr>
                <w:rFonts w:eastAsia="Times New Roman"/>
                <w:b/>
                <w:bCs/>
                <w:color w:val="000000"/>
                <w:sz w:val="20"/>
                <w:szCs w:val="20"/>
              </w:rPr>
            </w:pPr>
            <w:r w:rsidRPr="00727E21">
              <w:rPr>
                <w:rFonts w:eastAsia="Times New Roman"/>
                <w:b/>
                <w:bCs/>
                <w:color w:val="000000"/>
                <w:sz w:val="20"/>
                <w:szCs w:val="20"/>
              </w:rPr>
              <w:t>SINR (dB)</w:t>
            </w:r>
          </w:p>
        </w:tc>
        <w:tc>
          <w:tcPr>
            <w:tcW w:w="2600" w:type="dxa"/>
            <w:gridSpan w:val="2"/>
            <w:shd w:val="clear" w:color="auto" w:fill="auto"/>
            <w:noWrap/>
            <w:vAlign w:val="center"/>
            <w:hideMark/>
          </w:tcPr>
          <w:p w14:paraId="3F4444AA" w14:textId="77777777" w:rsidR="00727E21" w:rsidRPr="00727E21" w:rsidRDefault="00727E21" w:rsidP="00727E21">
            <w:pPr>
              <w:jc w:val="center"/>
              <w:rPr>
                <w:rFonts w:eastAsia="Times New Roman"/>
                <w:b/>
                <w:bCs/>
                <w:color w:val="000000"/>
                <w:sz w:val="20"/>
                <w:szCs w:val="20"/>
              </w:rPr>
            </w:pPr>
            <w:r w:rsidRPr="00727E21">
              <w:rPr>
                <w:rFonts w:eastAsia="Times New Roman"/>
                <w:b/>
                <w:bCs/>
                <w:color w:val="000000"/>
                <w:sz w:val="20"/>
                <w:szCs w:val="20"/>
              </w:rPr>
              <w:t>1x4</w:t>
            </w:r>
          </w:p>
        </w:tc>
        <w:tc>
          <w:tcPr>
            <w:tcW w:w="2600" w:type="dxa"/>
            <w:gridSpan w:val="2"/>
            <w:shd w:val="clear" w:color="auto" w:fill="auto"/>
            <w:noWrap/>
            <w:vAlign w:val="center"/>
            <w:hideMark/>
          </w:tcPr>
          <w:p w14:paraId="390AFDC8" w14:textId="77777777" w:rsidR="00727E21" w:rsidRPr="00727E21" w:rsidRDefault="00727E21" w:rsidP="00727E21">
            <w:pPr>
              <w:jc w:val="center"/>
              <w:rPr>
                <w:rFonts w:eastAsia="Times New Roman"/>
                <w:b/>
                <w:bCs/>
                <w:color w:val="000000"/>
                <w:sz w:val="20"/>
                <w:szCs w:val="20"/>
              </w:rPr>
            </w:pPr>
            <w:r w:rsidRPr="00727E21">
              <w:rPr>
                <w:rFonts w:eastAsia="Times New Roman"/>
                <w:b/>
                <w:bCs/>
                <w:color w:val="000000"/>
                <w:sz w:val="20"/>
                <w:szCs w:val="20"/>
              </w:rPr>
              <w:t>2x4</w:t>
            </w:r>
          </w:p>
        </w:tc>
      </w:tr>
      <w:tr w:rsidR="00727E21" w:rsidRPr="00727E21" w14:paraId="643885F8" w14:textId="77777777" w:rsidTr="00727E21">
        <w:trPr>
          <w:trHeight w:val="320"/>
          <w:jc w:val="center"/>
        </w:trPr>
        <w:tc>
          <w:tcPr>
            <w:tcW w:w="1300" w:type="dxa"/>
            <w:vMerge/>
            <w:vAlign w:val="center"/>
            <w:hideMark/>
          </w:tcPr>
          <w:p w14:paraId="7E384953" w14:textId="77777777" w:rsidR="00727E21" w:rsidRPr="00727E21" w:rsidRDefault="00727E21" w:rsidP="00727E21">
            <w:pPr>
              <w:jc w:val="center"/>
              <w:rPr>
                <w:rFonts w:eastAsia="Times New Roman"/>
                <w:b/>
                <w:bCs/>
                <w:color w:val="000000"/>
                <w:sz w:val="20"/>
                <w:szCs w:val="20"/>
              </w:rPr>
            </w:pPr>
          </w:p>
        </w:tc>
        <w:tc>
          <w:tcPr>
            <w:tcW w:w="1275" w:type="dxa"/>
            <w:shd w:val="clear" w:color="auto" w:fill="auto"/>
            <w:noWrap/>
            <w:vAlign w:val="center"/>
            <w:hideMark/>
          </w:tcPr>
          <w:p w14:paraId="5061DF2D" w14:textId="77777777" w:rsidR="00727E21" w:rsidRPr="00727E21" w:rsidRDefault="00727E21" w:rsidP="00727E21">
            <w:pPr>
              <w:jc w:val="center"/>
              <w:rPr>
                <w:rFonts w:eastAsia="Times New Roman"/>
                <w:b/>
                <w:bCs/>
                <w:color w:val="000000"/>
                <w:sz w:val="20"/>
                <w:szCs w:val="20"/>
              </w:rPr>
            </w:pPr>
            <w:r w:rsidRPr="00727E21">
              <w:rPr>
                <w:rFonts w:eastAsia="Times New Roman"/>
                <w:b/>
                <w:bCs/>
                <w:color w:val="000000"/>
                <w:sz w:val="20"/>
                <w:szCs w:val="20"/>
              </w:rPr>
              <w:t>CSI MMSE</w:t>
            </w:r>
          </w:p>
        </w:tc>
        <w:tc>
          <w:tcPr>
            <w:tcW w:w="1325" w:type="dxa"/>
            <w:shd w:val="clear" w:color="auto" w:fill="auto"/>
            <w:noWrap/>
            <w:vAlign w:val="center"/>
            <w:hideMark/>
          </w:tcPr>
          <w:p w14:paraId="55BB9C16" w14:textId="77777777" w:rsidR="00727E21" w:rsidRPr="00727E21" w:rsidRDefault="00727E21" w:rsidP="00727E21">
            <w:pPr>
              <w:jc w:val="center"/>
              <w:rPr>
                <w:rFonts w:eastAsia="Times New Roman"/>
                <w:b/>
                <w:bCs/>
                <w:color w:val="000000"/>
                <w:sz w:val="20"/>
                <w:szCs w:val="20"/>
              </w:rPr>
            </w:pPr>
            <w:r w:rsidRPr="00727E21">
              <w:rPr>
                <w:rFonts w:eastAsia="Times New Roman"/>
                <w:b/>
                <w:bCs/>
                <w:color w:val="000000"/>
                <w:sz w:val="20"/>
                <w:szCs w:val="20"/>
              </w:rPr>
              <w:t>MMSE-IRC</w:t>
            </w:r>
          </w:p>
        </w:tc>
        <w:tc>
          <w:tcPr>
            <w:tcW w:w="1275" w:type="dxa"/>
            <w:shd w:val="clear" w:color="auto" w:fill="auto"/>
            <w:noWrap/>
            <w:vAlign w:val="center"/>
            <w:hideMark/>
          </w:tcPr>
          <w:p w14:paraId="195FD08F" w14:textId="77777777" w:rsidR="00727E21" w:rsidRPr="00727E21" w:rsidRDefault="00727E21" w:rsidP="00727E21">
            <w:pPr>
              <w:jc w:val="center"/>
              <w:rPr>
                <w:rFonts w:eastAsia="Times New Roman"/>
                <w:b/>
                <w:bCs/>
                <w:color w:val="000000"/>
                <w:sz w:val="20"/>
                <w:szCs w:val="20"/>
              </w:rPr>
            </w:pPr>
            <w:r w:rsidRPr="00727E21">
              <w:rPr>
                <w:rFonts w:eastAsia="Times New Roman"/>
                <w:b/>
                <w:bCs/>
                <w:color w:val="000000"/>
                <w:sz w:val="20"/>
                <w:szCs w:val="20"/>
              </w:rPr>
              <w:t>CSI MMSE</w:t>
            </w:r>
          </w:p>
        </w:tc>
        <w:tc>
          <w:tcPr>
            <w:tcW w:w="1325" w:type="dxa"/>
            <w:shd w:val="clear" w:color="auto" w:fill="auto"/>
            <w:noWrap/>
            <w:vAlign w:val="center"/>
            <w:hideMark/>
          </w:tcPr>
          <w:p w14:paraId="0BD0CC41" w14:textId="77777777" w:rsidR="00727E21" w:rsidRPr="00727E21" w:rsidRDefault="00727E21" w:rsidP="00727E21">
            <w:pPr>
              <w:jc w:val="center"/>
              <w:rPr>
                <w:rFonts w:eastAsia="Times New Roman"/>
                <w:b/>
                <w:bCs/>
                <w:color w:val="000000"/>
                <w:sz w:val="20"/>
                <w:szCs w:val="20"/>
              </w:rPr>
            </w:pPr>
            <w:r w:rsidRPr="00727E21">
              <w:rPr>
                <w:rFonts w:eastAsia="Times New Roman"/>
                <w:b/>
                <w:bCs/>
                <w:color w:val="000000"/>
                <w:sz w:val="20"/>
                <w:szCs w:val="20"/>
              </w:rPr>
              <w:t>MMSE-IRC</w:t>
            </w:r>
          </w:p>
        </w:tc>
      </w:tr>
      <w:tr w:rsidR="00727E21" w:rsidRPr="00727E21" w14:paraId="3EBCB715" w14:textId="77777777" w:rsidTr="00727E21">
        <w:trPr>
          <w:trHeight w:val="320"/>
          <w:jc w:val="center"/>
        </w:trPr>
        <w:tc>
          <w:tcPr>
            <w:tcW w:w="1300" w:type="dxa"/>
            <w:shd w:val="clear" w:color="auto" w:fill="auto"/>
            <w:noWrap/>
            <w:vAlign w:val="center"/>
            <w:hideMark/>
          </w:tcPr>
          <w:p w14:paraId="65CCAD99"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3</w:t>
            </w:r>
          </w:p>
        </w:tc>
        <w:tc>
          <w:tcPr>
            <w:tcW w:w="1275" w:type="dxa"/>
            <w:shd w:val="clear" w:color="auto" w:fill="auto"/>
            <w:noWrap/>
            <w:vAlign w:val="center"/>
            <w:hideMark/>
          </w:tcPr>
          <w:p w14:paraId="782CA118"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0.80</w:t>
            </w:r>
          </w:p>
        </w:tc>
        <w:tc>
          <w:tcPr>
            <w:tcW w:w="1325" w:type="dxa"/>
            <w:shd w:val="clear" w:color="auto" w:fill="auto"/>
            <w:noWrap/>
            <w:vAlign w:val="center"/>
            <w:hideMark/>
          </w:tcPr>
          <w:p w14:paraId="632CFFBE"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2.35</w:t>
            </w:r>
          </w:p>
        </w:tc>
        <w:tc>
          <w:tcPr>
            <w:tcW w:w="1275" w:type="dxa"/>
            <w:shd w:val="clear" w:color="auto" w:fill="auto"/>
            <w:noWrap/>
            <w:vAlign w:val="center"/>
            <w:hideMark/>
          </w:tcPr>
          <w:p w14:paraId="505BF6C3"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0.82</w:t>
            </w:r>
          </w:p>
        </w:tc>
        <w:tc>
          <w:tcPr>
            <w:tcW w:w="1325" w:type="dxa"/>
            <w:shd w:val="clear" w:color="auto" w:fill="auto"/>
            <w:noWrap/>
            <w:vAlign w:val="center"/>
            <w:hideMark/>
          </w:tcPr>
          <w:p w14:paraId="73166F67"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2.41</w:t>
            </w:r>
          </w:p>
        </w:tc>
      </w:tr>
      <w:tr w:rsidR="00727E21" w:rsidRPr="00727E21" w14:paraId="272F4EC9" w14:textId="77777777" w:rsidTr="00727E21">
        <w:trPr>
          <w:trHeight w:val="320"/>
          <w:jc w:val="center"/>
        </w:trPr>
        <w:tc>
          <w:tcPr>
            <w:tcW w:w="1300" w:type="dxa"/>
            <w:shd w:val="clear" w:color="auto" w:fill="auto"/>
            <w:noWrap/>
            <w:vAlign w:val="center"/>
            <w:hideMark/>
          </w:tcPr>
          <w:p w14:paraId="68C8736C"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4</w:t>
            </w:r>
          </w:p>
        </w:tc>
        <w:tc>
          <w:tcPr>
            <w:tcW w:w="1275" w:type="dxa"/>
            <w:shd w:val="clear" w:color="auto" w:fill="auto"/>
            <w:noWrap/>
            <w:vAlign w:val="center"/>
            <w:hideMark/>
          </w:tcPr>
          <w:p w14:paraId="6D00EB6B"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0.78</w:t>
            </w:r>
          </w:p>
        </w:tc>
        <w:tc>
          <w:tcPr>
            <w:tcW w:w="1325" w:type="dxa"/>
            <w:shd w:val="clear" w:color="auto" w:fill="auto"/>
            <w:noWrap/>
            <w:vAlign w:val="center"/>
            <w:hideMark/>
          </w:tcPr>
          <w:p w14:paraId="57546B5F"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2.19</w:t>
            </w:r>
          </w:p>
        </w:tc>
        <w:tc>
          <w:tcPr>
            <w:tcW w:w="1275" w:type="dxa"/>
            <w:shd w:val="clear" w:color="auto" w:fill="auto"/>
            <w:noWrap/>
            <w:vAlign w:val="center"/>
            <w:hideMark/>
          </w:tcPr>
          <w:p w14:paraId="5CA7ECF5"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0.89</w:t>
            </w:r>
          </w:p>
        </w:tc>
        <w:tc>
          <w:tcPr>
            <w:tcW w:w="1325" w:type="dxa"/>
            <w:shd w:val="clear" w:color="auto" w:fill="auto"/>
            <w:noWrap/>
            <w:vAlign w:val="center"/>
            <w:hideMark/>
          </w:tcPr>
          <w:p w14:paraId="313A5DDA"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2.49</w:t>
            </w:r>
          </w:p>
        </w:tc>
      </w:tr>
      <w:tr w:rsidR="00727E21" w:rsidRPr="00727E21" w14:paraId="74585889" w14:textId="77777777" w:rsidTr="00727E21">
        <w:trPr>
          <w:trHeight w:val="320"/>
          <w:jc w:val="center"/>
        </w:trPr>
        <w:tc>
          <w:tcPr>
            <w:tcW w:w="1300" w:type="dxa"/>
            <w:shd w:val="clear" w:color="auto" w:fill="auto"/>
            <w:noWrap/>
            <w:vAlign w:val="center"/>
            <w:hideMark/>
          </w:tcPr>
          <w:p w14:paraId="5CEE3FA6"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5</w:t>
            </w:r>
          </w:p>
        </w:tc>
        <w:tc>
          <w:tcPr>
            <w:tcW w:w="1275" w:type="dxa"/>
            <w:shd w:val="clear" w:color="auto" w:fill="auto"/>
            <w:noWrap/>
            <w:vAlign w:val="center"/>
            <w:hideMark/>
          </w:tcPr>
          <w:p w14:paraId="3B0C99D9"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0.80</w:t>
            </w:r>
          </w:p>
        </w:tc>
        <w:tc>
          <w:tcPr>
            <w:tcW w:w="1325" w:type="dxa"/>
            <w:shd w:val="clear" w:color="auto" w:fill="auto"/>
            <w:noWrap/>
            <w:vAlign w:val="center"/>
            <w:hideMark/>
          </w:tcPr>
          <w:p w14:paraId="6D76EBCD"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2.07</w:t>
            </w:r>
          </w:p>
        </w:tc>
        <w:tc>
          <w:tcPr>
            <w:tcW w:w="1275" w:type="dxa"/>
            <w:shd w:val="clear" w:color="auto" w:fill="auto"/>
            <w:noWrap/>
            <w:vAlign w:val="center"/>
            <w:hideMark/>
          </w:tcPr>
          <w:p w14:paraId="06410CBD"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0.84</w:t>
            </w:r>
          </w:p>
        </w:tc>
        <w:tc>
          <w:tcPr>
            <w:tcW w:w="1325" w:type="dxa"/>
            <w:shd w:val="clear" w:color="auto" w:fill="auto"/>
            <w:noWrap/>
            <w:vAlign w:val="center"/>
            <w:hideMark/>
          </w:tcPr>
          <w:p w14:paraId="08926C7B"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2.23</w:t>
            </w:r>
          </w:p>
        </w:tc>
      </w:tr>
      <w:tr w:rsidR="00727E21" w:rsidRPr="00727E21" w14:paraId="671B663C" w14:textId="77777777" w:rsidTr="00727E21">
        <w:trPr>
          <w:trHeight w:val="320"/>
          <w:jc w:val="center"/>
        </w:trPr>
        <w:tc>
          <w:tcPr>
            <w:tcW w:w="1300" w:type="dxa"/>
            <w:shd w:val="clear" w:color="auto" w:fill="auto"/>
            <w:noWrap/>
            <w:vAlign w:val="center"/>
            <w:hideMark/>
          </w:tcPr>
          <w:p w14:paraId="7C498643"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6</w:t>
            </w:r>
          </w:p>
        </w:tc>
        <w:tc>
          <w:tcPr>
            <w:tcW w:w="1275" w:type="dxa"/>
            <w:shd w:val="clear" w:color="auto" w:fill="auto"/>
            <w:noWrap/>
            <w:vAlign w:val="center"/>
            <w:hideMark/>
          </w:tcPr>
          <w:p w14:paraId="2BB0BA58"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0.80</w:t>
            </w:r>
          </w:p>
        </w:tc>
        <w:tc>
          <w:tcPr>
            <w:tcW w:w="1325" w:type="dxa"/>
            <w:shd w:val="clear" w:color="auto" w:fill="auto"/>
            <w:noWrap/>
            <w:vAlign w:val="center"/>
            <w:hideMark/>
          </w:tcPr>
          <w:p w14:paraId="35E97B24"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1.99</w:t>
            </w:r>
          </w:p>
        </w:tc>
        <w:tc>
          <w:tcPr>
            <w:tcW w:w="1275" w:type="dxa"/>
            <w:shd w:val="clear" w:color="auto" w:fill="auto"/>
            <w:noWrap/>
            <w:vAlign w:val="center"/>
            <w:hideMark/>
          </w:tcPr>
          <w:p w14:paraId="5925DE42"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0.88</w:t>
            </w:r>
          </w:p>
        </w:tc>
        <w:tc>
          <w:tcPr>
            <w:tcW w:w="1325" w:type="dxa"/>
            <w:shd w:val="clear" w:color="auto" w:fill="auto"/>
            <w:noWrap/>
            <w:vAlign w:val="center"/>
            <w:hideMark/>
          </w:tcPr>
          <w:p w14:paraId="1CCC5D13"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2.15</w:t>
            </w:r>
          </w:p>
        </w:tc>
      </w:tr>
      <w:tr w:rsidR="00727E21" w:rsidRPr="00727E21" w14:paraId="35C57B5D" w14:textId="77777777" w:rsidTr="00727E21">
        <w:trPr>
          <w:trHeight w:val="320"/>
          <w:jc w:val="center"/>
        </w:trPr>
        <w:tc>
          <w:tcPr>
            <w:tcW w:w="1300" w:type="dxa"/>
            <w:shd w:val="clear" w:color="auto" w:fill="auto"/>
            <w:noWrap/>
            <w:vAlign w:val="center"/>
            <w:hideMark/>
          </w:tcPr>
          <w:p w14:paraId="212DFED0"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7</w:t>
            </w:r>
          </w:p>
        </w:tc>
        <w:tc>
          <w:tcPr>
            <w:tcW w:w="1275" w:type="dxa"/>
            <w:shd w:val="clear" w:color="auto" w:fill="auto"/>
            <w:noWrap/>
            <w:vAlign w:val="center"/>
            <w:hideMark/>
          </w:tcPr>
          <w:p w14:paraId="7C95446E"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0.84</w:t>
            </w:r>
          </w:p>
        </w:tc>
        <w:tc>
          <w:tcPr>
            <w:tcW w:w="1325" w:type="dxa"/>
            <w:shd w:val="clear" w:color="auto" w:fill="auto"/>
            <w:noWrap/>
            <w:vAlign w:val="center"/>
            <w:hideMark/>
          </w:tcPr>
          <w:p w14:paraId="056F2C1F"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1.89</w:t>
            </w:r>
          </w:p>
        </w:tc>
        <w:tc>
          <w:tcPr>
            <w:tcW w:w="1275" w:type="dxa"/>
            <w:shd w:val="clear" w:color="auto" w:fill="auto"/>
            <w:noWrap/>
            <w:vAlign w:val="center"/>
            <w:hideMark/>
          </w:tcPr>
          <w:p w14:paraId="14FC53FE"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0.84</w:t>
            </w:r>
          </w:p>
        </w:tc>
        <w:tc>
          <w:tcPr>
            <w:tcW w:w="1325" w:type="dxa"/>
            <w:shd w:val="clear" w:color="auto" w:fill="auto"/>
            <w:noWrap/>
            <w:vAlign w:val="center"/>
            <w:hideMark/>
          </w:tcPr>
          <w:p w14:paraId="2F2EE9A0"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1.99</w:t>
            </w:r>
          </w:p>
        </w:tc>
      </w:tr>
      <w:tr w:rsidR="00727E21" w:rsidRPr="00727E21" w14:paraId="709BDD82" w14:textId="77777777" w:rsidTr="00727E21">
        <w:trPr>
          <w:trHeight w:val="320"/>
          <w:jc w:val="center"/>
        </w:trPr>
        <w:tc>
          <w:tcPr>
            <w:tcW w:w="1300" w:type="dxa"/>
            <w:shd w:val="clear" w:color="auto" w:fill="auto"/>
            <w:noWrap/>
            <w:vAlign w:val="center"/>
            <w:hideMark/>
          </w:tcPr>
          <w:p w14:paraId="741A6943"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8</w:t>
            </w:r>
          </w:p>
        </w:tc>
        <w:tc>
          <w:tcPr>
            <w:tcW w:w="1275" w:type="dxa"/>
            <w:shd w:val="clear" w:color="auto" w:fill="auto"/>
            <w:noWrap/>
            <w:vAlign w:val="center"/>
            <w:hideMark/>
          </w:tcPr>
          <w:p w14:paraId="34451E4F"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0.80</w:t>
            </w:r>
          </w:p>
        </w:tc>
        <w:tc>
          <w:tcPr>
            <w:tcW w:w="1325" w:type="dxa"/>
            <w:shd w:val="clear" w:color="auto" w:fill="auto"/>
            <w:noWrap/>
            <w:vAlign w:val="center"/>
            <w:hideMark/>
          </w:tcPr>
          <w:p w14:paraId="5AA896FD"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1.83</w:t>
            </w:r>
          </w:p>
        </w:tc>
        <w:tc>
          <w:tcPr>
            <w:tcW w:w="1275" w:type="dxa"/>
            <w:shd w:val="clear" w:color="auto" w:fill="auto"/>
            <w:noWrap/>
            <w:vAlign w:val="center"/>
            <w:hideMark/>
          </w:tcPr>
          <w:p w14:paraId="10B53D08"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0.85</w:t>
            </w:r>
          </w:p>
        </w:tc>
        <w:tc>
          <w:tcPr>
            <w:tcW w:w="1325" w:type="dxa"/>
            <w:shd w:val="clear" w:color="auto" w:fill="auto"/>
            <w:noWrap/>
            <w:vAlign w:val="center"/>
            <w:hideMark/>
          </w:tcPr>
          <w:p w14:paraId="13F31C93"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2.03</w:t>
            </w:r>
          </w:p>
        </w:tc>
      </w:tr>
      <w:tr w:rsidR="00727E21" w:rsidRPr="00727E21" w14:paraId="03076849" w14:textId="77777777" w:rsidTr="00727E21">
        <w:trPr>
          <w:trHeight w:val="320"/>
          <w:jc w:val="center"/>
        </w:trPr>
        <w:tc>
          <w:tcPr>
            <w:tcW w:w="1300" w:type="dxa"/>
            <w:shd w:val="clear" w:color="auto" w:fill="auto"/>
            <w:noWrap/>
            <w:vAlign w:val="center"/>
            <w:hideMark/>
          </w:tcPr>
          <w:p w14:paraId="268DC794"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9</w:t>
            </w:r>
          </w:p>
        </w:tc>
        <w:tc>
          <w:tcPr>
            <w:tcW w:w="1275" w:type="dxa"/>
            <w:shd w:val="clear" w:color="auto" w:fill="auto"/>
            <w:noWrap/>
            <w:vAlign w:val="center"/>
            <w:hideMark/>
          </w:tcPr>
          <w:p w14:paraId="282E3C47"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0.83</w:t>
            </w:r>
          </w:p>
        </w:tc>
        <w:tc>
          <w:tcPr>
            <w:tcW w:w="1325" w:type="dxa"/>
            <w:shd w:val="clear" w:color="auto" w:fill="auto"/>
            <w:noWrap/>
            <w:vAlign w:val="center"/>
            <w:hideMark/>
          </w:tcPr>
          <w:p w14:paraId="10CB3C86"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1.77</w:t>
            </w:r>
          </w:p>
        </w:tc>
        <w:tc>
          <w:tcPr>
            <w:tcW w:w="1275" w:type="dxa"/>
            <w:shd w:val="clear" w:color="auto" w:fill="auto"/>
            <w:noWrap/>
            <w:vAlign w:val="center"/>
            <w:hideMark/>
          </w:tcPr>
          <w:p w14:paraId="5FDD9427"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0.82</w:t>
            </w:r>
          </w:p>
        </w:tc>
        <w:tc>
          <w:tcPr>
            <w:tcW w:w="1325" w:type="dxa"/>
            <w:shd w:val="clear" w:color="auto" w:fill="auto"/>
            <w:noWrap/>
            <w:vAlign w:val="center"/>
            <w:hideMark/>
          </w:tcPr>
          <w:p w14:paraId="52899434"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1.84</w:t>
            </w:r>
          </w:p>
        </w:tc>
      </w:tr>
      <w:tr w:rsidR="00727E21" w:rsidRPr="00727E21" w14:paraId="7BD2DFE7" w14:textId="77777777" w:rsidTr="00727E21">
        <w:trPr>
          <w:trHeight w:val="320"/>
          <w:jc w:val="center"/>
        </w:trPr>
        <w:tc>
          <w:tcPr>
            <w:tcW w:w="1300" w:type="dxa"/>
            <w:shd w:val="clear" w:color="auto" w:fill="auto"/>
            <w:noWrap/>
            <w:vAlign w:val="center"/>
            <w:hideMark/>
          </w:tcPr>
          <w:p w14:paraId="4E386061"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10</w:t>
            </w:r>
          </w:p>
        </w:tc>
        <w:tc>
          <w:tcPr>
            <w:tcW w:w="1275" w:type="dxa"/>
            <w:shd w:val="clear" w:color="auto" w:fill="auto"/>
            <w:noWrap/>
            <w:vAlign w:val="center"/>
            <w:hideMark/>
          </w:tcPr>
          <w:p w14:paraId="63D65B5B"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0.83</w:t>
            </w:r>
          </w:p>
        </w:tc>
        <w:tc>
          <w:tcPr>
            <w:tcW w:w="1325" w:type="dxa"/>
            <w:shd w:val="clear" w:color="auto" w:fill="auto"/>
            <w:noWrap/>
            <w:vAlign w:val="center"/>
            <w:hideMark/>
          </w:tcPr>
          <w:p w14:paraId="317B950A"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1.70</w:t>
            </w:r>
          </w:p>
        </w:tc>
        <w:tc>
          <w:tcPr>
            <w:tcW w:w="1275" w:type="dxa"/>
            <w:shd w:val="clear" w:color="auto" w:fill="auto"/>
            <w:noWrap/>
            <w:vAlign w:val="center"/>
            <w:hideMark/>
          </w:tcPr>
          <w:p w14:paraId="6D117872"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0.85</w:t>
            </w:r>
          </w:p>
        </w:tc>
        <w:tc>
          <w:tcPr>
            <w:tcW w:w="1325" w:type="dxa"/>
            <w:shd w:val="clear" w:color="auto" w:fill="auto"/>
            <w:noWrap/>
            <w:vAlign w:val="center"/>
            <w:hideMark/>
          </w:tcPr>
          <w:p w14:paraId="5246A91F"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1.92</w:t>
            </w:r>
          </w:p>
        </w:tc>
      </w:tr>
      <w:tr w:rsidR="00727E21" w:rsidRPr="00727E21" w14:paraId="76FA14DF" w14:textId="77777777" w:rsidTr="00727E21">
        <w:trPr>
          <w:trHeight w:val="320"/>
          <w:jc w:val="center"/>
        </w:trPr>
        <w:tc>
          <w:tcPr>
            <w:tcW w:w="1300" w:type="dxa"/>
            <w:shd w:val="clear" w:color="auto" w:fill="auto"/>
            <w:noWrap/>
            <w:vAlign w:val="center"/>
            <w:hideMark/>
          </w:tcPr>
          <w:p w14:paraId="63E4925C"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11</w:t>
            </w:r>
          </w:p>
        </w:tc>
        <w:tc>
          <w:tcPr>
            <w:tcW w:w="1275" w:type="dxa"/>
            <w:shd w:val="clear" w:color="auto" w:fill="auto"/>
            <w:noWrap/>
            <w:vAlign w:val="center"/>
            <w:hideMark/>
          </w:tcPr>
          <w:p w14:paraId="52CFAD8F"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0.85</w:t>
            </w:r>
          </w:p>
        </w:tc>
        <w:tc>
          <w:tcPr>
            <w:tcW w:w="1325" w:type="dxa"/>
            <w:shd w:val="clear" w:color="auto" w:fill="auto"/>
            <w:noWrap/>
            <w:vAlign w:val="center"/>
            <w:hideMark/>
          </w:tcPr>
          <w:p w14:paraId="04423480"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1.64</w:t>
            </w:r>
          </w:p>
        </w:tc>
        <w:tc>
          <w:tcPr>
            <w:tcW w:w="1275" w:type="dxa"/>
            <w:shd w:val="clear" w:color="auto" w:fill="auto"/>
            <w:noWrap/>
            <w:vAlign w:val="center"/>
            <w:hideMark/>
          </w:tcPr>
          <w:p w14:paraId="7AE4B50A"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0.82</w:t>
            </w:r>
          </w:p>
        </w:tc>
        <w:tc>
          <w:tcPr>
            <w:tcW w:w="1325" w:type="dxa"/>
            <w:shd w:val="clear" w:color="auto" w:fill="auto"/>
            <w:noWrap/>
            <w:vAlign w:val="center"/>
            <w:hideMark/>
          </w:tcPr>
          <w:p w14:paraId="330236B9"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1.78</w:t>
            </w:r>
          </w:p>
        </w:tc>
      </w:tr>
      <w:tr w:rsidR="00727E21" w:rsidRPr="00727E21" w14:paraId="676B5748" w14:textId="77777777" w:rsidTr="00727E21">
        <w:trPr>
          <w:trHeight w:val="320"/>
          <w:jc w:val="center"/>
        </w:trPr>
        <w:tc>
          <w:tcPr>
            <w:tcW w:w="1300" w:type="dxa"/>
            <w:shd w:val="clear" w:color="auto" w:fill="auto"/>
            <w:noWrap/>
            <w:vAlign w:val="center"/>
            <w:hideMark/>
          </w:tcPr>
          <w:p w14:paraId="72FF9BA8"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12</w:t>
            </w:r>
          </w:p>
        </w:tc>
        <w:tc>
          <w:tcPr>
            <w:tcW w:w="1275" w:type="dxa"/>
            <w:shd w:val="clear" w:color="auto" w:fill="auto"/>
            <w:noWrap/>
            <w:vAlign w:val="center"/>
            <w:hideMark/>
          </w:tcPr>
          <w:p w14:paraId="5303648E"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0.85</w:t>
            </w:r>
          </w:p>
        </w:tc>
        <w:tc>
          <w:tcPr>
            <w:tcW w:w="1325" w:type="dxa"/>
            <w:shd w:val="clear" w:color="auto" w:fill="auto"/>
            <w:noWrap/>
            <w:vAlign w:val="center"/>
            <w:hideMark/>
          </w:tcPr>
          <w:p w14:paraId="44358469"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1.62</w:t>
            </w:r>
          </w:p>
        </w:tc>
        <w:tc>
          <w:tcPr>
            <w:tcW w:w="1275" w:type="dxa"/>
            <w:shd w:val="clear" w:color="auto" w:fill="auto"/>
            <w:noWrap/>
            <w:vAlign w:val="center"/>
            <w:hideMark/>
          </w:tcPr>
          <w:p w14:paraId="54258E67"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0.84</w:t>
            </w:r>
          </w:p>
        </w:tc>
        <w:tc>
          <w:tcPr>
            <w:tcW w:w="1325" w:type="dxa"/>
            <w:shd w:val="clear" w:color="auto" w:fill="auto"/>
            <w:noWrap/>
            <w:vAlign w:val="center"/>
            <w:hideMark/>
          </w:tcPr>
          <w:p w14:paraId="3FD4F297" w14:textId="77777777" w:rsidR="00727E21" w:rsidRPr="00727E21" w:rsidRDefault="00727E21" w:rsidP="00727E21">
            <w:pPr>
              <w:jc w:val="center"/>
              <w:rPr>
                <w:rFonts w:eastAsia="Times New Roman"/>
                <w:color w:val="000000"/>
                <w:sz w:val="20"/>
                <w:szCs w:val="20"/>
              </w:rPr>
            </w:pPr>
            <w:r w:rsidRPr="00727E21">
              <w:rPr>
                <w:rFonts w:eastAsia="Times New Roman"/>
                <w:color w:val="000000"/>
                <w:sz w:val="20"/>
                <w:szCs w:val="20"/>
              </w:rPr>
              <w:t>1.77</w:t>
            </w:r>
          </w:p>
        </w:tc>
      </w:tr>
    </w:tbl>
    <w:p w14:paraId="3BF26C53" w14:textId="4671CA2A" w:rsidR="00727E21" w:rsidRDefault="00727E21" w:rsidP="005B410D">
      <w:pPr>
        <w:spacing w:after="120"/>
        <w:rPr>
          <w:rFonts w:eastAsia="SimSun"/>
          <w:sz w:val="20"/>
          <w:szCs w:val="20"/>
          <w:lang w:val="en-GB" w:eastAsia="en-GB"/>
        </w:rPr>
      </w:pPr>
    </w:p>
    <w:p w14:paraId="5152AC5D" w14:textId="7A0AAB95" w:rsidR="00AE67B9" w:rsidRDefault="00AE67B9" w:rsidP="00AE67B9">
      <w:pPr>
        <w:spacing w:after="120"/>
        <w:rPr>
          <w:rFonts w:eastAsia="SimSun"/>
          <w:sz w:val="20"/>
          <w:szCs w:val="20"/>
          <w:lang w:val="en-GB" w:eastAsia="en-GB"/>
        </w:rPr>
      </w:pPr>
      <w:r>
        <w:rPr>
          <w:rFonts w:eastAsia="SimSun"/>
          <w:sz w:val="20"/>
          <w:szCs w:val="20"/>
          <w:lang w:val="en-GB" w:eastAsia="en-GB"/>
        </w:rPr>
        <w:t xml:space="preserve">For 4RX antenna, the TP gain with 2TX is slightly higher than with 1TX. The TP gain with MMSE processing for CSI is much lower than with MMSE-IRC processing. </w:t>
      </w:r>
    </w:p>
    <w:p w14:paraId="16659004" w14:textId="5E7B32E0" w:rsidR="00AE67B9" w:rsidRDefault="00AE67B9"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With 2 RX the TP gain with 1 TX is higher than 2 TX. With 4 RX the TP gain with 2 TX is higher than that with 1 TX.</w:t>
      </w:r>
    </w:p>
    <w:p w14:paraId="375B98D0" w14:textId="72879B6A" w:rsidR="00AE67B9" w:rsidRDefault="00AE67B9" w:rsidP="005B410D">
      <w:pPr>
        <w:spacing w:after="120"/>
        <w:rPr>
          <w:rFonts w:eastAsia="SimSun"/>
          <w:sz w:val="20"/>
          <w:szCs w:val="20"/>
          <w:lang w:val="en-GB" w:eastAsia="en-GB"/>
        </w:rPr>
      </w:pPr>
      <w:r>
        <w:rPr>
          <w:rFonts w:eastAsia="SimSun"/>
          <w:sz w:val="20"/>
          <w:szCs w:val="20"/>
          <w:lang w:val="en-GB" w:eastAsia="en-GB"/>
        </w:rPr>
        <w:t xml:space="preserve">Based on the results, we don’t see a large benefit with either 1TX or 2TX and </w:t>
      </w:r>
      <w:r w:rsidR="005D7138">
        <w:rPr>
          <w:rFonts w:eastAsia="SimSun"/>
          <w:sz w:val="20"/>
          <w:szCs w:val="20"/>
          <w:lang w:val="en-GB" w:eastAsia="en-GB"/>
        </w:rPr>
        <w:t>recommend</w:t>
      </w:r>
      <w:r>
        <w:rPr>
          <w:rFonts w:eastAsia="SimSun"/>
          <w:sz w:val="20"/>
          <w:szCs w:val="20"/>
          <w:lang w:val="en-GB" w:eastAsia="en-GB"/>
        </w:rPr>
        <w:t xml:space="preserve"> </w:t>
      </w:r>
      <w:r w:rsidR="005D7138">
        <w:rPr>
          <w:rFonts w:eastAsia="SimSun"/>
          <w:sz w:val="20"/>
          <w:szCs w:val="20"/>
          <w:lang w:val="en-GB" w:eastAsia="en-GB"/>
        </w:rPr>
        <w:t>choosing</w:t>
      </w:r>
      <w:r>
        <w:rPr>
          <w:rFonts w:eastAsia="SimSun"/>
          <w:sz w:val="20"/>
          <w:szCs w:val="20"/>
          <w:lang w:val="en-GB" w:eastAsia="en-GB"/>
        </w:rPr>
        <w:t xml:space="preserve"> antenna configuration and SNR such that we see reasonable gain with both 2RX and 4RX.</w:t>
      </w:r>
    </w:p>
    <w:p w14:paraId="42FAD793" w14:textId="07C263D8" w:rsidR="00AE67B9" w:rsidRDefault="00AE67B9" w:rsidP="005B410D">
      <w:pPr>
        <w:spacing w:after="120"/>
        <w:rPr>
          <w:rFonts w:eastAsia="SimSun"/>
          <w:b/>
          <w:bCs/>
          <w:sz w:val="20"/>
          <w:szCs w:val="20"/>
          <w:lang w:val="en-GB" w:eastAsia="en-GB"/>
        </w:rPr>
      </w:pPr>
      <w:r>
        <w:rPr>
          <w:rFonts w:eastAsia="SimSun"/>
          <w:b/>
          <w:bCs/>
          <w:sz w:val="20"/>
          <w:szCs w:val="20"/>
          <w:lang w:val="en-GB" w:eastAsia="en-GB"/>
        </w:rPr>
        <w:t xml:space="preserve">Proposal #1: Further decide between 1TX and 2TX configuration for target cell based on </w:t>
      </w:r>
      <w:r w:rsidR="005D7138">
        <w:rPr>
          <w:rFonts w:eastAsia="SimSun"/>
          <w:b/>
          <w:bCs/>
          <w:sz w:val="20"/>
          <w:szCs w:val="20"/>
          <w:lang w:val="en-GB" w:eastAsia="en-GB"/>
        </w:rPr>
        <w:t xml:space="preserve">results and observed TP gain. </w:t>
      </w:r>
    </w:p>
    <w:p w14:paraId="477D02E0" w14:textId="0B165D6D" w:rsidR="005D7138" w:rsidRDefault="00627C40" w:rsidP="005B410D">
      <w:pPr>
        <w:spacing w:after="120"/>
        <w:rPr>
          <w:rFonts w:eastAsia="SimSun"/>
          <w:sz w:val="20"/>
          <w:szCs w:val="20"/>
          <w:lang w:val="en-GB" w:eastAsia="en-GB"/>
        </w:rPr>
      </w:pPr>
      <w:r>
        <w:rPr>
          <w:rFonts w:eastAsia="SimSun"/>
          <w:sz w:val="20"/>
          <w:szCs w:val="20"/>
          <w:lang w:val="en-GB" w:eastAsia="en-GB"/>
        </w:rPr>
        <w:t>The following were agreed in [1]:</w:t>
      </w:r>
    </w:p>
    <w:tbl>
      <w:tblPr>
        <w:tblStyle w:val="TableGrid"/>
        <w:tblW w:w="0" w:type="auto"/>
        <w:tblLook w:val="04A0" w:firstRow="1" w:lastRow="0" w:firstColumn="1" w:lastColumn="0" w:noHBand="0" w:noVBand="1"/>
      </w:tblPr>
      <w:tblGrid>
        <w:gridCol w:w="9350"/>
      </w:tblGrid>
      <w:tr w:rsidR="00627C40" w14:paraId="1B4F2562" w14:textId="77777777" w:rsidTr="00627C40">
        <w:tc>
          <w:tcPr>
            <w:tcW w:w="9350" w:type="dxa"/>
          </w:tcPr>
          <w:p w14:paraId="25B2AAB8" w14:textId="77777777" w:rsidR="00627C40" w:rsidRPr="00627C40" w:rsidRDefault="00627C40" w:rsidP="00627C40">
            <w:pPr>
              <w:spacing w:after="120"/>
              <w:rPr>
                <w:b/>
                <w:bCs/>
                <w:color w:val="000000" w:themeColor="text1"/>
                <w:sz w:val="20"/>
                <w:szCs w:val="20"/>
                <w:u w:val="single"/>
              </w:rPr>
            </w:pPr>
            <w:r w:rsidRPr="00627C40">
              <w:rPr>
                <w:b/>
                <w:bCs/>
                <w:color w:val="000000" w:themeColor="text1"/>
                <w:sz w:val="20"/>
                <w:szCs w:val="20"/>
                <w:u w:val="single"/>
              </w:rPr>
              <w:t xml:space="preserve">Test metric </w:t>
            </w:r>
          </w:p>
          <w:p w14:paraId="524C1894" w14:textId="77777777" w:rsidR="00627C40" w:rsidRPr="00627C40" w:rsidRDefault="00627C40" w:rsidP="00627C40">
            <w:pPr>
              <w:pStyle w:val="ListParagraph"/>
              <w:numPr>
                <w:ilvl w:val="0"/>
                <w:numId w:val="3"/>
              </w:numPr>
              <w:overflowPunct w:val="0"/>
              <w:autoSpaceDE w:val="0"/>
              <w:autoSpaceDN w:val="0"/>
              <w:adjustRightInd w:val="0"/>
              <w:spacing w:after="120"/>
              <w:ind w:firstLineChars="0"/>
              <w:contextualSpacing/>
              <w:jc w:val="both"/>
              <w:textAlignment w:val="baseline"/>
              <w:rPr>
                <w:rFonts w:ascii="Times New Roman" w:hAnsi="Times New Roman" w:cs="Times New Roman"/>
                <w:color w:val="000000" w:themeColor="text1"/>
                <w:sz w:val="20"/>
                <w:szCs w:val="20"/>
              </w:rPr>
            </w:pPr>
            <w:r w:rsidRPr="00627C40">
              <w:rPr>
                <w:rFonts w:ascii="Times New Roman" w:hAnsi="Times New Roman" w:cs="Times New Roman"/>
                <w:color w:val="000000" w:themeColor="text1"/>
                <w:sz w:val="20"/>
                <w:szCs w:val="20"/>
              </w:rPr>
              <w:t>Re-use the test metric as LTE CQI reporting in ICI</w:t>
            </w:r>
          </w:p>
          <w:p w14:paraId="4C57C766" w14:textId="77777777" w:rsidR="00627C40" w:rsidRPr="00627C40" w:rsidRDefault="00627C40" w:rsidP="00627C40">
            <w:pPr>
              <w:pStyle w:val="ListParagraph"/>
              <w:numPr>
                <w:ilvl w:val="1"/>
                <w:numId w:val="3"/>
              </w:numPr>
              <w:overflowPunct w:val="0"/>
              <w:autoSpaceDE w:val="0"/>
              <w:autoSpaceDN w:val="0"/>
              <w:adjustRightInd w:val="0"/>
              <w:spacing w:after="120"/>
              <w:ind w:firstLineChars="0"/>
              <w:contextualSpacing/>
              <w:jc w:val="both"/>
              <w:textAlignment w:val="baseline"/>
              <w:rPr>
                <w:rFonts w:ascii="Times New Roman" w:hAnsi="Times New Roman" w:cs="Times New Roman"/>
                <w:color w:val="000000" w:themeColor="text1"/>
                <w:sz w:val="20"/>
                <w:szCs w:val="20"/>
              </w:rPr>
            </w:pPr>
            <w:r w:rsidRPr="00627C40">
              <w:rPr>
                <w:rFonts w:ascii="Times New Roman" w:hAnsi="Times New Roman" w:cs="Times New Roman"/>
                <w:color w:val="000000" w:themeColor="text1"/>
                <w:sz w:val="20"/>
                <w:szCs w:val="20"/>
              </w:rPr>
              <w:t xml:space="preserve">the ratio of the throughput obtained when transmitting the transport format indicated by each reported wideband CQI index subject to an interference source with specified DIP and that obtained when transmitting the transport format indicated by each reported wideband CQI index subject to a white Gaussian noise source shall be ≥ </w:t>
            </w:r>
            <w:proofErr w:type="gramStart"/>
            <w:r w:rsidRPr="00627C40">
              <w:rPr>
                <w:rFonts w:ascii="Times New Roman" w:hAnsi="Times New Roman" w:cs="Times New Roman"/>
                <w:color w:val="000000" w:themeColor="text1"/>
                <w:sz w:val="20"/>
                <w:szCs w:val="20"/>
              </w:rPr>
              <w:t>γ;</w:t>
            </w:r>
            <w:proofErr w:type="gramEnd"/>
          </w:p>
          <w:p w14:paraId="5E896187" w14:textId="77777777" w:rsidR="00627C40" w:rsidRPr="00627C40" w:rsidRDefault="00627C40" w:rsidP="00627C40">
            <w:pPr>
              <w:pStyle w:val="ListParagraph"/>
              <w:numPr>
                <w:ilvl w:val="1"/>
                <w:numId w:val="3"/>
              </w:numPr>
              <w:overflowPunct w:val="0"/>
              <w:autoSpaceDE w:val="0"/>
              <w:autoSpaceDN w:val="0"/>
              <w:adjustRightInd w:val="0"/>
              <w:spacing w:after="120"/>
              <w:ind w:firstLineChars="0"/>
              <w:contextualSpacing/>
              <w:jc w:val="both"/>
              <w:textAlignment w:val="baseline"/>
              <w:rPr>
                <w:rFonts w:ascii="Times New Roman" w:hAnsi="Times New Roman" w:cs="Times New Roman"/>
                <w:color w:val="000000" w:themeColor="text1"/>
                <w:sz w:val="20"/>
                <w:szCs w:val="20"/>
              </w:rPr>
            </w:pPr>
            <w:r w:rsidRPr="00627C40">
              <w:rPr>
                <w:rFonts w:ascii="Times New Roman" w:hAnsi="Times New Roman" w:cs="Times New Roman"/>
                <w:color w:val="000000" w:themeColor="text1"/>
                <w:sz w:val="20"/>
                <w:szCs w:val="20"/>
              </w:rPr>
              <w:t>when transmitting the transport format indicated by each reported wideband CQI index subject to an interference source with specified DIP, the average BLER for the indicated transport formats shall be greater than or equal to X%.</w:t>
            </w:r>
          </w:p>
          <w:p w14:paraId="576F7133" w14:textId="77777777" w:rsidR="00627C40" w:rsidRPr="00627C40" w:rsidRDefault="00627C40" w:rsidP="00627C40">
            <w:pPr>
              <w:spacing w:after="120"/>
              <w:rPr>
                <w:b/>
                <w:bCs/>
                <w:color w:val="000000" w:themeColor="text1"/>
                <w:sz w:val="20"/>
                <w:szCs w:val="20"/>
                <w:u w:val="single"/>
              </w:rPr>
            </w:pPr>
            <w:proofErr w:type="gramStart"/>
            <w:r w:rsidRPr="00627C40">
              <w:rPr>
                <w:b/>
                <w:bCs/>
                <w:color w:val="000000" w:themeColor="text1"/>
                <w:sz w:val="20"/>
                <w:szCs w:val="20"/>
                <w:u w:val="single"/>
              </w:rPr>
              <w:t>Requirements</w:t>
            </w:r>
            <w:proofErr w:type="gramEnd"/>
            <w:r w:rsidRPr="00627C40">
              <w:rPr>
                <w:b/>
                <w:bCs/>
                <w:color w:val="000000" w:themeColor="text1"/>
                <w:sz w:val="20"/>
                <w:szCs w:val="20"/>
                <w:u w:val="single"/>
              </w:rPr>
              <w:t xml:space="preserve"> definition </w:t>
            </w:r>
          </w:p>
          <w:p w14:paraId="6956A6B7" w14:textId="77777777" w:rsidR="00627C40" w:rsidRPr="00627C40" w:rsidRDefault="00627C40" w:rsidP="00627C40">
            <w:pPr>
              <w:pStyle w:val="ListParagraph"/>
              <w:numPr>
                <w:ilvl w:val="0"/>
                <w:numId w:val="3"/>
              </w:numPr>
              <w:overflowPunct w:val="0"/>
              <w:autoSpaceDE w:val="0"/>
              <w:autoSpaceDN w:val="0"/>
              <w:adjustRightInd w:val="0"/>
              <w:spacing w:after="120"/>
              <w:ind w:firstLineChars="0"/>
              <w:contextualSpacing/>
              <w:jc w:val="both"/>
              <w:textAlignment w:val="baseline"/>
              <w:rPr>
                <w:rFonts w:ascii="Times New Roman" w:hAnsi="Times New Roman" w:cs="Times New Roman"/>
                <w:color w:val="000000" w:themeColor="text1"/>
                <w:sz w:val="20"/>
                <w:szCs w:val="20"/>
              </w:rPr>
            </w:pPr>
            <w:r w:rsidRPr="00627C40">
              <w:rPr>
                <w:rFonts w:ascii="Times New Roman" w:hAnsi="Times New Roman" w:cs="Times New Roman"/>
                <w:color w:val="000000" w:themeColor="text1"/>
                <w:sz w:val="20"/>
                <w:szCs w:val="20"/>
              </w:rPr>
              <w:t>SINR, γ and X values should be decided based on the simulation results</w:t>
            </w:r>
          </w:p>
          <w:p w14:paraId="3C46979E" w14:textId="77777777" w:rsidR="00627C40" w:rsidRPr="00627C40" w:rsidRDefault="00627C40" w:rsidP="00627C40">
            <w:pPr>
              <w:pStyle w:val="ListParagraph"/>
              <w:numPr>
                <w:ilvl w:val="0"/>
                <w:numId w:val="3"/>
              </w:numPr>
              <w:overflowPunct w:val="0"/>
              <w:autoSpaceDE w:val="0"/>
              <w:autoSpaceDN w:val="0"/>
              <w:adjustRightInd w:val="0"/>
              <w:spacing w:after="180"/>
              <w:ind w:firstLineChars="0"/>
              <w:contextualSpacing/>
              <w:textAlignment w:val="baseline"/>
              <w:rPr>
                <w:rFonts w:ascii="Times New Roman" w:hAnsi="Times New Roman" w:cs="Times New Roman"/>
                <w:color w:val="000000" w:themeColor="text1"/>
                <w:sz w:val="20"/>
                <w:szCs w:val="20"/>
              </w:rPr>
            </w:pPr>
            <w:r w:rsidRPr="00627C40">
              <w:rPr>
                <w:rFonts w:ascii="Times New Roman" w:hAnsi="Times New Roman" w:cs="Times New Roman"/>
                <w:color w:val="000000" w:themeColor="text1"/>
                <w:sz w:val="20"/>
                <w:szCs w:val="20"/>
              </w:rPr>
              <w:t>Criteria will be further decided in the next meeting based on simulation results</w:t>
            </w:r>
          </w:p>
          <w:p w14:paraId="7B3359C4" w14:textId="77777777" w:rsidR="00627C40" w:rsidRPr="00627C40" w:rsidRDefault="00627C40" w:rsidP="00627C40">
            <w:pPr>
              <w:pStyle w:val="ListParagraph"/>
              <w:numPr>
                <w:ilvl w:val="1"/>
                <w:numId w:val="3"/>
              </w:numPr>
              <w:overflowPunct w:val="0"/>
              <w:autoSpaceDE w:val="0"/>
              <w:autoSpaceDN w:val="0"/>
              <w:adjustRightInd w:val="0"/>
              <w:spacing w:after="180"/>
              <w:ind w:firstLineChars="0"/>
              <w:contextualSpacing/>
              <w:textAlignment w:val="baseline"/>
              <w:rPr>
                <w:rFonts w:ascii="Times New Roman" w:hAnsi="Times New Roman" w:cs="Times New Roman"/>
                <w:color w:val="000000" w:themeColor="text1"/>
                <w:sz w:val="20"/>
                <w:szCs w:val="20"/>
              </w:rPr>
            </w:pPr>
            <w:r w:rsidRPr="00627C40">
              <w:rPr>
                <w:rFonts w:ascii="Times New Roman" w:hAnsi="Times New Roman" w:cs="Times New Roman"/>
                <w:color w:val="000000" w:themeColor="text1"/>
                <w:sz w:val="20"/>
                <w:szCs w:val="20"/>
              </w:rPr>
              <w:t>Test metric for CQI reporting in ICI is chosen such that it cannot be met with MMSE processing (example).</w:t>
            </w:r>
          </w:p>
          <w:p w14:paraId="0A3B2D8D" w14:textId="77777777" w:rsidR="00627C40" w:rsidRDefault="00627C40" w:rsidP="005B410D">
            <w:pPr>
              <w:spacing w:after="120"/>
              <w:rPr>
                <w:rFonts w:eastAsia="SimSun"/>
                <w:sz w:val="20"/>
                <w:szCs w:val="20"/>
                <w:lang w:val="en-GB" w:eastAsia="en-GB"/>
              </w:rPr>
            </w:pPr>
          </w:p>
        </w:tc>
      </w:tr>
    </w:tbl>
    <w:p w14:paraId="740AE0AE" w14:textId="7C07BE71" w:rsidR="00627C40" w:rsidRDefault="00627C40" w:rsidP="005B410D">
      <w:pPr>
        <w:spacing w:after="120"/>
        <w:rPr>
          <w:rFonts w:eastAsia="SimSun"/>
          <w:sz w:val="20"/>
          <w:szCs w:val="20"/>
          <w:lang w:val="en-GB" w:eastAsia="en-GB"/>
        </w:rPr>
      </w:pPr>
    </w:p>
    <w:p w14:paraId="5021FA33" w14:textId="0E7502E5" w:rsidR="00627C40" w:rsidRDefault="00627C40" w:rsidP="005B410D">
      <w:pPr>
        <w:spacing w:after="120"/>
        <w:rPr>
          <w:rFonts w:eastAsia="SimSun"/>
          <w:sz w:val="20"/>
          <w:szCs w:val="20"/>
          <w:lang w:val="en-GB" w:eastAsia="en-GB"/>
        </w:rPr>
      </w:pPr>
      <w:r>
        <w:rPr>
          <w:rFonts w:eastAsia="SimSun"/>
          <w:sz w:val="20"/>
          <w:szCs w:val="20"/>
          <w:lang w:val="en-GB" w:eastAsia="en-GB"/>
        </w:rPr>
        <w:lastRenderedPageBreak/>
        <w:t>For BLER (X) in the requirements, we propose to use 2% which is widely used in CQI reporting requirements.</w:t>
      </w:r>
    </w:p>
    <w:p w14:paraId="39FCC363" w14:textId="5026CA77" w:rsidR="00627C40" w:rsidRPr="00627C40" w:rsidRDefault="00627C40" w:rsidP="005B410D">
      <w:pPr>
        <w:spacing w:after="120"/>
        <w:rPr>
          <w:rFonts w:eastAsia="SimSun"/>
          <w:b/>
          <w:bCs/>
          <w:sz w:val="20"/>
          <w:szCs w:val="20"/>
          <w:lang w:val="en-GB" w:eastAsia="en-GB"/>
        </w:rPr>
      </w:pPr>
      <w:r>
        <w:rPr>
          <w:rFonts w:eastAsia="SimSun"/>
          <w:b/>
          <w:bCs/>
          <w:sz w:val="20"/>
          <w:szCs w:val="20"/>
          <w:lang w:val="en-GB" w:eastAsia="en-GB"/>
        </w:rPr>
        <w:t>Proposal #2: Define requirements with BLER metric (X) with follow CQI in ICI as 2%</w:t>
      </w:r>
    </w:p>
    <w:p w14:paraId="3A7812BA" w14:textId="7E8F654F" w:rsidR="00627C40" w:rsidRDefault="00627C40" w:rsidP="005B410D">
      <w:pPr>
        <w:spacing w:after="120"/>
        <w:rPr>
          <w:rFonts w:eastAsia="SimSun"/>
          <w:color w:val="000000" w:themeColor="text1"/>
          <w:sz w:val="20"/>
          <w:szCs w:val="20"/>
          <w:lang w:eastAsia="zh-CN"/>
        </w:rPr>
      </w:pPr>
      <w:r>
        <w:rPr>
          <w:rFonts w:eastAsia="SimSun"/>
          <w:sz w:val="20"/>
          <w:szCs w:val="20"/>
          <w:lang w:val="en-GB" w:eastAsia="en-GB"/>
        </w:rPr>
        <w:t xml:space="preserve">The SINR and </w:t>
      </w:r>
      <w:r w:rsidRPr="00627C40">
        <w:rPr>
          <w:rFonts w:eastAsia="SimSun"/>
          <w:color w:val="000000" w:themeColor="text1"/>
          <w:sz w:val="20"/>
          <w:szCs w:val="20"/>
          <w:lang w:eastAsia="zh-CN"/>
        </w:rPr>
        <w:t>γ</w:t>
      </w:r>
      <w:r>
        <w:rPr>
          <w:rFonts w:eastAsia="SimSun"/>
          <w:color w:val="000000" w:themeColor="text1"/>
          <w:sz w:val="20"/>
          <w:szCs w:val="20"/>
          <w:lang w:eastAsia="zh-CN"/>
        </w:rPr>
        <w:t xml:space="preserve"> are recommended to be decide based on simulation results from all companies.</w:t>
      </w:r>
    </w:p>
    <w:p w14:paraId="39F6DFAE" w14:textId="5971C416" w:rsidR="00627C40" w:rsidRPr="00627C40" w:rsidRDefault="00627C40" w:rsidP="005B410D">
      <w:pPr>
        <w:spacing w:after="120"/>
        <w:rPr>
          <w:rFonts w:eastAsia="SimSun"/>
          <w:b/>
          <w:bCs/>
          <w:sz w:val="20"/>
          <w:szCs w:val="20"/>
          <w:lang w:val="en-GB" w:eastAsia="en-GB"/>
        </w:rPr>
      </w:pPr>
      <w:r>
        <w:rPr>
          <w:rFonts w:eastAsia="SimSun"/>
          <w:b/>
          <w:bCs/>
          <w:color w:val="000000" w:themeColor="text1"/>
          <w:sz w:val="20"/>
          <w:szCs w:val="20"/>
          <w:lang w:eastAsia="zh-CN"/>
        </w:rPr>
        <w:t xml:space="preserve">Proposal #3: Define </w:t>
      </w:r>
      <w:r w:rsidRPr="00627C40">
        <w:rPr>
          <w:rFonts w:eastAsia="SimSun"/>
          <w:b/>
          <w:bCs/>
          <w:color w:val="000000" w:themeColor="text1"/>
          <w:sz w:val="20"/>
          <w:szCs w:val="20"/>
          <w:lang w:eastAsia="zh-CN"/>
        </w:rPr>
        <w:t>SINR and TP Gain (γ) based on simulation results from all companies.</w:t>
      </w:r>
      <w:r>
        <w:rPr>
          <w:rFonts w:eastAsia="SimSun"/>
          <w:color w:val="000000" w:themeColor="text1"/>
          <w:sz w:val="20"/>
          <w:szCs w:val="20"/>
          <w:lang w:eastAsia="zh-CN"/>
        </w:rPr>
        <w:t xml:space="preserve"> </w:t>
      </w:r>
    </w:p>
    <w:p w14:paraId="4C341D3A" w14:textId="77777777" w:rsidR="005D7138" w:rsidRPr="005D7138" w:rsidRDefault="005D7138" w:rsidP="005B410D">
      <w:pPr>
        <w:spacing w:after="120"/>
        <w:rPr>
          <w:rFonts w:eastAsia="SimSun"/>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1CA9CA38" w:rsidR="009F52D7" w:rsidRPr="00E077C2" w:rsidRDefault="009F52D7" w:rsidP="005B410D">
      <w:pPr>
        <w:spacing w:after="120"/>
        <w:rPr>
          <w:sz w:val="20"/>
          <w:szCs w:val="20"/>
        </w:rPr>
      </w:pPr>
      <w:r w:rsidRPr="00E077C2">
        <w:rPr>
          <w:sz w:val="20"/>
          <w:szCs w:val="20"/>
        </w:rPr>
        <w:t xml:space="preserve">In this paper, we provide our views on </w:t>
      </w:r>
      <w:r w:rsidR="00E077C2" w:rsidRPr="00E077C2">
        <w:rPr>
          <w:sz w:val="20"/>
          <w:szCs w:val="20"/>
        </w:rPr>
        <w:t>the simulation assumptions for requirements definition and simulation results</w:t>
      </w:r>
      <w:r w:rsidRPr="00E077C2">
        <w:rPr>
          <w:sz w:val="20"/>
          <w:szCs w:val="20"/>
        </w:rPr>
        <w:t>. Our observations and proposals are captured below:</w:t>
      </w:r>
    </w:p>
    <w:p w14:paraId="1A55828C" w14:textId="77777777" w:rsidR="00E077C2" w:rsidRPr="00E077C2" w:rsidRDefault="00E077C2" w:rsidP="00E077C2">
      <w:pPr>
        <w:spacing w:after="120"/>
        <w:rPr>
          <w:rFonts w:eastAsia="SimSun"/>
          <w:i/>
          <w:iCs/>
          <w:sz w:val="20"/>
          <w:szCs w:val="20"/>
          <w:lang w:val="en-GB" w:eastAsia="en-GB"/>
        </w:rPr>
      </w:pPr>
      <w:r w:rsidRPr="00E077C2">
        <w:rPr>
          <w:rFonts w:eastAsia="SimSun"/>
          <w:b/>
          <w:bCs/>
          <w:i/>
          <w:iCs/>
          <w:sz w:val="20"/>
          <w:szCs w:val="20"/>
          <w:lang w:val="en-GB" w:eastAsia="en-GB"/>
        </w:rPr>
        <w:t xml:space="preserve">Observation #1: </w:t>
      </w:r>
      <w:r w:rsidRPr="00E077C2">
        <w:rPr>
          <w:rFonts w:eastAsia="SimSun"/>
          <w:i/>
          <w:iCs/>
          <w:sz w:val="20"/>
          <w:szCs w:val="20"/>
          <w:lang w:val="en-GB" w:eastAsia="en-GB"/>
        </w:rPr>
        <w:t>With 2 RX the TP gain with 1 TX is higher than 2 TX. With 4 RX the TP gain with 2 TX is higher than that with 1 TX.</w:t>
      </w:r>
    </w:p>
    <w:p w14:paraId="5D7DE663" w14:textId="77777777" w:rsidR="00E077C2" w:rsidRPr="00E077C2" w:rsidRDefault="00E077C2" w:rsidP="00E077C2">
      <w:pPr>
        <w:spacing w:after="120"/>
        <w:rPr>
          <w:rFonts w:eastAsia="SimSun"/>
          <w:b/>
          <w:bCs/>
          <w:sz w:val="20"/>
          <w:szCs w:val="20"/>
          <w:lang w:val="en-GB" w:eastAsia="en-GB"/>
        </w:rPr>
      </w:pPr>
      <w:r w:rsidRPr="00E077C2">
        <w:rPr>
          <w:rFonts w:eastAsia="SimSun"/>
          <w:b/>
          <w:bCs/>
          <w:sz w:val="20"/>
          <w:szCs w:val="20"/>
          <w:lang w:val="en-GB" w:eastAsia="en-GB"/>
        </w:rPr>
        <w:t xml:space="preserve">Proposal #1: Further decide between 1TX and 2TX configuration for target cell based on results and observed TP gain. </w:t>
      </w:r>
    </w:p>
    <w:p w14:paraId="41FC4047" w14:textId="77777777" w:rsidR="00E077C2" w:rsidRPr="00E077C2" w:rsidRDefault="00E077C2" w:rsidP="00E077C2">
      <w:pPr>
        <w:spacing w:after="120"/>
        <w:rPr>
          <w:rFonts w:eastAsia="SimSun"/>
          <w:b/>
          <w:bCs/>
          <w:sz w:val="20"/>
          <w:szCs w:val="20"/>
          <w:lang w:val="en-GB" w:eastAsia="en-GB"/>
        </w:rPr>
      </w:pPr>
      <w:r w:rsidRPr="00E077C2">
        <w:rPr>
          <w:rFonts w:eastAsia="SimSun"/>
          <w:b/>
          <w:bCs/>
          <w:sz w:val="20"/>
          <w:szCs w:val="20"/>
          <w:lang w:val="en-GB" w:eastAsia="en-GB"/>
        </w:rPr>
        <w:t>Proposal #2: Define requirements with BLER metric (X) with follow CQI in ICI as 2%</w:t>
      </w:r>
    </w:p>
    <w:p w14:paraId="053AB53E" w14:textId="77777777" w:rsidR="00E077C2" w:rsidRPr="00E077C2" w:rsidRDefault="00E077C2" w:rsidP="00E077C2">
      <w:pPr>
        <w:spacing w:after="120"/>
        <w:rPr>
          <w:rFonts w:eastAsia="SimSun"/>
          <w:b/>
          <w:bCs/>
          <w:sz w:val="20"/>
          <w:szCs w:val="20"/>
          <w:lang w:val="en-GB" w:eastAsia="en-GB"/>
        </w:rPr>
      </w:pPr>
      <w:r w:rsidRPr="00E077C2">
        <w:rPr>
          <w:rFonts w:eastAsia="SimSun"/>
          <w:b/>
          <w:bCs/>
          <w:color w:val="000000" w:themeColor="text1"/>
          <w:sz w:val="20"/>
          <w:szCs w:val="20"/>
          <w:lang w:eastAsia="zh-CN"/>
        </w:rPr>
        <w:t>Proposal #3: Define SINR and TP Gain (γ) based on simulation results from all companies.</w:t>
      </w:r>
      <w:r w:rsidRPr="00E077C2">
        <w:rPr>
          <w:rFonts w:eastAsia="SimSun"/>
          <w:color w:val="000000" w:themeColor="text1"/>
          <w:sz w:val="20"/>
          <w:szCs w:val="20"/>
          <w:lang w:eastAsia="zh-CN"/>
        </w:rPr>
        <w:t xml:space="preserve"> </w:t>
      </w:r>
    </w:p>
    <w:p w14:paraId="571E5FF1" w14:textId="2039AF0B" w:rsidR="009F52D7" w:rsidRPr="00E077C2" w:rsidRDefault="009F52D7" w:rsidP="005B410D">
      <w:pPr>
        <w:spacing w:after="120"/>
        <w:rPr>
          <w:sz w:val="20"/>
          <w:szCs w:val="20"/>
        </w:rPr>
      </w:pPr>
    </w:p>
    <w:p w14:paraId="5FFD0A37" w14:textId="77777777" w:rsidR="00DF1ED2" w:rsidRPr="00E077C2" w:rsidRDefault="00DF1ED2" w:rsidP="005B410D">
      <w:pPr>
        <w:spacing w:after="120"/>
        <w:rPr>
          <w:sz w:val="20"/>
          <w:szCs w:val="20"/>
        </w:rPr>
      </w:pPr>
    </w:p>
    <w:p w14:paraId="43538C86" w14:textId="77777777" w:rsidR="009F52D7" w:rsidRPr="00E077C2" w:rsidRDefault="009F52D7" w:rsidP="009F52D7">
      <w:pPr>
        <w:pStyle w:val="Heading1"/>
        <w:ind w:left="432" w:hanging="432"/>
        <w:rPr>
          <w:lang w:val="en-US"/>
        </w:rPr>
      </w:pPr>
      <w:r w:rsidRPr="00E077C2">
        <w:rPr>
          <w:lang w:val="en-US"/>
        </w:rPr>
        <w:t>Reference</w:t>
      </w:r>
    </w:p>
    <w:p w14:paraId="509A2F1D" w14:textId="4D9538A3" w:rsidR="00C94AC7" w:rsidRPr="00E077C2" w:rsidRDefault="002F1D20" w:rsidP="00C94AC7">
      <w:pPr>
        <w:pStyle w:val="ListParagraph"/>
        <w:numPr>
          <w:ilvl w:val="0"/>
          <w:numId w:val="2"/>
        </w:numPr>
        <w:spacing w:after="120"/>
        <w:ind w:firstLineChars="0"/>
        <w:jc w:val="both"/>
        <w:rPr>
          <w:rFonts w:ascii="Times New Roman" w:hAnsi="Times New Roman" w:cs="Times New Roman"/>
          <w:sz w:val="20"/>
          <w:szCs w:val="20"/>
        </w:rPr>
      </w:pPr>
      <w:r w:rsidRPr="00E077C2">
        <w:rPr>
          <w:rFonts w:ascii="Times New Roman" w:hAnsi="Times New Roman" w:cs="Times New Roman"/>
          <w:sz w:val="20"/>
          <w:szCs w:val="20"/>
          <w:lang w:val="en-GB"/>
        </w:rPr>
        <w:t>R4-2120708</w:t>
      </w:r>
      <w:r w:rsidR="00C94AC7" w:rsidRPr="00E077C2">
        <w:rPr>
          <w:rFonts w:ascii="Times New Roman" w:hAnsi="Times New Roman" w:cs="Times New Roman"/>
          <w:sz w:val="20"/>
          <w:szCs w:val="20"/>
        </w:rPr>
        <w:t>, “</w:t>
      </w:r>
      <w:r w:rsidRPr="00E077C2">
        <w:rPr>
          <w:rFonts w:ascii="Times New Roman" w:hAnsi="Times New Roman" w:cs="Times New Roman"/>
          <w:sz w:val="20"/>
          <w:szCs w:val="20"/>
        </w:rPr>
        <w:t>WF on CSI requirements for inter-cell interference MMSE-IRC</w:t>
      </w:r>
      <w:r w:rsidR="00C94AC7" w:rsidRPr="00E077C2">
        <w:rPr>
          <w:rFonts w:ascii="Times New Roman" w:hAnsi="Times New Roman" w:cs="Times New Roman"/>
          <w:sz w:val="20"/>
          <w:szCs w:val="20"/>
        </w:rPr>
        <w:t xml:space="preserve">”, </w:t>
      </w:r>
      <w:r w:rsidRPr="00E077C2">
        <w:rPr>
          <w:rFonts w:ascii="Times New Roman" w:hAnsi="Times New Roman" w:cs="Times New Roman"/>
          <w:sz w:val="20"/>
          <w:szCs w:val="20"/>
        </w:rPr>
        <w:t>Ericsson</w:t>
      </w:r>
      <w:r w:rsidR="00C94AC7" w:rsidRPr="00E077C2">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7044A"/>
    <w:rsid w:val="00121828"/>
    <w:rsid w:val="00177147"/>
    <w:rsid w:val="001B5D0A"/>
    <w:rsid w:val="001C663E"/>
    <w:rsid w:val="002870EA"/>
    <w:rsid w:val="002E45EE"/>
    <w:rsid w:val="002F1D20"/>
    <w:rsid w:val="002F4FA3"/>
    <w:rsid w:val="003012DD"/>
    <w:rsid w:val="00335842"/>
    <w:rsid w:val="004D1584"/>
    <w:rsid w:val="0057184D"/>
    <w:rsid w:val="005B410D"/>
    <w:rsid w:val="005D1B1F"/>
    <w:rsid w:val="005D7138"/>
    <w:rsid w:val="00626BDE"/>
    <w:rsid w:val="00627C40"/>
    <w:rsid w:val="00727E21"/>
    <w:rsid w:val="007A3BE1"/>
    <w:rsid w:val="007C626C"/>
    <w:rsid w:val="00911BAD"/>
    <w:rsid w:val="00924CB2"/>
    <w:rsid w:val="00951300"/>
    <w:rsid w:val="009D596C"/>
    <w:rsid w:val="009F52D7"/>
    <w:rsid w:val="00A211CC"/>
    <w:rsid w:val="00A33B5F"/>
    <w:rsid w:val="00AE67B9"/>
    <w:rsid w:val="00B36392"/>
    <w:rsid w:val="00B8567C"/>
    <w:rsid w:val="00C55539"/>
    <w:rsid w:val="00C94AC7"/>
    <w:rsid w:val="00CD0F63"/>
    <w:rsid w:val="00DB6943"/>
    <w:rsid w:val="00DF1ED2"/>
    <w:rsid w:val="00E077C2"/>
    <w:rsid w:val="00E5586A"/>
    <w:rsid w:val="00E9138B"/>
    <w:rsid w:val="00F441E8"/>
    <w:rsid w:val="00F8344F"/>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727E21"/>
    <w:pPr>
      <w:spacing w:after="200"/>
    </w:pPr>
    <w:rPr>
      <w:i/>
      <w:iCs/>
      <w:color w:val="44546A" w:themeColor="text2"/>
      <w:sz w:val="18"/>
      <w:szCs w:val="18"/>
    </w:rPr>
  </w:style>
  <w:style w:type="table" w:styleId="TableGrid">
    <w:name w:val="Table Grid"/>
    <w:basedOn w:val="TableNormal"/>
    <w:uiPriority w:val="39"/>
    <w:rsid w:val="00627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1211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213447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cp:lastModifiedBy>
  <cp:revision>3</cp:revision>
  <dcterms:created xsi:type="dcterms:W3CDTF">2022-01-10T05:10:00Z</dcterms:created>
  <dcterms:modified xsi:type="dcterms:W3CDTF">2022-01-10T05:11:00Z</dcterms:modified>
</cp:coreProperties>
</file>