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EAB68" w14:textId="579A1AD0" w:rsidR="00071F75" w:rsidRPr="00651A9A" w:rsidRDefault="00071F75" w:rsidP="00071F75">
      <w:pPr>
        <w:pStyle w:val="B1"/>
        <w:ind w:left="0" w:firstLine="0"/>
        <w:rPr>
          <w:rFonts w:eastAsia="MS Mincho" w:cstheme="minorHAnsi"/>
          <w:b/>
          <w:kern w:val="0"/>
          <w:sz w:val="24"/>
          <w:szCs w:val="24"/>
          <w:lang w:val="en-US"/>
        </w:rPr>
      </w:pPr>
      <w:bookmarkStart w:id="0" w:name="Title"/>
      <w:bookmarkStart w:id="1" w:name="DocumentFor"/>
      <w:bookmarkEnd w:id="0"/>
      <w:bookmarkEnd w:id="1"/>
      <w:r w:rsidRPr="00651A9A">
        <w:rPr>
          <w:rFonts w:eastAsia="MS Mincho" w:cstheme="minorHAnsi"/>
          <w:b/>
          <w:kern w:val="0"/>
          <w:sz w:val="24"/>
          <w:szCs w:val="24"/>
          <w:lang w:val="en-US"/>
        </w:rPr>
        <w:t>3GPP TSG-RAN WG4 Meeting # 101-bis-e</w:t>
      </w:r>
      <w:r w:rsidRPr="00651A9A">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r>
      <w:r>
        <w:rPr>
          <w:rFonts w:eastAsia="MS Mincho" w:cstheme="minorHAnsi"/>
          <w:b/>
          <w:kern w:val="0"/>
          <w:sz w:val="24"/>
          <w:szCs w:val="24"/>
          <w:lang w:val="en-US"/>
        </w:rPr>
        <w:tab/>
        <w:t xml:space="preserve"> </w:t>
      </w:r>
      <w:r w:rsidRPr="00651A9A">
        <w:rPr>
          <w:rFonts w:eastAsia="MS Mincho" w:cstheme="minorHAnsi"/>
          <w:b/>
          <w:kern w:val="0"/>
          <w:sz w:val="24"/>
          <w:szCs w:val="24"/>
          <w:lang w:val="en-US"/>
        </w:rPr>
        <w:t>R4-22</w:t>
      </w:r>
      <w:r w:rsidR="00D90DA6">
        <w:rPr>
          <w:rFonts w:eastAsia="MS Mincho" w:cstheme="minorHAnsi"/>
          <w:b/>
          <w:kern w:val="0"/>
          <w:sz w:val="24"/>
          <w:szCs w:val="24"/>
          <w:lang w:val="en-US"/>
        </w:rPr>
        <w:t>00183</w:t>
      </w:r>
    </w:p>
    <w:p w14:paraId="6B529147" w14:textId="77777777" w:rsidR="00071F75" w:rsidRPr="00651A9A" w:rsidRDefault="00071F75" w:rsidP="00071F75">
      <w:pPr>
        <w:pStyle w:val="B1"/>
        <w:ind w:left="0" w:firstLine="0"/>
        <w:rPr>
          <w:rFonts w:eastAsia="MS Mincho" w:cstheme="minorHAnsi"/>
          <w:b/>
          <w:kern w:val="0"/>
          <w:sz w:val="24"/>
          <w:szCs w:val="24"/>
          <w:lang w:val="en-US"/>
        </w:rPr>
      </w:pPr>
      <w:r w:rsidRPr="00651A9A">
        <w:rPr>
          <w:rFonts w:eastAsia="MS Mincho" w:cstheme="minorHAnsi"/>
          <w:b/>
          <w:kern w:val="0"/>
          <w:sz w:val="24"/>
          <w:szCs w:val="24"/>
          <w:lang w:val="en-US"/>
        </w:rPr>
        <w:t>Electronic Meeting, January 17-25, 2022</w:t>
      </w:r>
    </w:p>
    <w:p w14:paraId="13685AEA" w14:textId="71A21819"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B74815">
        <w:rPr>
          <w:rFonts w:asciiTheme="minorHAnsi" w:eastAsia="新細明體" w:hAnsiTheme="minorHAnsi" w:cstheme="minorHAnsi"/>
          <w:bCs/>
          <w:noProof w:val="0"/>
          <w:sz w:val="24"/>
          <w:szCs w:val="24"/>
          <w:lang w:eastAsia="zh-TW"/>
        </w:rPr>
        <w:t>6.19.3.2</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7D8805E4"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551E2A" w:rsidRPr="00551E2A">
        <w:rPr>
          <w:rFonts w:asciiTheme="minorHAnsi" w:eastAsiaTheme="minorEastAsia" w:hAnsiTheme="minorHAnsi" w:cstheme="minorHAnsi"/>
          <w:bCs/>
          <w:noProof w:val="0"/>
          <w:sz w:val="24"/>
          <w:szCs w:val="24"/>
          <w:lang w:eastAsia="zh-CN"/>
        </w:rPr>
        <w:t>Discussion on inter cell beam management in R17 feMIMO</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41E33E7F" w:rsidR="0052332A" w:rsidRPr="001354F1" w:rsidRDefault="0084131B" w:rsidP="00995B01">
      <w:pPr>
        <w:jc w:val="both"/>
        <w:rPr>
          <w:rFonts w:eastAsia="新細明體" w:cstheme="minorHAnsi"/>
          <w:szCs w:val="24"/>
        </w:rPr>
      </w:pPr>
      <w:r w:rsidRPr="001354F1">
        <w:rPr>
          <w:rFonts w:eastAsia="新細明體" w:cstheme="minorHAnsi"/>
          <w:szCs w:val="24"/>
        </w:rPr>
        <w:t>In</w:t>
      </w:r>
      <w:r w:rsidR="00D33CAA">
        <w:rPr>
          <w:rFonts w:eastAsia="新細明體" w:cstheme="minorHAnsi"/>
          <w:szCs w:val="24"/>
        </w:rPr>
        <w:t xml:space="preserve"> the</w:t>
      </w:r>
      <w:r w:rsidRPr="001354F1">
        <w:rPr>
          <w:rFonts w:eastAsia="新細明體" w:cstheme="minorHAnsi"/>
          <w:szCs w:val="24"/>
        </w:rPr>
        <w:t xml:space="preserve"> last meeting,</w:t>
      </w:r>
      <w:r w:rsidR="00EB2B96" w:rsidRPr="001354F1">
        <w:rPr>
          <w:rFonts w:eastAsia="新細明體" w:cstheme="minorHAnsi"/>
          <w:szCs w:val="24"/>
        </w:rPr>
        <w:t xml:space="preserve"> </w:t>
      </w:r>
      <w:r w:rsidR="00084F88">
        <w:rPr>
          <w:rFonts w:eastAsia="新細明體" w:cstheme="minorHAnsi" w:hint="eastAsia"/>
          <w:szCs w:val="24"/>
        </w:rPr>
        <w:t>s</w:t>
      </w:r>
      <w:r w:rsidR="00084F88">
        <w:rPr>
          <w:rFonts w:eastAsia="新細明體" w:cstheme="minorHAnsi"/>
          <w:szCs w:val="24"/>
        </w:rPr>
        <w:t>ome issues have been concluded, e.g., known/unknown cell condition for non-serving cell and measurement accuracy</w:t>
      </w:r>
      <w:r w:rsidR="00995B01">
        <w:rPr>
          <w:rFonts w:eastAsia="新細明體" w:cstheme="minorHAnsi"/>
          <w:szCs w:val="24"/>
        </w:rPr>
        <w:t xml:space="preserve"> will be reused</w:t>
      </w:r>
      <w:r w:rsidR="00851C6B" w:rsidRPr="001354F1">
        <w:rPr>
          <w:rFonts w:eastAsia="新細明體" w:cstheme="minorHAnsi"/>
          <w:szCs w:val="24"/>
        </w:rPr>
        <w:t xml:space="preserve">. </w:t>
      </w:r>
      <w:r w:rsidR="00995B01">
        <w:rPr>
          <w:rFonts w:eastAsia="新細明體" w:cstheme="minorHAnsi"/>
          <w:szCs w:val="24"/>
        </w:rPr>
        <w:t>In this paper, o</w:t>
      </w:r>
      <w:r w:rsidR="00995B01" w:rsidRPr="001354F1">
        <w:rPr>
          <w:rFonts w:eastAsia="新細明體" w:cstheme="minorHAnsi"/>
          <w:szCs w:val="24"/>
        </w:rPr>
        <w:t xml:space="preserve">ur </w:t>
      </w:r>
      <w:r w:rsidR="00AC03FF" w:rsidRPr="001354F1">
        <w:rPr>
          <w:rFonts w:eastAsia="新細明體" w:cstheme="minorHAnsi"/>
          <w:szCs w:val="24"/>
        </w:rPr>
        <w:t xml:space="preserve">views </w:t>
      </w:r>
      <w:r w:rsidR="00995B01">
        <w:rPr>
          <w:rFonts w:eastAsia="新細明體" w:cstheme="minorHAnsi"/>
          <w:szCs w:val="24"/>
        </w:rPr>
        <w:t>are provided for the remaining issues, including timing offset assumption and measurement behavior for non-serving cell</w:t>
      </w:r>
      <w:r w:rsidR="00AC03FF" w:rsidRPr="001354F1">
        <w:rPr>
          <w:rFonts w:eastAsia="新細明體" w:cstheme="minorHAnsi"/>
          <w:szCs w:val="24"/>
        </w:rPr>
        <w:t>.</w:t>
      </w:r>
    </w:p>
    <w:p w14:paraId="3D899909" w14:textId="77777777" w:rsidR="005575F9" w:rsidRPr="00DA469A" w:rsidRDefault="00C51F3B" w:rsidP="00FB4AB0">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42ABB5A5" w14:textId="0A04C326" w:rsidR="000D71D7" w:rsidRPr="001354F1" w:rsidRDefault="000D71D7" w:rsidP="000D71D7">
      <w:pPr>
        <w:pStyle w:val="2"/>
        <w:rPr>
          <w:rFonts w:asciiTheme="minorHAnsi" w:hAnsiTheme="minorHAnsi" w:cstheme="minorHAnsi"/>
          <w:szCs w:val="32"/>
        </w:rPr>
      </w:pPr>
      <w:r w:rsidRPr="001354F1">
        <w:rPr>
          <w:rFonts w:asciiTheme="minorHAnsi" w:hAnsiTheme="minorHAnsi" w:cstheme="minorHAnsi"/>
          <w:szCs w:val="32"/>
        </w:rPr>
        <w:t xml:space="preserve">2.1 </w:t>
      </w:r>
      <w:r w:rsidR="002B0F95">
        <w:rPr>
          <w:rFonts w:asciiTheme="minorHAnsi" w:hAnsiTheme="minorHAnsi" w:cstheme="minorHAnsi"/>
          <w:szCs w:val="32"/>
        </w:rPr>
        <w:t>K</w:t>
      </w:r>
      <w:r w:rsidR="00084F88">
        <w:rPr>
          <w:rFonts w:asciiTheme="minorHAnsi" w:hAnsiTheme="minorHAnsi" w:cstheme="minorHAnsi"/>
          <w:szCs w:val="32"/>
        </w:rPr>
        <w:t>nown/</w:t>
      </w:r>
      <w:r w:rsidR="002B0F95">
        <w:rPr>
          <w:rFonts w:asciiTheme="minorHAnsi" w:hAnsiTheme="minorHAnsi" w:cstheme="minorHAnsi"/>
          <w:szCs w:val="32"/>
        </w:rPr>
        <w:t>U</w:t>
      </w:r>
      <w:r w:rsidR="00084F88">
        <w:rPr>
          <w:rFonts w:asciiTheme="minorHAnsi" w:hAnsiTheme="minorHAnsi" w:cstheme="minorHAnsi"/>
          <w:szCs w:val="32"/>
        </w:rPr>
        <w:t>nknown cell condition for non-serving cell</w:t>
      </w:r>
    </w:p>
    <w:p w14:paraId="5C8AE1CA" w14:textId="605B1477" w:rsidR="00084F88" w:rsidRDefault="00084F88" w:rsidP="00A140B4">
      <w:pPr>
        <w:jc w:val="both"/>
        <w:rPr>
          <w:rFonts w:eastAsia="新細明體"/>
          <w:szCs w:val="24"/>
          <w:lang w:val="en-GB"/>
        </w:rPr>
      </w:pPr>
      <w:r>
        <w:rPr>
          <w:rFonts w:eastAsia="新細明體"/>
          <w:szCs w:val="24"/>
          <w:lang w:val="en-GB"/>
        </w:rPr>
        <w:t>RAN4 has agreed that the</w:t>
      </w:r>
      <w:r w:rsidR="0023530C">
        <w:rPr>
          <w:rFonts w:eastAsia="新細明體"/>
          <w:szCs w:val="24"/>
          <w:lang w:val="en-GB"/>
        </w:rPr>
        <w:t xml:space="preserve"> existing</w:t>
      </w:r>
      <w:r>
        <w:rPr>
          <w:rFonts w:eastAsia="新細明體"/>
          <w:szCs w:val="24"/>
          <w:lang w:val="en-GB"/>
        </w:rPr>
        <w:t xml:space="preserve"> known and unknown cell condition will be used for non-serving cell. </w:t>
      </w:r>
      <w:r w:rsidR="00420E3B">
        <w:rPr>
          <w:rFonts w:eastAsia="新細明體"/>
          <w:szCs w:val="24"/>
          <w:lang w:val="en-GB"/>
        </w:rPr>
        <w:t xml:space="preserve">To be more precise, UE will still perform L3 measurement on non-serving cell </w:t>
      </w:r>
      <w:r w:rsidR="00420E3B" w:rsidRPr="00420E3B">
        <w:rPr>
          <w:rFonts w:eastAsia="新細明體"/>
          <w:szCs w:val="24"/>
          <w:lang w:val="en-GB"/>
        </w:rPr>
        <w:t>regularly</w:t>
      </w:r>
      <w:r w:rsidR="00420E3B">
        <w:rPr>
          <w:rFonts w:eastAsia="新細明體"/>
          <w:szCs w:val="24"/>
          <w:lang w:val="en-GB"/>
        </w:rPr>
        <w:t xml:space="preserve">. </w:t>
      </w:r>
      <w:r>
        <w:rPr>
          <w:rFonts w:eastAsia="新細明體"/>
          <w:szCs w:val="24"/>
          <w:lang w:val="en-GB"/>
        </w:rPr>
        <w:t xml:space="preserve">On the other hand, </w:t>
      </w:r>
      <w:r w:rsidR="00B10BC2">
        <w:rPr>
          <w:rFonts w:eastAsia="新細明體"/>
          <w:szCs w:val="24"/>
          <w:lang w:val="en-GB"/>
        </w:rPr>
        <w:t>it will be beneficial to use L3 measurement to help UE to know whether to perform L1-RSRP measurement on the configured SSBs</w:t>
      </w:r>
      <w:r>
        <w:rPr>
          <w:rFonts w:eastAsia="新細明體"/>
          <w:szCs w:val="24"/>
          <w:lang w:val="en-GB"/>
        </w:rPr>
        <w:t xml:space="preserve">, </w:t>
      </w:r>
      <w:r w:rsidR="00B10BC2">
        <w:rPr>
          <w:rFonts w:eastAsia="新細明體"/>
          <w:szCs w:val="24"/>
          <w:lang w:val="en-GB"/>
        </w:rPr>
        <w:t>in order to avoid huge UE burden</w:t>
      </w:r>
      <w:r>
        <w:rPr>
          <w:rFonts w:eastAsia="新細明體"/>
          <w:szCs w:val="24"/>
          <w:lang w:val="en-GB"/>
        </w:rPr>
        <w:t xml:space="preserve"> to </w:t>
      </w:r>
      <w:r w:rsidR="00B10BC2">
        <w:rPr>
          <w:rFonts w:eastAsia="新細明體"/>
          <w:szCs w:val="24"/>
          <w:lang w:val="en-GB"/>
        </w:rPr>
        <w:t>perform L1-RSRP measurement</w:t>
      </w:r>
      <w:r w:rsidR="00B10BC2" w:rsidDel="00B10BC2">
        <w:rPr>
          <w:rFonts w:eastAsia="新細明體"/>
          <w:szCs w:val="24"/>
          <w:lang w:val="en-GB"/>
        </w:rPr>
        <w:t xml:space="preserve"> </w:t>
      </w:r>
      <w:r w:rsidR="00B10BC2">
        <w:rPr>
          <w:rFonts w:eastAsia="新細明體"/>
          <w:szCs w:val="24"/>
          <w:lang w:val="en-GB"/>
        </w:rPr>
        <w:t>on</w:t>
      </w:r>
      <w:r>
        <w:rPr>
          <w:rFonts w:eastAsia="新細明體"/>
          <w:szCs w:val="24"/>
          <w:lang w:val="en-GB"/>
        </w:rPr>
        <w:t xml:space="preserve"> all configured</w:t>
      </w:r>
      <w:r w:rsidR="00441F16">
        <w:rPr>
          <w:rFonts w:eastAsia="新細明體"/>
          <w:szCs w:val="24"/>
          <w:lang w:val="en-GB"/>
        </w:rPr>
        <w:t xml:space="preserve"> SSBs</w:t>
      </w:r>
      <w:r w:rsidR="00B10BC2">
        <w:rPr>
          <w:rFonts w:eastAsia="新細明體"/>
          <w:szCs w:val="24"/>
          <w:lang w:val="en-GB"/>
        </w:rPr>
        <w:t xml:space="preserve"> of</w:t>
      </w:r>
      <w:r w:rsidR="00441F16">
        <w:rPr>
          <w:rFonts w:eastAsia="新細明體"/>
          <w:szCs w:val="24"/>
          <w:lang w:val="en-GB"/>
        </w:rPr>
        <w:t xml:space="preserve"> all</w:t>
      </w:r>
      <w:r>
        <w:rPr>
          <w:rFonts w:eastAsia="新細明體"/>
          <w:szCs w:val="24"/>
          <w:lang w:val="en-GB"/>
        </w:rPr>
        <w:t xml:space="preserve"> non-serving cell</w:t>
      </w:r>
      <w:r w:rsidR="00441F16">
        <w:rPr>
          <w:rFonts w:eastAsia="新細明體"/>
          <w:szCs w:val="24"/>
          <w:lang w:val="en-GB"/>
        </w:rPr>
        <w:t>s</w:t>
      </w:r>
      <w:r>
        <w:rPr>
          <w:rFonts w:eastAsia="新細明體"/>
          <w:szCs w:val="24"/>
          <w:lang w:val="en-GB"/>
        </w:rPr>
        <w:t xml:space="preserve"> </w:t>
      </w:r>
      <w:r w:rsidR="00420E3B">
        <w:rPr>
          <w:rFonts w:eastAsia="新細明體"/>
          <w:szCs w:val="24"/>
          <w:lang w:val="en-GB"/>
        </w:rPr>
        <w:t xml:space="preserve">even the SSB </w:t>
      </w:r>
      <w:r w:rsidR="00441F16">
        <w:rPr>
          <w:rFonts w:eastAsia="新細明體"/>
          <w:szCs w:val="24"/>
          <w:lang w:val="en-GB"/>
        </w:rPr>
        <w:t>is undetectable, i.e.</w:t>
      </w:r>
      <w:r w:rsidR="00B10BC2">
        <w:rPr>
          <w:rFonts w:eastAsia="新細明體"/>
          <w:szCs w:val="24"/>
          <w:lang w:val="en-GB"/>
        </w:rPr>
        <w:t xml:space="preserve"> </w:t>
      </w:r>
      <w:r w:rsidR="00B67FBD">
        <w:rPr>
          <w:rFonts w:eastAsia="新細明體"/>
          <w:szCs w:val="24"/>
          <w:lang w:val="en-GB"/>
        </w:rPr>
        <w:t xml:space="preserve">at </w:t>
      </w:r>
      <w:r w:rsidR="00420E3B">
        <w:rPr>
          <w:rFonts w:eastAsia="新細明體"/>
          <w:szCs w:val="24"/>
          <w:lang w:val="en-GB"/>
        </w:rPr>
        <w:t>low SNR</w:t>
      </w:r>
      <w:r w:rsidR="00441F16">
        <w:rPr>
          <w:rFonts w:eastAsia="新細明體"/>
          <w:szCs w:val="24"/>
          <w:lang w:val="en-GB"/>
        </w:rPr>
        <w:t xml:space="preserve"> level</w:t>
      </w:r>
      <w:r>
        <w:rPr>
          <w:rFonts w:eastAsia="新細明體"/>
          <w:szCs w:val="24"/>
          <w:lang w:val="en-GB"/>
        </w:rPr>
        <w:t>. For example, as the following</w:t>
      </w:r>
      <w:r w:rsidR="00FA6E44">
        <w:rPr>
          <w:rFonts w:eastAsia="新細明體" w:hint="eastAsia"/>
          <w:szCs w:val="24"/>
          <w:lang w:val="en-GB"/>
        </w:rPr>
        <w:t xml:space="preserve"> </w:t>
      </w:r>
      <w:r w:rsidR="00FA6E44">
        <w:rPr>
          <w:rFonts w:eastAsia="新細明體"/>
          <w:szCs w:val="24"/>
          <w:lang w:val="en-GB"/>
        </w:rPr>
        <w:fldChar w:fldCharType="begin"/>
      </w:r>
      <w:r w:rsidR="00FA6E44">
        <w:rPr>
          <w:rFonts w:eastAsia="新細明體"/>
          <w:szCs w:val="24"/>
          <w:lang w:val="en-GB"/>
        </w:rPr>
        <w:instrText xml:space="preserve"> </w:instrText>
      </w:r>
      <w:r w:rsidR="00FA6E44">
        <w:rPr>
          <w:rFonts w:eastAsia="新細明體" w:hint="eastAsia"/>
          <w:szCs w:val="24"/>
          <w:lang w:val="en-GB"/>
        </w:rPr>
        <w:instrText>REF _Ref91830634 \h</w:instrText>
      </w:r>
      <w:r w:rsidR="00FA6E44">
        <w:rPr>
          <w:rFonts w:eastAsia="新細明體"/>
          <w:szCs w:val="24"/>
          <w:lang w:val="en-GB"/>
        </w:rPr>
        <w:instrText xml:space="preserve"> </w:instrText>
      </w:r>
      <w:r w:rsidR="00FA6E44">
        <w:rPr>
          <w:rFonts w:eastAsia="新細明體"/>
          <w:szCs w:val="24"/>
          <w:lang w:val="en-GB"/>
        </w:rPr>
      </w:r>
      <w:r w:rsidR="00FA6E44">
        <w:rPr>
          <w:rFonts w:eastAsia="新細明體"/>
          <w:szCs w:val="24"/>
          <w:lang w:val="en-GB"/>
        </w:rPr>
        <w:fldChar w:fldCharType="separate"/>
      </w:r>
      <w:r w:rsidR="00401A49" w:rsidRPr="00FA6E44">
        <w:rPr>
          <w:rFonts w:cstheme="minorHAnsi"/>
          <w:szCs w:val="24"/>
          <w:lang w:eastAsia="x-none"/>
        </w:rPr>
        <w:t xml:space="preserve">Figure </w:t>
      </w:r>
      <w:r w:rsidR="00401A49">
        <w:rPr>
          <w:rFonts w:cstheme="minorHAnsi"/>
          <w:noProof/>
          <w:szCs w:val="24"/>
          <w:lang w:eastAsia="x-none"/>
        </w:rPr>
        <w:t>1</w:t>
      </w:r>
      <w:r w:rsidR="00FA6E44">
        <w:rPr>
          <w:rFonts w:eastAsia="新細明體"/>
          <w:szCs w:val="24"/>
          <w:lang w:val="en-GB"/>
        </w:rPr>
        <w:fldChar w:fldCharType="end"/>
      </w:r>
      <w:r w:rsidR="00FA6E44">
        <w:rPr>
          <w:rFonts w:eastAsia="新細明體"/>
          <w:szCs w:val="24"/>
          <w:lang w:val="en-GB"/>
        </w:rPr>
        <w:t>, the UE may be configured one SSB</w:t>
      </w:r>
      <w:r w:rsidR="00420E3B">
        <w:rPr>
          <w:rFonts w:eastAsia="新細明體"/>
          <w:szCs w:val="24"/>
          <w:lang w:val="en-GB"/>
        </w:rPr>
        <w:t xml:space="preserve"> to be measured</w:t>
      </w:r>
      <w:r w:rsidR="00FA6E44">
        <w:rPr>
          <w:rFonts w:eastAsia="新細明體"/>
          <w:szCs w:val="24"/>
          <w:lang w:val="en-GB"/>
        </w:rPr>
        <w:t xml:space="preserve"> from non-serving cell #2 which is far away from </w:t>
      </w:r>
      <w:r w:rsidR="00420E3B">
        <w:rPr>
          <w:rFonts w:eastAsia="新細明體"/>
          <w:szCs w:val="24"/>
          <w:lang w:val="en-GB"/>
        </w:rPr>
        <w:t xml:space="preserve">UE. In that case, </w:t>
      </w:r>
      <w:r w:rsidR="008628C0">
        <w:rPr>
          <w:rFonts w:eastAsia="新細明體"/>
          <w:szCs w:val="24"/>
          <w:lang w:val="en-GB"/>
        </w:rPr>
        <w:t xml:space="preserve">according to L3 measurement procedure, UE can know </w:t>
      </w:r>
      <w:r w:rsidR="00420E3B">
        <w:rPr>
          <w:rFonts w:eastAsia="新細明體"/>
          <w:szCs w:val="24"/>
          <w:lang w:val="en-GB"/>
        </w:rPr>
        <w:t>the SSB from non-serving cell #2</w:t>
      </w:r>
      <w:r w:rsidR="00441F16">
        <w:rPr>
          <w:rFonts w:eastAsia="新細明體"/>
          <w:szCs w:val="24"/>
          <w:lang w:val="en-GB"/>
        </w:rPr>
        <w:t xml:space="preserve"> </w:t>
      </w:r>
      <w:r w:rsidR="008628C0">
        <w:rPr>
          <w:rFonts w:eastAsia="新細明體"/>
          <w:szCs w:val="24"/>
          <w:lang w:val="en-GB"/>
        </w:rPr>
        <w:t>is</w:t>
      </w:r>
      <w:r w:rsidR="00E4210D">
        <w:rPr>
          <w:rFonts w:eastAsia="新細明體"/>
          <w:szCs w:val="24"/>
          <w:lang w:val="en-GB"/>
        </w:rPr>
        <w:t xml:space="preserve"> </w:t>
      </w:r>
      <w:r w:rsidR="00941C36">
        <w:rPr>
          <w:rFonts w:eastAsia="新細明體"/>
          <w:szCs w:val="24"/>
          <w:lang w:val="en-GB"/>
        </w:rPr>
        <w:t>un</w:t>
      </w:r>
      <w:r w:rsidR="00E4210D">
        <w:rPr>
          <w:rFonts w:eastAsia="新細明體"/>
          <w:szCs w:val="24"/>
          <w:lang w:val="en-GB"/>
        </w:rPr>
        <w:t>detectable for UE</w:t>
      </w:r>
      <w:r w:rsidR="00941C36">
        <w:rPr>
          <w:rFonts w:eastAsia="新細明體"/>
          <w:szCs w:val="24"/>
          <w:lang w:val="en-GB"/>
        </w:rPr>
        <w:t>. Therefore,</w:t>
      </w:r>
      <w:r w:rsidR="008628C0">
        <w:rPr>
          <w:rFonts w:eastAsia="新細明體"/>
          <w:szCs w:val="24"/>
          <w:lang w:val="en-GB"/>
        </w:rPr>
        <w:t xml:space="preserve"> UE </w:t>
      </w:r>
      <w:r w:rsidR="00F3183A">
        <w:rPr>
          <w:rFonts w:eastAsia="新細明體"/>
          <w:szCs w:val="24"/>
          <w:lang w:val="en-GB"/>
        </w:rPr>
        <w:t>can skip</w:t>
      </w:r>
      <w:r w:rsidR="008628C0">
        <w:rPr>
          <w:rFonts w:eastAsia="新細明體"/>
          <w:szCs w:val="24"/>
          <w:lang w:val="en-GB"/>
        </w:rPr>
        <w:t xml:space="preserve"> to perform L1 measurement on the non-serving cell #2</w:t>
      </w:r>
      <w:r w:rsidR="00941C36">
        <w:rPr>
          <w:rFonts w:eastAsia="新細明體"/>
          <w:szCs w:val="24"/>
          <w:lang w:val="en-GB"/>
        </w:rPr>
        <w:t xml:space="preserve">. </w:t>
      </w:r>
    </w:p>
    <w:p w14:paraId="49E21B4F" w14:textId="5144DEE4" w:rsidR="00084F88" w:rsidRDefault="00FA6E44" w:rsidP="00084F88">
      <w:pPr>
        <w:pStyle w:val="af1"/>
        <w:jc w:val="both"/>
        <w:rPr>
          <w:rFonts w:ascii="新細明體" w:eastAsia="新細明體" w:hAnsi="新細明體" w:cstheme="minorHAnsi"/>
          <w:sz w:val="24"/>
          <w:szCs w:val="24"/>
        </w:rPr>
      </w:pPr>
      <w:r>
        <w:rPr>
          <w:rFonts w:ascii="新細明體" w:eastAsia="新細明體" w:hAnsi="新細明體" w:cstheme="minorHAnsi" w:hint="eastAsia"/>
          <w:sz w:val="24"/>
          <w:szCs w:val="24"/>
        </w:rPr>
        <w:t xml:space="preserve"> </w:t>
      </w:r>
    </w:p>
    <w:p w14:paraId="6B693FAF" w14:textId="41B8CCFA" w:rsidR="00084F88" w:rsidRDefault="00FA6E44" w:rsidP="00FA6E44">
      <w:pPr>
        <w:jc w:val="center"/>
        <w:rPr>
          <w:rFonts w:eastAsia="新細明體"/>
          <w:szCs w:val="24"/>
        </w:rPr>
      </w:pPr>
      <w:r>
        <w:rPr>
          <w:noProof/>
        </w:rPr>
        <w:drawing>
          <wp:inline distT="0" distB="0" distL="0" distR="0" wp14:anchorId="1132D0E0" wp14:editId="3B1AFCE2">
            <wp:extent cx="4213185" cy="1782047"/>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7452" cy="1788082"/>
                    </a:xfrm>
                    <a:prstGeom prst="rect">
                      <a:avLst/>
                    </a:prstGeom>
                    <a:noFill/>
                    <a:ln>
                      <a:noFill/>
                    </a:ln>
                  </pic:spPr>
                </pic:pic>
              </a:graphicData>
            </a:graphic>
          </wp:inline>
        </w:drawing>
      </w:r>
    </w:p>
    <w:p w14:paraId="72A52CA8" w14:textId="77777777" w:rsidR="00FA6E44" w:rsidRPr="00084F88" w:rsidRDefault="00FA6E44" w:rsidP="00A140B4">
      <w:pPr>
        <w:jc w:val="both"/>
        <w:rPr>
          <w:rFonts w:eastAsia="新細明體"/>
          <w:szCs w:val="24"/>
        </w:rPr>
      </w:pPr>
    </w:p>
    <w:p w14:paraId="53FD5BF0" w14:textId="7D20FEF7" w:rsidR="00084F88" w:rsidRDefault="00FA6E44" w:rsidP="00FA6E44">
      <w:pPr>
        <w:pStyle w:val="af1"/>
        <w:jc w:val="center"/>
        <w:rPr>
          <w:rFonts w:eastAsia="新細明體"/>
          <w:szCs w:val="24"/>
          <w:lang w:val="en-GB"/>
        </w:rPr>
      </w:pPr>
      <w:bookmarkStart w:id="2" w:name="_Ref91830634"/>
      <w:r w:rsidRPr="00FA6E44">
        <w:rPr>
          <w:rFonts w:cstheme="minorHAnsi"/>
          <w:sz w:val="24"/>
          <w:szCs w:val="24"/>
          <w:lang w:eastAsia="x-none"/>
        </w:rPr>
        <w:t xml:space="preserve">Figure </w:t>
      </w:r>
      <w:r w:rsidRPr="00FA6E44">
        <w:rPr>
          <w:rFonts w:cstheme="minorHAnsi"/>
          <w:sz w:val="24"/>
          <w:szCs w:val="24"/>
          <w:lang w:eastAsia="x-none"/>
        </w:rPr>
        <w:fldChar w:fldCharType="begin"/>
      </w:r>
      <w:r w:rsidRPr="00FA6E44">
        <w:rPr>
          <w:rFonts w:cstheme="minorHAnsi"/>
          <w:sz w:val="24"/>
          <w:szCs w:val="24"/>
          <w:lang w:eastAsia="x-none"/>
        </w:rPr>
        <w:instrText xml:space="preserve"> SEQ Figure \* ARABIC </w:instrText>
      </w:r>
      <w:r w:rsidRPr="00FA6E44">
        <w:rPr>
          <w:rFonts w:cstheme="minorHAnsi"/>
          <w:sz w:val="24"/>
          <w:szCs w:val="24"/>
          <w:lang w:eastAsia="x-none"/>
        </w:rPr>
        <w:fldChar w:fldCharType="separate"/>
      </w:r>
      <w:r w:rsidR="00401A49">
        <w:rPr>
          <w:rFonts w:cstheme="minorHAnsi"/>
          <w:noProof/>
          <w:sz w:val="24"/>
          <w:szCs w:val="24"/>
          <w:lang w:eastAsia="x-none"/>
        </w:rPr>
        <w:t>1</w:t>
      </w:r>
      <w:r w:rsidRPr="00FA6E44">
        <w:rPr>
          <w:rFonts w:cstheme="minorHAnsi"/>
          <w:sz w:val="24"/>
          <w:szCs w:val="24"/>
          <w:lang w:eastAsia="x-none"/>
        </w:rPr>
        <w:fldChar w:fldCharType="end"/>
      </w:r>
      <w:bookmarkEnd w:id="2"/>
      <w:r w:rsidRPr="003026F1">
        <w:rPr>
          <w:rFonts w:cstheme="minorHAnsi"/>
          <w:sz w:val="24"/>
          <w:szCs w:val="24"/>
          <w:lang w:eastAsia="x-none"/>
        </w:rPr>
        <w:t xml:space="preserve">: </w:t>
      </w:r>
      <w:r>
        <w:rPr>
          <w:rFonts w:eastAsia="新細明體" w:cstheme="minorHAnsi" w:hint="eastAsia"/>
          <w:sz w:val="24"/>
          <w:szCs w:val="24"/>
        </w:rPr>
        <w:t>i</w:t>
      </w:r>
      <w:r>
        <w:rPr>
          <w:rFonts w:eastAsia="新細明體" w:cstheme="minorHAnsi"/>
          <w:sz w:val="24"/>
          <w:szCs w:val="24"/>
        </w:rPr>
        <w:t>llustration of non-serving cell deployment</w:t>
      </w:r>
    </w:p>
    <w:p w14:paraId="734A284E" w14:textId="4159E725" w:rsidR="00084F88" w:rsidRDefault="005D37E9" w:rsidP="008628C0">
      <w:pPr>
        <w:jc w:val="both"/>
        <w:rPr>
          <w:rFonts w:eastAsia="新細明體"/>
          <w:szCs w:val="24"/>
          <w:lang w:val="en-GB"/>
        </w:rPr>
      </w:pPr>
      <w:r>
        <w:rPr>
          <w:rFonts w:eastAsia="新細明體"/>
          <w:szCs w:val="24"/>
          <w:lang w:val="en-GB"/>
        </w:rPr>
        <w:t>A</w:t>
      </w:r>
      <w:r w:rsidR="00941C36">
        <w:rPr>
          <w:rFonts w:eastAsia="新細明體"/>
          <w:szCs w:val="24"/>
          <w:lang w:val="en-GB"/>
        </w:rPr>
        <w:t xml:space="preserve">nother example is as </w:t>
      </w:r>
      <w:r w:rsidR="00941C36">
        <w:rPr>
          <w:rFonts w:eastAsia="新細明體"/>
          <w:szCs w:val="24"/>
          <w:lang w:val="en-GB"/>
        </w:rPr>
        <w:fldChar w:fldCharType="begin"/>
      </w:r>
      <w:r w:rsidR="00941C36">
        <w:rPr>
          <w:rFonts w:eastAsia="新細明體"/>
          <w:szCs w:val="24"/>
          <w:lang w:val="en-GB"/>
        </w:rPr>
        <w:instrText xml:space="preserve"> REF _Ref91830635 \h </w:instrText>
      </w:r>
      <w:r w:rsidR="008628C0">
        <w:rPr>
          <w:rFonts w:eastAsia="新細明體"/>
          <w:szCs w:val="24"/>
          <w:lang w:val="en-GB"/>
        </w:rPr>
        <w:instrText xml:space="preserve"> \* MERGEFORMAT </w:instrText>
      </w:r>
      <w:r w:rsidR="00941C36">
        <w:rPr>
          <w:rFonts w:eastAsia="新細明體"/>
          <w:szCs w:val="24"/>
          <w:lang w:val="en-GB"/>
        </w:rPr>
      </w:r>
      <w:r w:rsidR="00941C36">
        <w:rPr>
          <w:rFonts w:eastAsia="新細明體"/>
          <w:szCs w:val="24"/>
          <w:lang w:val="en-GB"/>
        </w:rPr>
        <w:fldChar w:fldCharType="separate"/>
      </w:r>
      <w:r w:rsidR="00401A49" w:rsidRPr="00FA6E44">
        <w:rPr>
          <w:rFonts w:cstheme="minorHAnsi"/>
          <w:szCs w:val="24"/>
          <w:lang w:eastAsia="x-none"/>
        </w:rPr>
        <w:t xml:space="preserve">Figure </w:t>
      </w:r>
      <w:r w:rsidR="00401A49">
        <w:rPr>
          <w:rFonts w:cstheme="minorHAnsi"/>
          <w:noProof/>
          <w:szCs w:val="24"/>
          <w:lang w:eastAsia="x-none"/>
        </w:rPr>
        <w:t>2</w:t>
      </w:r>
      <w:r w:rsidR="00941C36">
        <w:rPr>
          <w:rFonts w:eastAsia="新細明體"/>
          <w:szCs w:val="24"/>
          <w:lang w:val="en-GB"/>
        </w:rPr>
        <w:fldChar w:fldCharType="end"/>
      </w:r>
      <w:r w:rsidR="00941C36">
        <w:rPr>
          <w:rFonts w:eastAsia="新細明體"/>
          <w:szCs w:val="24"/>
          <w:lang w:val="en-GB"/>
        </w:rPr>
        <w:t>,</w:t>
      </w:r>
      <w:r w:rsidR="008628C0">
        <w:rPr>
          <w:rFonts w:eastAsia="新細明體"/>
          <w:szCs w:val="24"/>
          <w:lang w:val="en-GB"/>
        </w:rPr>
        <w:t xml:space="preserve"> the SSB to be measured from non-serving cell #1 </w:t>
      </w:r>
      <w:r>
        <w:rPr>
          <w:rFonts w:eastAsia="新細明體"/>
          <w:szCs w:val="24"/>
          <w:lang w:val="en-GB"/>
        </w:rPr>
        <w:t>does</w:t>
      </w:r>
      <w:r w:rsidR="008628C0">
        <w:rPr>
          <w:rFonts w:eastAsia="新細明體"/>
          <w:szCs w:val="24"/>
          <w:lang w:val="en-GB"/>
        </w:rPr>
        <w:t xml:space="preserve"> not point to UE. In that case, </w:t>
      </w:r>
      <w:r>
        <w:rPr>
          <w:rFonts w:eastAsia="新細明體"/>
          <w:szCs w:val="24"/>
          <w:lang w:val="en-GB"/>
        </w:rPr>
        <w:t xml:space="preserve">by using L3 measurement procedure, UE can </w:t>
      </w:r>
      <w:r w:rsidR="00F3183A">
        <w:rPr>
          <w:rFonts w:eastAsia="新細明體"/>
          <w:szCs w:val="24"/>
          <w:lang w:val="en-GB"/>
        </w:rPr>
        <w:t xml:space="preserve">also </w:t>
      </w:r>
      <w:r>
        <w:rPr>
          <w:rFonts w:eastAsia="新細明體"/>
          <w:szCs w:val="24"/>
          <w:lang w:val="en-GB"/>
        </w:rPr>
        <w:t>skip the L1-RSRP measurement on the SSB from non-serving cell #1 if the SSB</w:t>
      </w:r>
      <w:r w:rsidR="008628C0">
        <w:rPr>
          <w:rFonts w:eastAsia="新細明體"/>
          <w:szCs w:val="24"/>
          <w:lang w:val="en-GB"/>
        </w:rPr>
        <w:t xml:space="preserve"> </w:t>
      </w:r>
      <w:r>
        <w:rPr>
          <w:rFonts w:eastAsia="新細明體"/>
          <w:szCs w:val="24"/>
          <w:lang w:val="en-GB"/>
        </w:rPr>
        <w:t>is</w:t>
      </w:r>
      <w:r w:rsidR="008628C0">
        <w:rPr>
          <w:rFonts w:eastAsia="新細明體"/>
          <w:szCs w:val="24"/>
          <w:lang w:val="en-GB"/>
        </w:rPr>
        <w:t xml:space="preserve"> undetectable for UE.</w:t>
      </w:r>
    </w:p>
    <w:p w14:paraId="175DF0D4" w14:textId="5ACFF19E" w:rsidR="00FA6E44" w:rsidRDefault="00FA6E44" w:rsidP="00FA6E44">
      <w:pPr>
        <w:jc w:val="center"/>
        <w:rPr>
          <w:rFonts w:eastAsia="新細明體"/>
          <w:szCs w:val="24"/>
          <w:lang w:val="en-GB"/>
        </w:rPr>
      </w:pPr>
      <w:r>
        <w:rPr>
          <w:rFonts w:eastAsia="新細明體"/>
          <w:noProof/>
          <w:szCs w:val="24"/>
        </w:rPr>
        <w:lastRenderedPageBreak/>
        <w:drawing>
          <wp:inline distT="0" distB="0" distL="0" distR="0" wp14:anchorId="7D99106A" wp14:editId="0D382B87">
            <wp:extent cx="2962284" cy="209501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2321" cy="2102117"/>
                    </a:xfrm>
                    <a:prstGeom prst="rect">
                      <a:avLst/>
                    </a:prstGeom>
                    <a:noFill/>
                  </pic:spPr>
                </pic:pic>
              </a:graphicData>
            </a:graphic>
          </wp:inline>
        </w:drawing>
      </w:r>
    </w:p>
    <w:p w14:paraId="14DE8FDA" w14:textId="0AE02596" w:rsidR="00FA6E44" w:rsidRDefault="00FA6E44" w:rsidP="00FA6E44">
      <w:pPr>
        <w:pStyle w:val="af1"/>
        <w:jc w:val="center"/>
        <w:rPr>
          <w:rFonts w:eastAsia="新細明體"/>
          <w:szCs w:val="24"/>
          <w:lang w:val="en-GB"/>
        </w:rPr>
      </w:pPr>
      <w:bookmarkStart w:id="3" w:name="_Ref91830635"/>
      <w:r w:rsidRPr="00FA6E44">
        <w:rPr>
          <w:rFonts w:cstheme="minorHAnsi"/>
          <w:sz w:val="24"/>
          <w:szCs w:val="24"/>
          <w:lang w:eastAsia="x-none"/>
        </w:rPr>
        <w:t xml:space="preserve">Figure </w:t>
      </w:r>
      <w:r w:rsidRPr="00FA6E44">
        <w:rPr>
          <w:rFonts w:cstheme="minorHAnsi"/>
          <w:sz w:val="24"/>
          <w:szCs w:val="24"/>
          <w:lang w:eastAsia="x-none"/>
        </w:rPr>
        <w:fldChar w:fldCharType="begin"/>
      </w:r>
      <w:r w:rsidRPr="00FA6E44">
        <w:rPr>
          <w:rFonts w:cstheme="minorHAnsi"/>
          <w:sz w:val="24"/>
          <w:szCs w:val="24"/>
          <w:lang w:eastAsia="x-none"/>
        </w:rPr>
        <w:instrText xml:space="preserve"> SEQ Figure \* ARABIC </w:instrText>
      </w:r>
      <w:r w:rsidRPr="00FA6E44">
        <w:rPr>
          <w:rFonts w:cstheme="minorHAnsi"/>
          <w:sz w:val="24"/>
          <w:szCs w:val="24"/>
          <w:lang w:eastAsia="x-none"/>
        </w:rPr>
        <w:fldChar w:fldCharType="separate"/>
      </w:r>
      <w:r w:rsidR="00401A49">
        <w:rPr>
          <w:rFonts w:cstheme="minorHAnsi"/>
          <w:noProof/>
          <w:sz w:val="24"/>
          <w:szCs w:val="24"/>
          <w:lang w:eastAsia="x-none"/>
        </w:rPr>
        <w:t>2</w:t>
      </w:r>
      <w:r w:rsidRPr="00FA6E44">
        <w:rPr>
          <w:rFonts w:cstheme="minorHAnsi"/>
          <w:sz w:val="24"/>
          <w:szCs w:val="24"/>
          <w:lang w:eastAsia="x-none"/>
        </w:rPr>
        <w:fldChar w:fldCharType="end"/>
      </w:r>
      <w:bookmarkEnd w:id="3"/>
      <w:r w:rsidRPr="003026F1">
        <w:rPr>
          <w:rFonts w:cstheme="minorHAnsi"/>
          <w:sz w:val="24"/>
          <w:szCs w:val="24"/>
          <w:lang w:eastAsia="x-none"/>
        </w:rPr>
        <w:t xml:space="preserve">: </w:t>
      </w:r>
      <w:r>
        <w:rPr>
          <w:rFonts w:eastAsia="新細明體" w:cstheme="minorHAnsi" w:hint="eastAsia"/>
          <w:sz w:val="24"/>
          <w:szCs w:val="24"/>
        </w:rPr>
        <w:t>i</w:t>
      </w:r>
      <w:r>
        <w:rPr>
          <w:rFonts w:eastAsia="新細明體" w:cstheme="minorHAnsi"/>
          <w:sz w:val="24"/>
          <w:szCs w:val="24"/>
        </w:rPr>
        <w:t>llustration of non-serving cell deployment</w:t>
      </w:r>
    </w:p>
    <w:p w14:paraId="569E603B" w14:textId="5956ED8D" w:rsidR="00FA6E44" w:rsidRDefault="00FA6E44" w:rsidP="00A140B4">
      <w:pPr>
        <w:jc w:val="both"/>
        <w:rPr>
          <w:rFonts w:eastAsia="新細明體"/>
          <w:szCs w:val="24"/>
          <w:lang w:val="en-GB"/>
        </w:rPr>
      </w:pPr>
    </w:p>
    <w:p w14:paraId="76E41EEC" w14:textId="5E3AA81E" w:rsidR="00FA487B" w:rsidRDefault="003356B4" w:rsidP="00A140B4">
      <w:pPr>
        <w:jc w:val="both"/>
        <w:rPr>
          <w:rFonts w:eastAsia="新細明體"/>
          <w:szCs w:val="24"/>
          <w:lang w:val="en-GB"/>
        </w:rPr>
      </w:pPr>
      <w:r>
        <w:rPr>
          <w:rFonts w:eastAsia="新細明體"/>
          <w:szCs w:val="24"/>
          <w:lang w:val="en-GB"/>
        </w:rPr>
        <w:t>Based on the above observation, the following proposal is suggested.</w:t>
      </w:r>
    </w:p>
    <w:p w14:paraId="0B506A1B" w14:textId="1E887D20" w:rsidR="003356B4" w:rsidRDefault="003356B4" w:rsidP="00A140B4">
      <w:pPr>
        <w:jc w:val="both"/>
        <w:rPr>
          <w:rFonts w:eastAsia="新細明體"/>
          <w:szCs w:val="24"/>
          <w:lang w:val="en-GB"/>
        </w:rPr>
      </w:pPr>
    </w:p>
    <w:p w14:paraId="0C98DE03" w14:textId="403972A7" w:rsidR="003356B4" w:rsidRPr="004E530C" w:rsidRDefault="003356B4" w:rsidP="003356B4">
      <w:pPr>
        <w:pStyle w:val="af1"/>
        <w:jc w:val="both"/>
        <w:rPr>
          <w:sz w:val="24"/>
          <w:szCs w:val="24"/>
        </w:rPr>
      </w:pPr>
      <w:bookmarkStart w:id="4" w:name="_Ref92295497"/>
      <w:bookmarkStart w:id="5" w:name="_Ref91836896"/>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1</w:t>
      </w:r>
      <w:r w:rsidRPr="004E530C">
        <w:rPr>
          <w:noProof/>
          <w:sz w:val="24"/>
          <w:szCs w:val="24"/>
        </w:rPr>
        <w:fldChar w:fldCharType="end"/>
      </w:r>
      <w:bookmarkEnd w:id="4"/>
      <w:r w:rsidRPr="004E530C">
        <w:rPr>
          <w:sz w:val="24"/>
          <w:szCs w:val="24"/>
        </w:rPr>
        <w:t xml:space="preserve">: </w:t>
      </w:r>
      <w:r w:rsidRPr="003356B4">
        <w:rPr>
          <w:sz w:val="24"/>
          <w:szCs w:val="24"/>
        </w:rPr>
        <w:t>UE is not required to perform the L1-RSRP measurement on the unknown non-serving cell</w:t>
      </w:r>
      <w:r w:rsidRPr="004E530C">
        <w:rPr>
          <w:sz w:val="24"/>
          <w:szCs w:val="24"/>
        </w:rPr>
        <w:t>.</w:t>
      </w:r>
      <w:bookmarkEnd w:id="5"/>
    </w:p>
    <w:p w14:paraId="6C3FC560" w14:textId="4497EAB6" w:rsidR="00B76330" w:rsidRDefault="00B76330" w:rsidP="00D20426">
      <w:pPr>
        <w:rPr>
          <w:rFonts w:eastAsia="新細明體"/>
          <w:lang w:val="en-GB"/>
        </w:rPr>
      </w:pPr>
    </w:p>
    <w:p w14:paraId="4C99EB60" w14:textId="26A863DA" w:rsidR="00CC59DB" w:rsidRPr="001354F1" w:rsidRDefault="00CC59DB" w:rsidP="00CC59DB">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 xml:space="preserve">2 </w:t>
      </w:r>
      <w:r w:rsidR="00706655">
        <w:rPr>
          <w:rFonts w:asciiTheme="minorHAnsi" w:hAnsiTheme="minorHAnsi" w:cstheme="minorHAnsi"/>
          <w:szCs w:val="32"/>
        </w:rPr>
        <w:t>L1 m</w:t>
      </w:r>
      <w:r>
        <w:rPr>
          <w:rFonts w:asciiTheme="minorHAnsi" w:hAnsiTheme="minorHAnsi" w:cstheme="minorHAnsi"/>
          <w:szCs w:val="32"/>
        </w:rPr>
        <w:t>easurement behaviour for non-serving cell</w:t>
      </w:r>
    </w:p>
    <w:p w14:paraId="47E7A72E" w14:textId="77777777" w:rsidR="00CC59DB" w:rsidRDefault="00CC59DB" w:rsidP="00CC59DB">
      <w:pPr>
        <w:jc w:val="both"/>
        <w:rPr>
          <w:rFonts w:eastAsia="新細明體"/>
          <w:szCs w:val="24"/>
          <w:lang w:val="en-GB"/>
        </w:rPr>
      </w:pPr>
      <w:r w:rsidRPr="004E530C">
        <w:rPr>
          <w:rFonts w:eastAsia="新細明體"/>
          <w:szCs w:val="24"/>
          <w:lang w:val="en-GB"/>
        </w:rPr>
        <w:t xml:space="preserve">To make requirement simple, suggest to </w:t>
      </w:r>
      <w:r>
        <w:rPr>
          <w:rFonts w:eastAsia="新細明體"/>
          <w:szCs w:val="24"/>
          <w:lang w:val="en-GB"/>
        </w:rPr>
        <w:t>follow the same L1 measurement behaviour as</w:t>
      </w:r>
      <w:r w:rsidRPr="004E530C">
        <w:rPr>
          <w:rFonts w:eastAsia="新細明體"/>
          <w:szCs w:val="24"/>
          <w:lang w:val="en-GB"/>
        </w:rPr>
        <w:t xml:space="preserve"> existing R15/R16 L1-RSRP measurement for non-serving cell. </w:t>
      </w:r>
      <w:r>
        <w:rPr>
          <w:rFonts w:eastAsia="新細明體"/>
          <w:szCs w:val="24"/>
          <w:lang w:val="en-GB"/>
        </w:rPr>
        <w:t xml:space="preserve">Otherwise, the requirement could be complicated, e.g. it may </w:t>
      </w:r>
      <w:r w:rsidRPr="004E530C">
        <w:rPr>
          <w:rFonts w:eastAsia="新細明體"/>
          <w:szCs w:val="24"/>
          <w:lang w:val="en-GB"/>
        </w:rPr>
        <w:t>introduce new sharing factor</w:t>
      </w:r>
      <w:r>
        <w:rPr>
          <w:rFonts w:eastAsia="新細明體"/>
          <w:szCs w:val="24"/>
          <w:lang w:val="en-GB"/>
        </w:rPr>
        <w:t xml:space="preserve"> when </w:t>
      </w:r>
      <w:r w:rsidRPr="004E530C">
        <w:rPr>
          <w:rFonts w:eastAsia="新細明體"/>
          <w:szCs w:val="24"/>
          <w:lang w:val="en-GB"/>
        </w:rPr>
        <w:t xml:space="preserve">the </w:t>
      </w:r>
      <w:r>
        <w:rPr>
          <w:rFonts w:eastAsia="新細明體"/>
          <w:szCs w:val="24"/>
          <w:lang w:val="en-GB"/>
        </w:rPr>
        <w:t>non-serving cell’s SSB for L1-RSRP is measured within SMTC, the sharing with serving cells’ L3 measurements will be needed.</w:t>
      </w:r>
    </w:p>
    <w:p w14:paraId="1D05595E" w14:textId="77777777" w:rsidR="00CC59DB" w:rsidRPr="0080391D" w:rsidRDefault="00CC59DB" w:rsidP="00CC59DB">
      <w:pPr>
        <w:jc w:val="both"/>
        <w:rPr>
          <w:rFonts w:eastAsia="新細明體"/>
          <w:szCs w:val="24"/>
          <w:lang w:val="en-GB"/>
        </w:rPr>
      </w:pPr>
    </w:p>
    <w:p w14:paraId="714233D4" w14:textId="34408053" w:rsidR="00CC59DB" w:rsidRPr="00761537" w:rsidRDefault="00CC59DB" w:rsidP="00AE3ACF">
      <w:pPr>
        <w:pStyle w:val="af1"/>
        <w:jc w:val="both"/>
      </w:pPr>
      <w:bookmarkStart w:id="6" w:name="_Ref85384082"/>
      <w:bookmarkStart w:id="7" w:name="_Ref85631786"/>
      <w:bookmarkStart w:id="8" w:name="_Ref91836902"/>
      <w:r w:rsidRPr="004E530C">
        <w:rPr>
          <w:sz w:val="24"/>
          <w:szCs w:val="24"/>
        </w:rPr>
        <w:t xml:space="preserve">Proposal </w:t>
      </w:r>
      <w:r w:rsidRPr="004E530C">
        <w:rPr>
          <w:b w:val="0"/>
          <w:szCs w:val="24"/>
        </w:rPr>
        <w:fldChar w:fldCharType="begin"/>
      </w:r>
      <w:r w:rsidRPr="004E530C">
        <w:rPr>
          <w:sz w:val="24"/>
          <w:szCs w:val="24"/>
        </w:rPr>
        <w:instrText xml:space="preserve"> SEQ Proposal \* ARABIC </w:instrText>
      </w:r>
      <w:r w:rsidRPr="004E530C">
        <w:rPr>
          <w:b w:val="0"/>
          <w:szCs w:val="24"/>
        </w:rPr>
        <w:fldChar w:fldCharType="separate"/>
      </w:r>
      <w:r w:rsidR="00401A49">
        <w:rPr>
          <w:noProof/>
          <w:sz w:val="24"/>
          <w:szCs w:val="24"/>
        </w:rPr>
        <w:t>2</w:t>
      </w:r>
      <w:r w:rsidRPr="004E530C">
        <w:rPr>
          <w:b w:val="0"/>
          <w:noProof/>
          <w:szCs w:val="24"/>
        </w:rPr>
        <w:fldChar w:fldCharType="end"/>
      </w:r>
      <w:bookmarkEnd w:id="6"/>
      <w:r w:rsidRPr="004E530C">
        <w:rPr>
          <w:sz w:val="24"/>
          <w:szCs w:val="24"/>
        </w:rPr>
        <w:t xml:space="preserve">: </w:t>
      </w:r>
      <w:bookmarkEnd w:id="7"/>
      <w:r>
        <w:rPr>
          <w:sz w:val="24"/>
          <w:szCs w:val="24"/>
        </w:rPr>
        <w:t>For the measurement behaviour for non-serving cell</w:t>
      </w:r>
      <w:r w:rsidR="00021142">
        <w:rPr>
          <w:sz w:val="24"/>
          <w:szCs w:val="24"/>
        </w:rPr>
        <w:t xml:space="preserve"> </w:t>
      </w:r>
      <w:r>
        <w:rPr>
          <w:sz w:val="24"/>
          <w:szCs w:val="24"/>
        </w:rPr>
        <w:t>i</w:t>
      </w:r>
      <w:r w:rsidRPr="002B0F95">
        <w:rPr>
          <w:sz w:val="24"/>
          <w:szCs w:val="24"/>
        </w:rPr>
        <w:t>n FR1, L1 measurements for non-serving cell can be performed within or outside SMTC.</w:t>
      </w:r>
      <w:bookmarkEnd w:id="8"/>
    </w:p>
    <w:p w14:paraId="13CB2D33" w14:textId="58BFC57F" w:rsidR="00CC59DB" w:rsidRPr="004E530C" w:rsidRDefault="00CC59DB" w:rsidP="00CC59DB">
      <w:pPr>
        <w:pStyle w:val="af1"/>
        <w:jc w:val="both"/>
        <w:rPr>
          <w:sz w:val="24"/>
          <w:szCs w:val="24"/>
        </w:rPr>
      </w:pPr>
      <w:bookmarkStart w:id="9" w:name="_Ref92295291"/>
      <w:bookmarkStart w:id="10" w:name="_Ref91836903"/>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3</w:t>
      </w:r>
      <w:r w:rsidRPr="004E530C">
        <w:rPr>
          <w:noProof/>
          <w:sz w:val="24"/>
          <w:szCs w:val="24"/>
        </w:rPr>
        <w:fldChar w:fldCharType="end"/>
      </w:r>
      <w:bookmarkEnd w:id="9"/>
      <w:r w:rsidRPr="004E530C">
        <w:rPr>
          <w:sz w:val="24"/>
          <w:szCs w:val="24"/>
        </w:rPr>
        <w:t>:</w:t>
      </w:r>
      <w:r w:rsidRPr="002B0F95">
        <w:t xml:space="preserve"> </w:t>
      </w:r>
      <w:r>
        <w:rPr>
          <w:sz w:val="24"/>
          <w:szCs w:val="24"/>
        </w:rPr>
        <w:t>For the measurement behaviour for non-serving cell</w:t>
      </w:r>
      <w:r w:rsidR="00021142">
        <w:rPr>
          <w:sz w:val="24"/>
          <w:szCs w:val="24"/>
        </w:rPr>
        <w:t xml:space="preserve"> </w:t>
      </w:r>
      <w:r>
        <w:rPr>
          <w:sz w:val="24"/>
          <w:szCs w:val="24"/>
        </w:rPr>
        <w:t>i</w:t>
      </w:r>
      <w:r w:rsidRPr="002B0F95">
        <w:rPr>
          <w:sz w:val="24"/>
          <w:szCs w:val="24"/>
        </w:rPr>
        <w:t xml:space="preserve">n FR2, L1 measurements for non-serving cell </w:t>
      </w:r>
      <w:r>
        <w:rPr>
          <w:sz w:val="24"/>
          <w:szCs w:val="24"/>
        </w:rPr>
        <w:t>are assumed to be</w:t>
      </w:r>
      <w:r w:rsidRPr="002B0F95">
        <w:rPr>
          <w:sz w:val="24"/>
          <w:szCs w:val="24"/>
        </w:rPr>
        <w:t xml:space="preserve"> performed </w:t>
      </w:r>
      <w:r>
        <w:rPr>
          <w:sz w:val="24"/>
          <w:szCs w:val="24"/>
        </w:rPr>
        <w:t>outside</w:t>
      </w:r>
      <w:r w:rsidRPr="002B0F95">
        <w:rPr>
          <w:sz w:val="24"/>
          <w:szCs w:val="24"/>
        </w:rPr>
        <w:t xml:space="preserve"> SMTC.</w:t>
      </w:r>
      <w:bookmarkEnd w:id="10"/>
    </w:p>
    <w:p w14:paraId="7491C7A1" w14:textId="77777777" w:rsidR="00CC59DB" w:rsidRDefault="00CC59DB" w:rsidP="00CC59DB">
      <w:pPr>
        <w:pStyle w:val="af1"/>
        <w:jc w:val="both"/>
        <w:rPr>
          <w:rFonts w:eastAsia="新細明體" w:cstheme="minorHAnsi"/>
          <w:szCs w:val="24"/>
        </w:rPr>
      </w:pPr>
    </w:p>
    <w:p w14:paraId="17A45DFB" w14:textId="5C3375BE" w:rsidR="00CC59DB" w:rsidRPr="001354F1" w:rsidRDefault="00CC59DB" w:rsidP="00CC59DB">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3</w:t>
      </w:r>
      <w:r w:rsidRPr="001354F1">
        <w:rPr>
          <w:rFonts w:asciiTheme="minorHAnsi" w:hAnsiTheme="minorHAnsi" w:cstheme="minorHAnsi"/>
          <w:szCs w:val="32"/>
        </w:rPr>
        <w:t xml:space="preserve"> </w:t>
      </w:r>
      <w:r>
        <w:rPr>
          <w:rFonts w:asciiTheme="minorHAnsi" w:hAnsiTheme="minorHAnsi" w:cstheme="minorHAnsi"/>
          <w:szCs w:val="32"/>
        </w:rPr>
        <w:t>Delay requirement for L1-RSRP measurement on non-serving cell</w:t>
      </w:r>
    </w:p>
    <w:p w14:paraId="17B62EA4" w14:textId="31D087EC" w:rsidR="00CC59DB" w:rsidRDefault="00CC59DB" w:rsidP="00AE3ACF">
      <w:pPr>
        <w:jc w:val="both"/>
        <w:rPr>
          <w:rFonts w:eastAsia="新細明體"/>
          <w:lang w:val="en-GB"/>
        </w:rPr>
      </w:pPr>
      <w:r>
        <w:rPr>
          <w:rFonts w:eastAsia="新細明體" w:hint="eastAsia"/>
          <w:lang w:val="en-GB"/>
        </w:rPr>
        <w:t>B</w:t>
      </w:r>
      <w:r>
        <w:rPr>
          <w:rFonts w:eastAsia="新細明體"/>
          <w:lang w:val="en-GB"/>
        </w:rPr>
        <w:t xml:space="preserve">ased on the discussion in </w:t>
      </w:r>
      <w:r w:rsidR="00BC7D55">
        <w:rPr>
          <w:rFonts w:eastAsia="新細明體"/>
          <w:lang w:val="en-GB"/>
        </w:rPr>
        <w:t xml:space="preserve">section 2.1, for the non-serving cell, the delay requirement of L1-RSRP measurement </w:t>
      </w:r>
      <w:r w:rsidR="00645B3E">
        <w:rPr>
          <w:rFonts w:eastAsia="新細明體"/>
          <w:lang w:val="en-GB"/>
        </w:rPr>
        <w:t>are</w:t>
      </w:r>
      <w:r w:rsidR="00BC7D55">
        <w:rPr>
          <w:rFonts w:eastAsia="新細明體"/>
          <w:lang w:val="en-GB"/>
        </w:rPr>
        <w:t xml:space="preserve"> further discussed for known and unknown cases</w:t>
      </w:r>
      <w:r w:rsidR="00645B3E">
        <w:rPr>
          <w:rFonts w:eastAsia="新細明體"/>
          <w:lang w:val="en-GB"/>
        </w:rPr>
        <w:t xml:space="preserve"> as below</w:t>
      </w:r>
      <w:r w:rsidR="00BC7D55">
        <w:rPr>
          <w:rFonts w:eastAsia="新細明體"/>
          <w:lang w:val="en-GB"/>
        </w:rPr>
        <w:t>.</w:t>
      </w:r>
    </w:p>
    <w:p w14:paraId="432815DB" w14:textId="77777777" w:rsidR="00CC59DB" w:rsidRDefault="00CC59DB" w:rsidP="00AE3ACF">
      <w:pPr>
        <w:jc w:val="both"/>
        <w:rPr>
          <w:rFonts w:eastAsia="新細明體"/>
          <w:lang w:val="en-GB"/>
        </w:rPr>
      </w:pPr>
    </w:p>
    <w:p w14:paraId="73DB48F3" w14:textId="2F6B3C21" w:rsidR="00CC59DB" w:rsidRDefault="00CC59DB" w:rsidP="00AE3ACF">
      <w:pPr>
        <w:jc w:val="both"/>
        <w:rPr>
          <w:rFonts w:eastAsia="新細明體"/>
          <w:lang w:val="en-GB"/>
        </w:rPr>
      </w:pPr>
      <w:r>
        <w:rPr>
          <w:rFonts w:eastAsia="新細明體"/>
          <w:lang w:val="en-GB"/>
        </w:rPr>
        <w:t xml:space="preserve">For unknown case, </w:t>
      </w:r>
      <w:r w:rsidR="00021142">
        <w:rPr>
          <w:rFonts w:eastAsia="新細明體"/>
          <w:lang w:val="en-GB"/>
        </w:rPr>
        <w:t>we suggest not to define</w:t>
      </w:r>
      <w:r>
        <w:rPr>
          <w:rFonts w:eastAsia="新細明體"/>
          <w:lang w:val="en-GB"/>
        </w:rPr>
        <w:t xml:space="preserve"> L1-RSRP measurement </w:t>
      </w:r>
      <w:r w:rsidR="00DE56D3">
        <w:rPr>
          <w:rFonts w:eastAsia="新細明體"/>
          <w:lang w:val="en-GB"/>
        </w:rPr>
        <w:t>for</w:t>
      </w:r>
      <w:r>
        <w:rPr>
          <w:rFonts w:eastAsia="新細明體"/>
          <w:lang w:val="en-GB"/>
        </w:rPr>
        <w:t xml:space="preserve"> non-serving cell</w:t>
      </w:r>
      <w:r w:rsidR="00021142">
        <w:rPr>
          <w:rFonts w:eastAsia="新細明體"/>
          <w:lang w:val="en-GB"/>
        </w:rPr>
        <w:t xml:space="preserve">, because UE shall not be required to </w:t>
      </w:r>
      <w:r w:rsidR="00021142" w:rsidRPr="00021142">
        <w:rPr>
          <w:rFonts w:eastAsia="新細明體"/>
          <w:lang w:val="en-GB"/>
        </w:rPr>
        <w:t>perform L1-RSRP measurement on the unknown non-serving cell</w:t>
      </w:r>
      <w:r w:rsidR="00021142">
        <w:rPr>
          <w:rFonts w:eastAsia="新細明體"/>
          <w:lang w:val="en-GB"/>
        </w:rPr>
        <w:t xml:space="preserve">, as proposed in Proposal 1. </w:t>
      </w:r>
    </w:p>
    <w:p w14:paraId="3E8A7CAD" w14:textId="77777777" w:rsidR="00CC59DB" w:rsidRDefault="00CC59DB" w:rsidP="00CC59DB">
      <w:pPr>
        <w:rPr>
          <w:rFonts w:eastAsia="新細明體"/>
          <w:lang w:val="en-GB"/>
        </w:rPr>
      </w:pPr>
    </w:p>
    <w:p w14:paraId="61DDCFFD" w14:textId="7B7BC4D5" w:rsidR="00CC59DB" w:rsidRPr="004E530C" w:rsidRDefault="00CC59DB" w:rsidP="00CC59DB">
      <w:pPr>
        <w:pStyle w:val="af1"/>
        <w:jc w:val="both"/>
        <w:rPr>
          <w:sz w:val="24"/>
          <w:szCs w:val="24"/>
        </w:rPr>
      </w:pPr>
      <w:bookmarkStart w:id="11" w:name="_Ref92303500"/>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4</w:t>
      </w:r>
      <w:r w:rsidRPr="004E530C">
        <w:rPr>
          <w:noProof/>
          <w:sz w:val="24"/>
          <w:szCs w:val="24"/>
        </w:rPr>
        <w:fldChar w:fldCharType="end"/>
      </w:r>
      <w:r w:rsidRPr="004E530C">
        <w:rPr>
          <w:sz w:val="24"/>
          <w:szCs w:val="24"/>
        </w:rPr>
        <w:t>:</w:t>
      </w:r>
      <w:r w:rsidRPr="002B0F95">
        <w:t xml:space="preserve"> </w:t>
      </w:r>
      <w:r>
        <w:rPr>
          <w:sz w:val="24"/>
          <w:szCs w:val="24"/>
        </w:rPr>
        <w:t>For t</w:t>
      </w:r>
      <w:r w:rsidR="00BC7D55">
        <w:rPr>
          <w:sz w:val="24"/>
          <w:szCs w:val="24"/>
        </w:rPr>
        <w:t>he unknown non-serving cell, no delay requirement of the L1-RSRP measurement will be defined</w:t>
      </w:r>
      <w:r w:rsidRPr="002B0F95">
        <w:rPr>
          <w:sz w:val="24"/>
          <w:szCs w:val="24"/>
        </w:rPr>
        <w:t>.</w:t>
      </w:r>
      <w:bookmarkEnd w:id="11"/>
    </w:p>
    <w:p w14:paraId="15810045" w14:textId="77777777" w:rsidR="00CC59DB" w:rsidRDefault="00CC59DB" w:rsidP="00CC59DB">
      <w:pPr>
        <w:rPr>
          <w:rFonts w:eastAsia="新細明體"/>
          <w:lang w:val="en-GB"/>
        </w:rPr>
      </w:pPr>
    </w:p>
    <w:p w14:paraId="10F40500" w14:textId="603724A6" w:rsidR="00CC59DB" w:rsidRPr="00B76330" w:rsidRDefault="00CC59DB" w:rsidP="00AE3ACF">
      <w:pPr>
        <w:jc w:val="both"/>
        <w:rPr>
          <w:rFonts w:eastAsia="新細明體"/>
          <w:lang w:val="en-GB"/>
        </w:rPr>
      </w:pPr>
      <w:r>
        <w:rPr>
          <w:rFonts w:eastAsia="新細明體"/>
          <w:lang w:val="en-GB"/>
        </w:rPr>
        <w:t xml:space="preserve">For known case, </w:t>
      </w:r>
      <w:r w:rsidR="00021142">
        <w:rPr>
          <w:rFonts w:eastAsia="新細明體"/>
          <w:lang w:val="en-GB"/>
        </w:rPr>
        <w:t>based on</w:t>
      </w:r>
      <w:r>
        <w:rPr>
          <w:rFonts w:eastAsia="新細明體"/>
          <w:lang w:val="en-GB"/>
        </w:rPr>
        <w:t xml:space="preserve"> </w:t>
      </w:r>
      <w:r>
        <w:rPr>
          <w:rFonts w:eastAsia="新細明體"/>
          <w:lang w:val="en-GB"/>
        </w:rPr>
        <w:fldChar w:fldCharType="begin"/>
      </w:r>
      <w:r>
        <w:rPr>
          <w:rFonts w:eastAsia="新細明體"/>
          <w:lang w:val="en-GB"/>
        </w:rPr>
        <w:instrText xml:space="preserve"> REF _Ref85384082 \h </w:instrText>
      </w:r>
      <w:r w:rsidR="00AE3ACF">
        <w:rPr>
          <w:rFonts w:eastAsia="新細明體"/>
          <w:lang w:val="en-GB"/>
        </w:rPr>
        <w:instrText xml:space="preserve"> \* MERGEFORMAT </w:instrText>
      </w:r>
      <w:r>
        <w:rPr>
          <w:rFonts w:eastAsia="新細明體"/>
          <w:lang w:val="en-GB"/>
        </w:rPr>
      </w:r>
      <w:r>
        <w:rPr>
          <w:rFonts w:eastAsia="新細明體"/>
          <w:lang w:val="en-GB"/>
        </w:rPr>
        <w:fldChar w:fldCharType="separate"/>
      </w:r>
      <w:r w:rsidR="00401A49" w:rsidRPr="004E530C">
        <w:rPr>
          <w:szCs w:val="24"/>
        </w:rPr>
        <w:t xml:space="preserve">Proposal </w:t>
      </w:r>
      <w:r w:rsidR="00401A49">
        <w:rPr>
          <w:noProof/>
          <w:szCs w:val="24"/>
        </w:rPr>
        <w:t>2</w:t>
      </w:r>
      <w:r>
        <w:rPr>
          <w:rFonts w:eastAsia="新細明體"/>
          <w:lang w:val="en-GB"/>
        </w:rPr>
        <w:fldChar w:fldCharType="end"/>
      </w:r>
      <w:r>
        <w:rPr>
          <w:rFonts w:eastAsia="新細明體"/>
          <w:lang w:val="en-GB"/>
        </w:rPr>
        <w:t xml:space="preserve"> and </w:t>
      </w:r>
      <w:r>
        <w:rPr>
          <w:rFonts w:eastAsia="新細明體"/>
          <w:lang w:val="en-GB"/>
        </w:rPr>
        <w:fldChar w:fldCharType="begin"/>
      </w:r>
      <w:r>
        <w:rPr>
          <w:rFonts w:eastAsia="新細明體"/>
          <w:lang w:val="en-GB"/>
        </w:rPr>
        <w:instrText xml:space="preserve"> REF _Ref92295291 \h </w:instrText>
      </w:r>
      <w:r w:rsidR="00AE3ACF">
        <w:rPr>
          <w:rFonts w:eastAsia="新細明體"/>
          <w:lang w:val="en-GB"/>
        </w:rPr>
        <w:instrText xml:space="preserve"> \* MERGEFORMAT </w:instrText>
      </w:r>
      <w:r>
        <w:rPr>
          <w:rFonts w:eastAsia="新細明體"/>
          <w:lang w:val="en-GB"/>
        </w:rPr>
      </w:r>
      <w:r>
        <w:rPr>
          <w:rFonts w:eastAsia="新細明體"/>
          <w:lang w:val="en-GB"/>
        </w:rPr>
        <w:fldChar w:fldCharType="separate"/>
      </w:r>
      <w:r w:rsidR="00401A49" w:rsidRPr="004E530C">
        <w:rPr>
          <w:szCs w:val="24"/>
        </w:rPr>
        <w:t xml:space="preserve">Proposal </w:t>
      </w:r>
      <w:r w:rsidR="00401A49">
        <w:rPr>
          <w:noProof/>
          <w:szCs w:val="24"/>
        </w:rPr>
        <w:t>3</w:t>
      </w:r>
      <w:r>
        <w:rPr>
          <w:rFonts w:eastAsia="新細明體"/>
          <w:lang w:val="en-GB"/>
        </w:rPr>
        <w:fldChar w:fldCharType="end"/>
      </w:r>
      <w:r>
        <w:rPr>
          <w:rFonts w:eastAsia="新細明體"/>
          <w:lang w:val="en-GB"/>
        </w:rPr>
        <w:t xml:space="preserve">, </w:t>
      </w:r>
      <w:r w:rsidR="00BC7D55">
        <w:rPr>
          <w:rFonts w:eastAsia="新細明體"/>
          <w:lang w:val="en-GB"/>
        </w:rPr>
        <w:t xml:space="preserve">there is no difference on the measurement </w:t>
      </w:r>
      <w:r w:rsidR="00BC7D55">
        <w:rPr>
          <w:rFonts w:eastAsia="新細明體"/>
          <w:lang w:val="en-GB"/>
        </w:rPr>
        <w:lastRenderedPageBreak/>
        <w:t>behaviour between serving cell and non-serving cell. In addition,</w:t>
      </w:r>
      <w:r>
        <w:rPr>
          <w:rFonts w:eastAsia="新細明體"/>
          <w:lang w:val="en-GB"/>
        </w:rPr>
        <w:t xml:space="preserve"> </w:t>
      </w:r>
      <w:r w:rsidR="00AE3ACF">
        <w:rPr>
          <w:rFonts w:eastAsia="新細明體"/>
          <w:lang w:val="en-GB"/>
        </w:rPr>
        <w:t xml:space="preserve">to our understanding, </w:t>
      </w:r>
      <w:r>
        <w:rPr>
          <w:rFonts w:eastAsia="新細明體"/>
          <w:lang w:val="en-GB"/>
        </w:rPr>
        <w:t>the extra measurement sample</w:t>
      </w:r>
      <w:r w:rsidR="00AE3ACF">
        <w:rPr>
          <w:rFonts w:eastAsia="新細明體"/>
          <w:lang w:val="en-GB"/>
        </w:rPr>
        <w:t>s</w:t>
      </w:r>
      <w:r>
        <w:rPr>
          <w:rFonts w:eastAsia="新細明體"/>
          <w:lang w:val="en-GB"/>
        </w:rPr>
        <w:t xml:space="preserve"> </w:t>
      </w:r>
      <w:r w:rsidR="00AE3ACF">
        <w:rPr>
          <w:rFonts w:eastAsia="新細明體"/>
          <w:lang w:val="en-GB"/>
        </w:rPr>
        <w:t>for</w:t>
      </w:r>
      <w:r>
        <w:rPr>
          <w:rFonts w:eastAsia="新細明體"/>
          <w:lang w:val="en-GB"/>
        </w:rPr>
        <w:t xml:space="preserve"> time/frequency synchronization and AGC tunning </w:t>
      </w:r>
      <w:r w:rsidR="00AE3ACF">
        <w:rPr>
          <w:rFonts w:eastAsia="新細明體"/>
          <w:lang w:val="en-GB"/>
        </w:rPr>
        <w:t xml:space="preserve">are not needed </w:t>
      </w:r>
      <w:r w:rsidR="00021142">
        <w:rPr>
          <w:rFonts w:eastAsia="新細明體"/>
          <w:lang w:val="en-GB"/>
        </w:rPr>
        <w:t xml:space="preserve">if </w:t>
      </w:r>
      <w:r w:rsidR="00AE3ACF">
        <w:rPr>
          <w:rFonts w:eastAsia="新細明體"/>
          <w:lang w:val="en-GB"/>
        </w:rPr>
        <w:t xml:space="preserve">the non-serving cell is known and </w:t>
      </w:r>
      <w:r w:rsidR="00021142">
        <w:rPr>
          <w:rFonts w:eastAsia="新細明體"/>
          <w:lang w:val="en-GB"/>
        </w:rPr>
        <w:t>on the same frequency as the serving cell</w:t>
      </w:r>
      <w:r>
        <w:rPr>
          <w:rFonts w:eastAsia="新細明體"/>
          <w:lang w:val="en-GB"/>
        </w:rPr>
        <w:t xml:space="preserve">. Thus, </w:t>
      </w:r>
      <w:r w:rsidR="00AE3ACF">
        <w:rPr>
          <w:rFonts w:eastAsia="新細明體"/>
          <w:lang w:val="en-GB"/>
        </w:rPr>
        <w:t xml:space="preserve">based on the above analysis, </w:t>
      </w:r>
      <w:r>
        <w:rPr>
          <w:rFonts w:eastAsia="新細明體"/>
          <w:lang w:val="en-GB"/>
        </w:rPr>
        <w:t xml:space="preserve">the existing R15/R16 delay requirement of L1-RSRP measurement can be reused for </w:t>
      </w:r>
      <w:r w:rsidR="00021142">
        <w:rPr>
          <w:rFonts w:eastAsia="新細明體"/>
          <w:lang w:val="en-GB"/>
        </w:rPr>
        <w:t xml:space="preserve">a </w:t>
      </w:r>
      <w:r>
        <w:rPr>
          <w:rFonts w:eastAsia="新細明體"/>
          <w:lang w:val="en-GB"/>
        </w:rPr>
        <w:t xml:space="preserve">known non-serving cell. </w:t>
      </w:r>
    </w:p>
    <w:p w14:paraId="13142721" w14:textId="688BB2D2" w:rsidR="00CC59DB" w:rsidRDefault="00CC59DB" w:rsidP="00D20426">
      <w:pPr>
        <w:rPr>
          <w:rFonts w:eastAsia="新細明體"/>
          <w:lang w:val="en-GB"/>
        </w:rPr>
      </w:pPr>
    </w:p>
    <w:p w14:paraId="191F0533" w14:textId="3CF6623B" w:rsidR="00AE3ACF" w:rsidRDefault="00AE3ACF" w:rsidP="00AE3ACF">
      <w:pPr>
        <w:pStyle w:val="af1"/>
        <w:jc w:val="both"/>
        <w:rPr>
          <w:sz w:val="24"/>
          <w:szCs w:val="24"/>
        </w:rPr>
      </w:pPr>
      <w:bookmarkStart w:id="12" w:name="_Ref92303502"/>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5</w:t>
      </w:r>
      <w:r w:rsidRPr="004E530C">
        <w:rPr>
          <w:noProof/>
          <w:sz w:val="24"/>
          <w:szCs w:val="24"/>
        </w:rPr>
        <w:fldChar w:fldCharType="end"/>
      </w:r>
      <w:r w:rsidRPr="004E530C">
        <w:rPr>
          <w:sz w:val="24"/>
          <w:szCs w:val="24"/>
        </w:rPr>
        <w:t>:</w:t>
      </w:r>
      <w:r w:rsidRPr="002B0F95">
        <w:t xml:space="preserve"> </w:t>
      </w:r>
      <w:r>
        <w:rPr>
          <w:sz w:val="24"/>
          <w:szCs w:val="24"/>
        </w:rPr>
        <w:t>For the known non-serving cell, the existing R15/R16 delay requirement of the L1-RSRP measurement can be reused</w:t>
      </w:r>
      <w:r w:rsidRPr="002B0F95">
        <w:rPr>
          <w:sz w:val="24"/>
          <w:szCs w:val="24"/>
        </w:rPr>
        <w:t>.</w:t>
      </w:r>
      <w:bookmarkEnd w:id="12"/>
    </w:p>
    <w:p w14:paraId="5175DE12" w14:textId="77777777" w:rsidR="00AE3ACF" w:rsidRPr="00AE3ACF" w:rsidRDefault="00AE3ACF" w:rsidP="00AE3ACF">
      <w:pPr>
        <w:rPr>
          <w:rFonts w:eastAsia="新細明體"/>
        </w:rPr>
      </w:pPr>
    </w:p>
    <w:p w14:paraId="0F64592D" w14:textId="49BCC498" w:rsidR="003356B4" w:rsidRPr="001354F1" w:rsidRDefault="003356B4" w:rsidP="003356B4">
      <w:pPr>
        <w:pStyle w:val="2"/>
        <w:rPr>
          <w:rFonts w:asciiTheme="minorHAnsi" w:hAnsiTheme="minorHAnsi" w:cstheme="minorHAnsi"/>
          <w:szCs w:val="32"/>
        </w:rPr>
      </w:pPr>
      <w:r w:rsidRPr="001354F1">
        <w:rPr>
          <w:rFonts w:asciiTheme="minorHAnsi" w:hAnsiTheme="minorHAnsi" w:cstheme="minorHAnsi"/>
          <w:szCs w:val="32"/>
        </w:rPr>
        <w:t>2.</w:t>
      </w:r>
      <w:r w:rsidR="00CC59DB">
        <w:rPr>
          <w:rFonts w:asciiTheme="minorHAnsi" w:hAnsiTheme="minorHAnsi" w:cstheme="minorHAnsi"/>
          <w:szCs w:val="32"/>
        </w:rPr>
        <w:t>4</w:t>
      </w:r>
      <w:r w:rsidRPr="001354F1">
        <w:rPr>
          <w:rFonts w:asciiTheme="minorHAnsi" w:hAnsiTheme="minorHAnsi" w:cstheme="minorHAnsi"/>
          <w:szCs w:val="32"/>
        </w:rPr>
        <w:t xml:space="preserve"> </w:t>
      </w:r>
      <w:r w:rsidRPr="003356B4">
        <w:rPr>
          <w:rFonts w:asciiTheme="minorHAnsi" w:hAnsiTheme="minorHAnsi" w:cstheme="minorHAnsi"/>
          <w:szCs w:val="32"/>
        </w:rPr>
        <w:t>Timing offset assumption</w:t>
      </w:r>
      <w:r w:rsidR="00D235C4">
        <w:rPr>
          <w:rFonts w:asciiTheme="minorHAnsi" w:hAnsiTheme="minorHAnsi" w:cstheme="minorHAnsi"/>
          <w:szCs w:val="32"/>
        </w:rPr>
        <w:t xml:space="preserve"> and FFT implementation</w:t>
      </w:r>
    </w:p>
    <w:p w14:paraId="374506F6" w14:textId="77777777" w:rsidR="003356B4" w:rsidRPr="004E530C" w:rsidRDefault="003356B4" w:rsidP="003356B4">
      <w:pPr>
        <w:jc w:val="both"/>
        <w:rPr>
          <w:rFonts w:eastAsia="新細明體"/>
          <w:szCs w:val="24"/>
          <w:lang w:val="en-GB"/>
        </w:rPr>
      </w:pPr>
      <w:r w:rsidRPr="004E530C">
        <w:rPr>
          <w:rFonts w:eastAsia="新細明體" w:hint="eastAsia"/>
          <w:szCs w:val="24"/>
          <w:lang w:val="en-GB"/>
        </w:rPr>
        <w:t>F</w:t>
      </w:r>
      <w:r w:rsidRPr="004E530C">
        <w:rPr>
          <w:rFonts w:eastAsia="新細明體"/>
          <w:szCs w:val="24"/>
          <w:lang w:val="en-GB"/>
        </w:rPr>
        <w:t xml:space="preserve">or the timing </w:t>
      </w:r>
      <w:r>
        <w:rPr>
          <w:rFonts w:eastAsia="新細明體"/>
          <w:szCs w:val="24"/>
          <w:lang w:val="en-GB"/>
        </w:rPr>
        <w:t>offset between serving and non-serving cells</w:t>
      </w:r>
      <w:r w:rsidRPr="004E530C">
        <w:rPr>
          <w:rFonts w:eastAsia="新細明體"/>
          <w:szCs w:val="24"/>
          <w:lang w:val="en-GB"/>
        </w:rPr>
        <w:t>, two options can be further discussed.</w:t>
      </w:r>
    </w:p>
    <w:p w14:paraId="6E28C9DB" w14:textId="77777777" w:rsidR="003356B4" w:rsidRPr="004E530C" w:rsidRDefault="003356B4" w:rsidP="003356B4">
      <w:pPr>
        <w:pStyle w:val="af5"/>
        <w:numPr>
          <w:ilvl w:val="0"/>
          <w:numId w:val="46"/>
        </w:numPr>
        <w:jc w:val="both"/>
        <w:rPr>
          <w:rFonts w:eastAsia="新細明體"/>
          <w:szCs w:val="24"/>
          <w:lang w:val="en-GB"/>
        </w:rPr>
      </w:pPr>
      <w:r w:rsidRPr="004E530C">
        <w:rPr>
          <w:rFonts w:eastAsia="新細明體"/>
          <w:szCs w:val="24"/>
          <w:lang w:val="en-GB"/>
        </w:rPr>
        <w:t xml:space="preserve">Larger than one CP: </w:t>
      </w:r>
    </w:p>
    <w:p w14:paraId="2DD4C322" w14:textId="77777777" w:rsidR="003356B4" w:rsidRPr="004E530C" w:rsidRDefault="003356B4" w:rsidP="003356B4">
      <w:pPr>
        <w:ind w:leftChars="300" w:left="720"/>
        <w:jc w:val="both"/>
        <w:rPr>
          <w:rFonts w:eastAsia="新細明體"/>
          <w:szCs w:val="24"/>
          <w:lang w:val="en-GB"/>
        </w:rPr>
      </w:pPr>
      <w:r>
        <w:rPr>
          <w:rFonts w:eastAsia="新細明體"/>
          <w:szCs w:val="24"/>
          <w:lang w:val="en-GB"/>
        </w:rPr>
        <w:t>At least 2</w:t>
      </w:r>
      <w:r w:rsidRPr="004E530C">
        <w:rPr>
          <w:rFonts w:eastAsia="新細明體"/>
          <w:szCs w:val="24"/>
          <w:lang w:val="en-GB"/>
        </w:rPr>
        <w:t xml:space="preserve"> FFTs are needed for UE to </w:t>
      </w:r>
      <w:r>
        <w:rPr>
          <w:rFonts w:eastAsia="新細明體"/>
          <w:szCs w:val="24"/>
          <w:lang w:val="en-GB"/>
        </w:rPr>
        <w:t>receive</w:t>
      </w:r>
      <w:r w:rsidRPr="004E530C">
        <w:rPr>
          <w:rFonts w:eastAsia="新細明體"/>
          <w:szCs w:val="24"/>
          <w:lang w:val="en-GB"/>
        </w:rPr>
        <w:t xml:space="preserve"> the signals from serving cell and non-serving cell</w:t>
      </w:r>
      <w:r>
        <w:rPr>
          <w:rFonts w:eastAsia="新細明體"/>
          <w:szCs w:val="24"/>
          <w:lang w:val="en-GB"/>
        </w:rPr>
        <w:t>(s)</w:t>
      </w:r>
      <w:r w:rsidRPr="004E530C">
        <w:rPr>
          <w:rFonts w:eastAsia="新細明體"/>
          <w:szCs w:val="24"/>
          <w:lang w:val="en-GB"/>
        </w:rPr>
        <w:t>. It will increase the complexity and cost in UE.</w:t>
      </w:r>
    </w:p>
    <w:p w14:paraId="564EAA78" w14:textId="77777777" w:rsidR="003356B4" w:rsidRPr="004E530C" w:rsidRDefault="003356B4" w:rsidP="003356B4">
      <w:pPr>
        <w:ind w:leftChars="300" w:left="720"/>
        <w:jc w:val="both"/>
        <w:rPr>
          <w:rFonts w:eastAsia="新細明體"/>
          <w:szCs w:val="24"/>
          <w:lang w:val="en-GB"/>
        </w:rPr>
      </w:pPr>
    </w:p>
    <w:p w14:paraId="22EEA380" w14:textId="77777777" w:rsidR="003356B4" w:rsidRPr="004E530C" w:rsidRDefault="003356B4" w:rsidP="003356B4">
      <w:pPr>
        <w:pStyle w:val="af5"/>
        <w:numPr>
          <w:ilvl w:val="0"/>
          <w:numId w:val="46"/>
        </w:numPr>
        <w:jc w:val="both"/>
        <w:rPr>
          <w:rFonts w:eastAsia="新細明體"/>
          <w:szCs w:val="24"/>
          <w:lang w:val="en-GB"/>
        </w:rPr>
      </w:pPr>
      <w:r w:rsidRPr="004E530C">
        <w:rPr>
          <w:rFonts w:eastAsia="新細明體"/>
          <w:szCs w:val="24"/>
          <w:lang w:val="en-GB"/>
        </w:rPr>
        <w:t>Within one CP</w:t>
      </w:r>
      <w:r w:rsidRPr="004E530C">
        <w:rPr>
          <w:rFonts w:eastAsia="新細明體"/>
          <w:szCs w:val="24"/>
          <w:lang w:val="en-GB" w:eastAsia="zh-TW"/>
        </w:rPr>
        <w:t>:</w:t>
      </w:r>
    </w:p>
    <w:p w14:paraId="38031A2D" w14:textId="77777777" w:rsidR="003356B4" w:rsidRPr="004E530C" w:rsidRDefault="003356B4" w:rsidP="003356B4">
      <w:pPr>
        <w:ind w:leftChars="300" w:left="720"/>
        <w:jc w:val="both"/>
        <w:rPr>
          <w:rFonts w:eastAsia="新細明體"/>
          <w:szCs w:val="24"/>
          <w:lang w:val="en-GB"/>
        </w:rPr>
      </w:pPr>
      <w:r w:rsidRPr="004E530C">
        <w:rPr>
          <w:rFonts w:eastAsia="新細明體"/>
          <w:szCs w:val="24"/>
          <w:lang w:val="en-GB"/>
        </w:rPr>
        <w:t xml:space="preserve">One FFT is applied for the serving cell and non-serving cell. It is allowed UE to </w:t>
      </w:r>
      <w:r>
        <w:rPr>
          <w:rFonts w:eastAsia="新細明體"/>
          <w:szCs w:val="24"/>
          <w:lang w:val="en-GB"/>
        </w:rPr>
        <w:t>reduce the cost but may lead to some performance degradation</w:t>
      </w:r>
      <w:r w:rsidRPr="004E530C">
        <w:rPr>
          <w:rFonts w:eastAsia="新細明體"/>
          <w:szCs w:val="24"/>
          <w:lang w:val="en-GB"/>
        </w:rPr>
        <w:t>.</w:t>
      </w:r>
    </w:p>
    <w:p w14:paraId="7B55A10B" w14:textId="5C930BBA" w:rsidR="003356B4" w:rsidRDefault="003356B4" w:rsidP="00D20426">
      <w:pPr>
        <w:rPr>
          <w:rFonts w:eastAsia="新細明體"/>
          <w:lang w:val="en-GB"/>
        </w:rPr>
      </w:pPr>
    </w:p>
    <w:p w14:paraId="113A7E5F" w14:textId="568733EB" w:rsidR="00D235C4" w:rsidRDefault="003356B4" w:rsidP="00AF1BF0">
      <w:pPr>
        <w:jc w:val="both"/>
        <w:rPr>
          <w:rFonts w:eastAsia="新細明體"/>
          <w:szCs w:val="24"/>
          <w:lang w:val="en-GB"/>
        </w:rPr>
      </w:pPr>
      <w:r>
        <w:rPr>
          <w:rFonts w:eastAsia="新細明體" w:hint="eastAsia"/>
          <w:lang w:val="en-GB"/>
        </w:rPr>
        <w:t>B</w:t>
      </w:r>
      <w:r>
        <w:rPr>
          <w:rFonts w:eastAsia="新細明體"/>
          <w:lang w:val="en-GB"/>
        </w:rPr>
        <w:t>esides, in</w:t>
      </w:r>
      <w:r w:rsidR="00A20757">
        <w:rPr>
          <w:rFonts w:eastAsia="新細明體"/>
          <w:lang w:val="en-GB"/>
        </w:rPr>
        <w:t xml:space="preserve"> the</w:t>
      </w:r>
      <w:r>
        <w:rPr>
          <w:rFonts w:eastAsia="新細明體"/>
          <w:lang w:val="en-GB"/>
        </w:rPr>
        <w:t xml:space="preserve"> last meeting, some companies think that, in FR1, UE should be able to perform the L1 and L3 measurement simultaneously between the non-serving cell and serving cell without the assumption of “within one CP”. </w:t>
      </w:r>
      <w:r w:rsidR="00AF1BF0">
        <w:rPr>
          <w:rFonts w:eastAsia="新細明體"/>
          <w:lang w:val="en-GB"/>
        </w:rPr>
        <w:t xml:space="preserve">In that case, as we mentioned above, two L1 FFTs are needed and it will lead to high complexity and cost in UE. </w:t>
      </w:r>
      <w:r w:rsidR="00AF1BF0" w:rsidRPr="00A20757">
        <w:rPr>
          <w:rFonts w:eastAsia="新細明體"/>
          <w:lang w:val="en-GB"/>
        </w:rPr>
        <w:t xml:space="preserve">Alternatively, UE </w:t>
      </w:r>
      <w:r w:rsidR="00A20757" w:rsidRPr="00902CA7">
        <w:rPr>
          <w:rFonts w:eastAsia="新細明體"/>
          <w:lang w:val="en-GB"/>
        </w:rPr>
        <w:t>may</w:t>
      </w:r>
      <w:r w:rsidR="00A20757" w:rsidRPr="00A20757">
        <w:rPr>
          <w:rFonts w:eastAsia="新細明體"/>
          <w:lang w:val="en-GB"/>
        </w:rPr>
        <w:t xml:space="preserve"> </w:t>
      </w:r>
      <w:r w:rsidR="00AF1BF0" w:rsidRPr="00A20757">
        <w:rPr>
          <w:rFonts w:eastAsia="新細明體"/>
          <w:lang w:val="en-GB"/>
        </w:rPr>
        <w:t xml:space="preserve">use </w:t>
      </w:r>
      <w:r w:rsidR="00A20757" w:rsidRPr="00902CA7">
        <w:rPr>
          <w:rFonts w:eastAsia="新細明體"/>
          <w:lang w:val="en-GB"/>
        </w:rPr>
        <w:t>a single</w:t>
      </w:r>
      <w:r w:rsidR="00AF1BF0" w:rsidRPr="00A20757">
        <w:rPr>
          <w:rFonts w:eastAsia="新細明體"/>
          <w:lang w:val="en-GB"/>
        </w:rPr>
        <w:t xml:space="preserve"> FFT to measure both L1 and L3 measurement </w:t>
      </w:r>
      <w:r w:rsidR="00A20757" w:rsidRPr="00902CA7">
        <w:rPr>
          <w:rFonts w:eastAsia="新細明體"/>
          <w:lang w:val="en-GB"/>
        </w:rPr>
        <w:t>with</w:t>
      </w:r>
      <w:r w:rsidR="00AF1BF0" w:rsidRPr="00A20757">
        <w:rPr>
          <w:rFonts w:eastAsia="新細明體"/>
          <w:lang w:val="en-GB"/>
        </w:rPr>
        <w:t xml:space="preserve"> the assumption of “within one CP”</w:t>
      </w:r>
      <w:r w:rsidR="00A20757">
        <w:rPr>
          <w:rFonts w:eastAsia="新細明體"/>
          <w:lang w:val="en-GB"/>
        </w:rPr>
        <w:t>, b</w:t>
      </w:r>
      <w:r w:rsidR="00AF1BF0">
        <w:rPr>
          <w:rFonts w:eastAsia="新細明體"/>
          <w:lang w:val="en-GB"/>
        </w:rPr>
        <w:t>ut</w:t>
      </w:r>
      <w:r w:rsidR="00A20757">
        <w:rPr>
          <w:rFonts w:eastAsia="新細明體"/>
          <w:lang w:val="en-GB"/>
        </w:rPr>
        <w:t xml:space="preserve"> </w:t>
      </w:r>
      <w:r w:rsidR="00AF1BF0">
        <w:rPr>
          <w:rFonts w:eastAsia="新細明體"/>
          <w:lang w:val="en-GB"/>
        </w:rPr>
        <w:t>it will cause performance degradation on</w:t>
      </w:r>
      <w:r w:rsidR="00A20757">
        <w:rPr>
          <w:rFonts w:eastAsia="新細明體"/>
          <w:lang w:val="en-GB"/>
        </w:rPr>
        <w:t xml:space="preserve"> the</w:t>
      </w:r>
      <w:r w:rsidR="00AF1BF0">
        <w:rPr>
          <w:rFonts w:eastAsia="新細明體"/>
          <w:lang w:val="en-GB"/>
        </w:rPr>
        <w:t xml:space="preserve"> </w:t>
      </w:r>
      <w:r w:rsidR="00F3183A">
        <w:rPr>
          <w:rFonts w:eastAsia="新細明體"/>
          <w:lang w:val="en-GB"/>
        </w:rPr>
        <w:t xml:space="preserve">serving cell or </w:t>
      </w:r>
      <w:r w:rsidR="00AF1BF0">
        <w:rPr>
          <w:rFonts w:eastAsia="新細明體"/>
          <w:lang w:val="en-GB"/>
        </w:rPr>
        <w:t xml:space="preserve">non-serving cell. Thus, to avoid high complexity and performance degradation, </w:t>
      </w:r>
      <w:r w:rsidR="00AF1BF0">
        <w:rPr>
          <w:rFonts w:eastAsia="新細明體"/>
          <w:szCs w:val="24"/>
          <w:lang w:val="en-GB"/>
        </w:rPr>
        <w:t xml:space="preserve">we </w:t>
      </w:r>
      <w:r w:rsidR="00AF1BF0" w:rsidRPr="004E530C">
        <w:rPr>
          <w:rFonts w:eastAsia="新細明體"/>
          <w:szCs w:val="24"/>
          <w:lang w:val="en-GB"/>
        </w:rPr>
        <w:t xml:space="preserve">suggest RAN4 to define the requirement </w:t>
      </w:r>
      <w:r w:rsidR="00AF1BF0">
        <w:rPr>
          <w:rFonts w:eastAsia="新細明體"/>
          <w:szCs w:val="24"/>
          <w:lang w:val="en-GB"/>
        </w:rPr>
        <w:t xml:space="preserve">with </w:t>
      </w:r>
      <w:r w:rsidR="00A20757">
        <w:rPr>
          <w:rFonts w:eastAsia="新細明體"/>
          <w:szCs w:val="24"/>
          <w:lang w:val="en-GB"/>
        </w:rPr>
        <w:t xml:space="preserve">the condition of the </w:t>
      </w:r>
      <w:r w:rsidR="00AF1BF0" w:rsidRPr="004E530C">
        <w:rPr>
          <w:rFonts w:eastAsia="新細明體"/>
          <w:szCs w:val="24"/>
          <w:lang w:val="en-GB"/>
        </w:rPr>
        <w:t xml:space="preserve">timing </w:t>
      </w:r>
      <w:r w:rsidR="00AF1BF0">
        <w:rPr>
          <w:rFonts w:eastAsia="新細明體"/>
          <w:szCs w:val="24"/>
          <w:lang w:val="en-GB"/>
        </w:rPr>
        <w:t xml:space="preserve">offset </w:t>
      </w:r>
      <w:r w:rsidR="00A20757">
        <w:rPr>
          <w:rFonts w:eastAsia="新細明體"/>
          <w:szCs w:val="24"/>
          <w:lang w:val="en-GB"/>
        </w:rPr>
        <w:t xml:space="preserve">is </w:t>
      </w:r>
      <w:r w:rsidR="00AF1BF0" w:rsidRPr="004E530C">
        <w:rPr>
          <w:rFonts w:eastAsia="新細明體"/>
          <w:szCs w:val="24"/>
          <w:lang w:val="en-GB"/>
        </w:rPr>
        <w:t xml:space="preserve">within one CP, i.e., </w:t>
      </w:r>
      <w:r w:rsidR="00AF1BF0" w:rsidRPr="006E4F6B">
        <w:rPr>
          <w:rFonts w:eastAsia="新細明體"/>
          <w:szCs w:val="24"/>
          <w:lang w:val="en-GB"/>
        </w:rPr>
        <w:t xml:space="preserve">UE is not required to </w:t>
      </w:r>
      <w:r w:rsidR="00AF1BF0" w:rsidRPr="00613A35">
        <w:rPr>
          <w:rFonts w:eastAsia="新細明體"/>
          <w:szCs w:val="24"/>
          <w:lang w:val="en-GB"/>
        </w:rPr>
        <w:t>meet the L1-RSRP requirements</w:t>
      </w:r>
      <w:r w:rsidR="00AF1BF0">
        <w:rPr>
          <w:rFonts w:eastAsia="新細明體"/>
          <w:szCs w:val="24"/>
          <w:lang w:val="en-GB"/>
        </w:rPr>
        <w:t>,</w:t>
      </w:r>
      <w:r w:rsidR="00AF1BF0" w:rsidRPr="00613A35">
        <w:rPr>
          <w:rFonts w:eastAsia="新細明體"/>
          <w:szCs w:val="24"/>
          <w:lang w:val="en-GB"/>
        </w:rPr>
        <w:t xml:space="preserve"> </w:t>
      </w:r>
      <w:r w:rsidR="00AF1BF0" w:rsidRPr="004E530C">
        <w:rPr>
          <w:rFonts w:eastAsia="新細明體"/>
          <w:szCs w:val="24"/>
          <w:lang w:val="en-GB"/>
        </w:rPr>
        <w:t>if the signals arrived time difference between serving cell and non-serving cell is larger than one CP.</w:t>
      </w:r>
    </w:p>
    <w:p w14:paraId="33516FB7" w14:textId="77777777" w:rsidR="00D235C4" w:rsidRPr="00D235C4" w:rsidRDefault="00D235C4" w:rsidP="00AF1BF0">
      <w:pPr>
        <w:jc w:val="both"/>
        <w:rPr>
          <w:rFonts w:eastAsia="新細明體"/>
          <w:szCs w:val="24"/>
          <w:lang w:val="en-GB"/>
        </w:rPr>
      </w:pPr>
    </w:p>
    <w:p w14:paraId="1BBAF77D" w14:textId="3954E049" w:rsidR="00AF1BF0" w:rsidRDefault="00AF1BF0" w:rsidP="00AF1BF0">
      <w:pPr>
        <w:pStyle w:val="af1"/>
        <w:jc w:val="both"/>
        <w:rPr>
          <w:sz w:val="24"/>
          <w:szCs w:val="24"/>
        </w:rPr>
      </w:pPr>
      <w:bookmarkStart w:id="13" w:name="_Ref91836898"/>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6</w:t>
      </w:r>
      <w:r w:rsidRPr="004E530C">
        <w:rPr>
          <w:noProof/>
          <w:sz w:val="24"/>
          <w:szCs w:val="24"/>
        </w:rPr>
        <w:fldChar w:fldCharType="end"/>
      </w:r>
      <w:r w:rsidRPr="004E530C">
        <w:rPr>
          <w:sz w:val="24"/>
          <w:szCs w:val="24"/>
        </w:rPr>
        <w:t xml:space="preserve">: </w:t>
      </w:r>
      <w:r w:rsidR="00F7220C" w:rsidRPr="00AF1BF0">
        <w:rPr>
          <w:sz w:val="24"/>
          <w:szCs w:val="24"/>
        </w:rPr>
        <w:t>For inter-cell beam management/multiple TRP,</w:t>
      </w:r>
      <w:r w:rsidR="00F7220C">
        <w:rPr>
          <w:sz w:val="24"/>
          <w:szCs w:val="24"/>
        </w:rPr>
        <w:t xml:space="preserve"> t</w:t>
      </w:r>
      <w:r w:rsidRPr="00AF1BF0">
        <w:rPr>
          <w:sz w:val="24"/>
          <w:szCs w:val="24"/>
        </w:rPr>
        <w:t xml:space="preserve">o define the requirement </w:t>
      </w:r>
      <w:r w:rsidR="00A20757">
        <w:rPr>
          <w:sz w:val="24"/>
          <w:szCs w:val="24"/>
        </w:rPr>
        <w:t>with the condition of</w:t>
      </w:r>
      <w:r w:rsidR="00A20757" w:rsidRPr="00AF1BF0">
        <w:rPr>
          <w:sz w:val="24"/>
          <w:szCs w:val="24"/>
        </w:rPr>
        <w:t xml:space="preserve"> </w:t>
      </w:r>
      <w:r w:rsidRPr="00AF1BF0">
        <w:rPr>
          <w:sz w:val="24"/>
          <w:szCs w:val="24"/>
        </w:rPr>
        <w:t xml:space="preserve">the timing offset between serving cell and non-serving cell </w:t>
      </w:r>
      <w:r w:rsidR="00A20757">
        <w:rPr>
          <w:sz w:val="24"/>
          <w:szCs w:val="24"/>
        </w:rPr>
        <w:t xml:space="preserve">is </w:t>
      </w:r>
      <w:r w:rsidRPr="00AF1BF0">
        <w:rPr>
          <w:sz w:val="24"/>
          <w:szCs w:val="24"/>
        </w:rPr>
        <w:t>within one CP.</w:t>
      </w:r>
      <w:bookmarkEnd w:id="13"/>
    </w:p>
    <w:p w14:paraId="21D726B5" w14:textId="55F4B336" w:rsidR="00AF1BF0" w:rsidRDefault="00AF1BF0" w:rsidP="00AF1BF0">
      <w:pPr>
        <w:rPr>
          <w:rFonts w:eastAsia="新細明體"/>
        </w:rPr>
      </w:pPr>
    </w:p>
    <w:p w14:paraId="6116AA6A" w14:textId="2DE112F5" w:rsidR="00AF1BF0" w:rsidRDefault="00AF1BF0" w:rsidP="00AF1BF0">
      <w:pPr>
        <w:pStyle w:val="af1"/>
        <w:jc w:val="both"/>
        <w:rPr>
          <w:sz w:val="24"/>
          <w:szCs w:val="24"/>
        </w:rPr>
      </w:pPr>
      <w:bookmarkStart w:id="14" w:name="_Ref91836899"/>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7</w:t>
      </w:r>
      <w:r w:rsidRPr="004E530C">
        <w:rPr>
          <w:noProof/>
          <w:sz w:val="24"/>
          <w:szCs w:val="24"/>
        </w:rPr>
        <w:fldChar w:fldCharType="end"/>
      </w:r>
      <w:r w:rsidRPr="004E530C">
        <w:rPr>
          <w:sz w:val="24"/>
          <w:szCs w:val="24"/>
        </w:rPr>
        <w:t xml:space="preserve">: </w:t>
      </w:r>
      <w:r w:rsidRPr="00AF1BF0">
        <w:rPr>
          <w:sz w:val="24"/>
          <w:szCs w:val="24"/>
        </w:rPr>
        <w:t>For inter-cell beam management/multiple TRP, to take one FFT as assumption to define the L1-RSRP measurement requirement.</w:t>
      </w:r>
      <w:bookmarkEnd w:id="14"/>
    </w:p>
    <w:p w14:paraId="278C0712" w14:textId="77777777" w:rsidR="00AF1BF0" w:rsidRPr="00AF1BF0" w:rsidRDefault="00AF1BF0" w:rsidP="00AF1BF0">
      <w:pPr>
        <w:rPr>
          <w:rFonts w:eastAsia="新細明體"/>
        </w:rPr>
      </w:pPr>
    </w:p>
    <w:p w14:paraId="63392709" w14:textId="3D4983B6" w:rsidR="00F7220C" w:rsidRPr="001354F1" w:rsidRDefault="00F7220C" w:rsidP="00F7220C">
      <w:pPr>
        <w:pStyle w:val="2"/>
        <w:rPr>
          <w:rFonts w:asciiTheme="minorHAnsi" w:hAnsiTheme="minorHAnsi" w:cstheme="minorHAnsi"/>
          <w:szCs w:val="32"/>
        </w:rPr>
      </w:pPr>
      <w:r w:rsidRPr="001354F1">
        <w:rPr>
          <w:rFonts w:asciiTheme="minorHAnsi" w:hAnsiTheme="minorHAnsi" w:cstheme="minorHAnsi"/>
          <w:szCs w:val="32"/>
        </w:rPr>
        <w:t>2.</w:t>
      </w:r>
      <w:r w:rsidR="00CC59DB">
        <w:rPr>
          <w:rFonts w:asciiTheme="minorHAnsi" w:hAnsiTheme="minorHAnsi" w:cstheme="minorHAnsi"/>
          <w:szCs w:val="32"/>
        </w:rPr>
        <w:t>5</w:t>
      </w:r>
      <w:r w:rsidRPr="001354F1">
        <w:rPr>
          <w:rFonts w:asciiTheme="minorHAnsi" w:hAnsiTheme="minorHAnsi" w:cstheme="minorHAnsi"/>
          <w:szCs w:val="32"/>
        </w:rPr>
        <w:t xml:space="preserve"> </w:t>
      </w:r>
      <w:r>
        <w:rPr>
          <w:rFonts w:asciiTheme="minorHAnsi" w:hAnsiTheme="minorHAnsi" w:cstheme="minorHAnsi"/>
          <w:szCs w:val="32"/>
        </w:rPr>
        <w:t>Rx beam assumption for L1-RSRP measurement</w:t>
      </w:r>
    </w:p>
    <w:p w14:paraId="463D8EA4" w14:textId="3B23AA33" w:rsidR="003356B4" w:rsidRDefault="00A20757" w:rsidP="00623E1E">
      <w:pPr>
        <w:jc w:val="both"/>
        <w:rPr>
          <w:rFonts w:eastAsia="新細明體"/>
          <w:lang w:val="en-GB"/>
        </w:rPr>
      </w:pPr>
      <w:r>
        <w:rPr>
          <w:rFonts w:eastAsia="新細明體"/>
          <w:lang w:val="en-GB"/>
        </w:rPr>
        <w:t>The exi</w:t>
      </w:r>
      <w:r w:rsidR="00902CA7">
        <w:rPr>
          <w:rFonts w:eastAsia="新細明體"/>
          <w:lang w:val="en-GB"/>
        </w:rPr>
        <w:t>s</w:t>
      </w:r>
      <w:r>
        <w:rPr>
          <w:rFonts w:eastAsia="新細明體"/>
          <w:lang w:val="en-GB"/>
        </w:rPr>
        <w:t xml:space="preserve">ting </w:t>
      </w:r>
      <w:r w:rsidR="001445C7">
        <w:rPr>
          <w:rFonts w:eastAsia="新細明體"/>
          <w:lang w:val="en-GB"/>
        </w:rPr>
        <w:t>Rx beam type assumption</w:t>
      </w:r>
      <w:r>
        <w:rPr>
          <w:rFonts w:eastAsia="新細明體"/>
          <w:lang w:val="en-GB"/>
        </w:rPr>
        <w:t xml:space="preserve"> should be applied to both the non-serving cells and serving cells, i.e.</w:t>
      </w:r>
      <w:r w:rsidR="001445C7">
        <w:rPr>
          <w:rFonts w:eastAsia="新細明體"/>
          <w:lang w:val="en-GB"/>
        </w:rPr>
        <w:t xml:space="preserve"> fine </w:t>
      </w:r>
      <w:r>
        <w:rPr>
          <w:rFonts w:eastAsia="新細明體"/>
          <w:lang w:val="en-GB"/>
        </w:rPr>
        <w:t xml:space="preserve">RX </w:t>
      </w:r>
      <w:r w:rsidR="001445C7">
        <w:rPr>
          <w:rFonts w:eastAsia="新細明體"/>
          <w:lang w:val="en-GB"/>
        </w:rPr>
        <w:t>beam</w:t>
      </w:r>
      <w:r>
        <w:rPr>
          <w:rFonts w:eastAsia="新細明體"/>
          <w:lang w:val="en-GB"/>
        </w:rPr>
        <w:t xml:space="preserve"> is assumed for L1</w:t>
      </w:r>
      <w:r w:rsidR="001445C7">
        <w:rPr>
          <w:rFonts w:eastAsia="新細明體"/>
          <w:lang w:val="en-GB"/>
        </w:rPr>
        <w:t xml:space="preserve"> and rough </w:t>
      </w:r>
      <w:r>
        <w:rPr>
          <w:rFonts w:eastAsia="新細明體"/>
          <w:lang w:val="en-GB"/>
        </w:rPr>
        <w:t xml:space="preserve">RX </w:t>
      </w:r>
      <w:r w:rsidR="001445C7">
        <w:rPr>
          <w:rFonts w:eastAsia="新細明體"/>
          <w:lang w:val="en-GB"/>
        </w:rPr>
        <w:t>beam</w:t>
      </w:r>
      <w:r>
        <w:rPr>
          <w:rFonts w:eastAsia="新細明體"/>
          <w:lang w:val="en-GB"/>
        </w:rPr>
        <w:t xml:space="preserve"> is assumed for L3</w:t>
      </w:r>
      <w:r w:rsidR="001445C7">
        <w:rPr>
          <w:rFonts w:eastAsia="新細明體"/>
          <w:lang w:val="en-GB"/>
        </w:rPr>
        <w:t>.</w:t>
      </w:r>
    </w:p>
    <w:p w14:paraId="6080D1C7" w14:textId="48FCAE69" w:rsidR="00623E1E" w:rsidRDefault="00623E1E" w:rsidP="00623E1E">
      <w:pPr>
        <w:jc w:val="both"/>
        <w:rPr>
          <w:rFonts w:eastAsia="新細明體"/>
          <w:lang w:val="en-GB"/>
        </w:rPr>
      </w:pPr>
    </w:p>
    <w:p w14:paraId="17D8EE41" w14:textId="2E02ED9A" w:rsidR="00623E1E" w:rsidRDefault="00623E1E" w:rsidP="00623E1E">
      <w:pPr>
        <w:pStyle w:val="af1"/>
        <w:jc w:val="both"/>
        <w:rPr>
          <w:sz w:val="24"/>
          <w:szCs w:val="24"/>
        </w:rPr>
      </w:pPr>
      <w:bookmarkStart w:id="15" w:name="_Ref91836901"/>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401A49">
        <w:rPr>
          <w:noProof/>
          <w:sz w:val="24"/>
          <w:szCs w:val="24"/>
        </w:rPr>
        <w:t>8</w:t>
      </w:r>
      <w:r w:rsidRPr="004E530C">
        <w:rPr>
          <w:noProof/>
          <w:sz w:val="24"/>
          <w:szCs w:val="24"/>
        </w:rPr>
        <w:fldChar w:fldCharType="end"/>
      </w:r>
      <w:r w:rsidRPr="004E530C">
        <w:rPr>
          <w:sz w:val="24"/>
          <w:szCs w:val="24"/>
        </w:rPr>
        <w:t xml:space="preserve">: </w:t>
      </w:r>
      <w:r w:rsidRPr="00AF1BF0">
        <w:rPr>
          <w:sz w:val="24"/>
          <w:szCs w:val="24"/>
        </w:rPr>
        <w:t xml:space="preserve">For inter-cell beam management/multiple TRP, </w:t>
      </w:r>
      <w:r w:rsidR="00E85D57">
        <w:rPr>
          <w:sz w:val="24"/>
          <w:szCs w:val="24"/>
        </w:rPr>
        <w:t xml:space="preserve">UE Rx beam assumptions for L1 and L3 measurement are same as </w:t>
      </w:r>
      <w:r w:rsidR="002B0F95">
        <w:rPr>
          <w:sz w:val="24"/>
          <w:szCs w:val="24"/>
        </w:rPr>
        <w:t>legacy</w:t>
      </w:r>
      <w:r w:rsidR="00E85D57">
        <w:rPr>
          <w:sz w:val="24"/>
          <w:szCs w:val="24"/>
        </w:rPr>
        <w:t>, i.e., fine beam and rough beam will be applied for L1 and L3 measurement, respectively.</w:t>
      </w:r>
      <w:bookmarkEnd w:id="15"/>
    </w:p>
    <w:p w14:paraId="323DF89A" w14:textId="77777777" w:rsidR="00CC59DB" w:rsidRPr="00B76330" w:rsidRDefault="00CC59DB"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CE86D6D" w:rsidR="00264B9B" w:rsidRP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Pr>
          <w:rFonts w:cstheme="minorHAnsi"/>
          <w:szCs w:val="24"/>
        </w:rPr>
        <w:t>inter cell beam management</w:t>
      </w:r>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15376A85" w14:textId="6F244B9B"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_Ref91836896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1</w:t>
      </w:r>
      <w:r w:rsidR="00401A49" w:rsidRPr="00401A49">
        <w:rPr>
          <w:b/>
          <w:szCs w:val="24"/>
        </w:rPr>
        <w:t>: UE is not required to perform the L1-RSRP measurement on the unknown non-serving cell.</w:t>
      </w:r>
      <w:r w:rsidRPr="00AE3ACF">
        <w:rPr>
          <w:rFonts w:eastAsia="新細明體" w:cstheme="minorHAnsi"/>
          <w:b/>
          <w:szCs w:val="24"/>
        </w:rPr>
        <w:fldChar w:fldCharType="end"/>
      </w:r>
    </w:p>
    <w:p w14:paraId="78F46EC8" w14:textId="399A6B3D"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_Ref91836902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2</w:t>
      </w:r>
      <w:r w:rsidR="00401A49" w:rsidRPr="00401A49">
        <w:rPr>
          <w:b/>
          <w:szCs w:val="24"/>
        </w:rPr>
        <w:t>: For the measurement behaviour for non-serving cell in FR1, L1 measurements for non-serving cell can be performed within or outside SMTC.</w:t>
      </w:r>
      <w:r w:rsidRPr="00AE3ACF">
        <w:rPr>
          <w:rFonts w:eastAsia="新細明體" w:cstheme="minorHAnsi"/>
          <w:b/>
          <w:szCs w:val="24"/>
        </w:rPr>
        <w:fldChar w:fldCharType="end"/>
      </w:r>
    </w:p>
    <w:p w14:paraId="582AB192" w14:textId="5F00BA0F"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_Ref91836903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3</w:t>
      </w:r>
      <w:r w:rsidR="00401A49" w:rsidRPr="00401A49">
        <w:rPr>
          <w:b/>
          <w:szCs w:val="24"/>
        </w:rPr>
        <w:t>:</w:t>
      </w:r>
      <w:r w:rsidR="00401A49" w:rsidRPr="00401A49">
        <w:rPr>
          <w:b/>
        </w:rPr>
        <w:t xml:space="preserve"> </w:t>
      </w:r>
      <w:r w:rsidR="00401A49" w:rsidRPr="00401A49">
        <w:rPr>
          <w:b/>
          <w:szCs w:val="24"/>
        </w:rPr>
        <w:t>For the measurement behaviour for non-serving cell in FR2, L1 measurements for non-serving cell are assumed to be performed outside SMTC.</w:t>
      </w:r>
      <w:r w:rsidRPr="00AE3ACF">
        <w:rPr>
          <w:rFonts w:eastAsia="新細明體" w:cstheme="minorHAnsi"/>
          <w:b/>
          <w:szCs w:val="24"/>
        </w:rPr>
        <w:fldChar w:fldCharType="end"/>
      </w:r>
    </w:p>
    <w:p w14:paraId="6B2439B6" w14:textId="7C6A8591"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_Ref92303500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4</w:t>
      </w:r>
      <w:r w:rsidR="00401A49" w:rsidRPr="00401A49">
        <w:rPr>
          <w:b/>
          <w:szCs w:val="24"/>
        </w:rPr>
        <w:t>:</w:t>
      </w:r>
      <w:r w:rsidR="00401A49" w:rsidRPr="00401A49">
        <w:rPr>
          <w:b/>
        </w:rPr>
        <w:t xml:space="preserve"> </w:t>
      </w:r>
      <w:r w:rsidR="00401A49" w:rsidRPr="00401A49">
        <w:rPr>
          <w:b/>
          <w:szCs w:val="24"/>
        </w:rPr>
        <w:t>For the unknown non-serving cell, no delay requirement of the L1-RSRP measurement will be defined.</w:t>
      </w:r>
      <w:r w:rsidRPr="00AE3ACF">
        <w:rPr>
          <w:rFonts w:eastAsia="新細明體" w:cstheme="minorHAnsi"/>
          <w:b/>
          <w:szCs w:val="24"/>
        </w:rPr>
        <w:fldChar w:fldCharType="end"/>
      </w:r>
    </w:p>
    <w:p w14:paraId="542932A0" w14:textId="30BB35DD"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_Ref92303502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5</w:t>
      </w:r>
      <w:r w:rsidR="00401A49" w:rsidRPr="00401A49">
        <w:rPr>
          <w:b/>
          <w:szCs w:val="24"/>
        </w:rPr>
        <w:t>:</w:t>
      </w:r>
      <w:r w:rsidR="00401A49" w:rsidRPr="00401A49">
        <w:rPr>
          <w:b/>
        </w:rPr>
        <w:t xml:space="preserve"> </w:t>
      </w:r>
      <w:r w:rsidR="00401A49" w:rsidRPr="00401A49">
        <w:rPr>
          <w:b/>
          <w:szCs w:val="24"/>
        </w:rPr>
        <w:t>For the known non-serving cell, the existing R15/R16 delay requirement of the L1-RSRP measurement can be reused.</w:t>
      </w:r>
      <w:r w:rsidRPr="00AE3ACF">
        <w:rPr>
          <w:rFonts w:eastAsia="新細明體" w:cstheme="minorHAnsi"/>
          <w:b/>
          <w:szCs w:val="24"/>
        </w:rPr>
        <w:fldChar w:fldCharType="end"/>
      </w:r>
    </w:p>
    <w:p w14:paraId="3DDB7F3C" w14:textId="428FE3BD"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_Ref91836898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6</w:t>
      </w:r>
      <w:r w:rsidR="00401A49" w:rsidRPr="00401A49">
        <w:rPr>
          <w:b/>
          <w:szCs w:val="24"/>
        </w:rPr>
        <w:t>: For inter-cell beam management/multiple TRP, to define the requirement with the condition of the timing offset between serving cell and non-serving cell is within one CP.</w:t>
      </w:r>
      <w:r w:rsidRPr="00AE3ACF">
        <w:rPr>
          <w:rFonts w:eastAsia="新細明體" w:cstheme="minorHAnsi"/>
          <w:b/>
          <w:szCs w:val="24"/>
        </w:rPr>
        <w:fldChar w:fldCharType="end"/>
      </w:r>
    </w:p>
    <w:p w14:paraId="0FAAAA4B" w14:textId="2252B0C6" w:rsidR="00AE3ACF"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_Ref91836899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7</w:t>
      </w:r>
      <w:r w:rsidR="00401A49" w:rsidRPr="00401A49">
        <w:rPr>
          <w:b/>
          <w:szCs w:val="24"/>
        </w:rPr>
        <w:t>: For inter-cell beam management/multiple TRP, to take one FFT as assumption to define the L1-RSRP measurement requirement.</w:t>
      </w:r>
      <w:r w:rsidRPr="00AE3ACF">
        <w:rPr>
          <w:rFonts w:eastAsia="新細明體" w:cstheme="minorHAnsi"/>
          <w:b/>
          <w:szCs w:val="24"/>
        </w:rPr>
        <w:fldChar w:fldCharType="end"/>
      </w:r>
    </w:p>
    <w:p w14:paraId="40FF569E" w14:textId="13039562" w:rsidR="00A21559" w:rsidRPr="00AE3ACF" w:rsidRDefault="00AE3ACF" w:rsidP="00114532">
      <w:pPr>
        <w:adjustRightInd w:val="0"/>
        <w:snapToGrid w:val="0"/>
        <w:spacing w:before="180" w:after="120"/>
        <w:jc w:val="both"/>
        <w:rPr>
          <w:rFonts w:eastAsia="新細明體" w:cstheme="minorHAnsi"/>
          <w:b/>
          <w:szCs w:val="24"/>
        </w:rPr>
      </w:pPr>
      <w:r w:rsidRPr="00AE3ACF">
        <w:rPr>
          <w:rFonts w:eastAsia="新細明體" w:cstheme="minorHAnsi"/>
          <w:b/>
          <w:szCs w:val="24"/>
        </w:rPr>
        <w:fldChar w:fldCharType="begin"/>
      </w:r>
      <w:r w:rsidRPr="00AE3ACF">
        <w:rPr>
          <w:rFonts w:eastAsia="新細明體" w:cstheme="minorHAnsi"/>
          <w:b/>
          <w:szCs w:val="24"/>
        </w:rPr>
        <w:instrText xml:space="preserve"> REF _Ref91836901 \h  \* MERGEFORMAT </w:instrText>
      </w:r>
      <w:r w:rsidRPr="00AE3ACF">
        <w:rPr>
          <w:rFonts w:eastAsia="新細明體" w:cstheme="minorHAnsi"/>
          <w:b/>
          <w:szCs w:val="24"/>
        </w:rPr>
      </w:r>
      <w:r w:rsidRPr="00AE3ACF">
        <w:rPr>
          <w:rFonts w:eastAsia="新細明體" w:cstheme="minorHAnsi"/>
          <w:b/>
          <w:szCs w:val="24"/>
        </w:rPr>
        <w:fldChar w:fldCharType="separate"/>
      </w:r>
      <w:r w:rsidR="00401A49" w:rsidRPr="00401A49">
        <w:rPr>
          <w:b/>
          <w:szCs w:val="24"/>
        </w:rPr>
        <w:t xml:space="preserve">Proposal </w:t>
      </w:r>
      <w:r w:rsidR="00401A49" w:rsidRPr="00401A49">
        <w:rPr>
          <w:b/>
          <w:noProof/>
          <w:szCs w:val="24"/>
        </w:rPr>
        <w:t>8</w:t>
      </w:r>
      <w:r w:rsidR="00401A49" w:rsidRPr="00401A49">
        <w:rPr>
          <w:b/>
          <w:szCs w:val="24"/>
        </w:rPr>
        <w:t>: For inter-cell beam management/multiple TRP, UE Rx beam assumptions for L1 and L3 measurement are same as legacy, i.e., fine beam and rough beam will be applied for L1 and L3 measurement, respectively.</w:t>
      </w:r>
      <w:r w:rsidRPr="00AE3ACF">
        <w:rPr>
          <w:rFonts w:eastAsia="新細明體" w:cstheme="minorHAnsi"/>
          <w:b/>
          <w:szCs w:val="24"/>
        </w:rPr>
        <w:fldChar w:fldCharType="end"/>
      </w:r>
    </w:p>
    <w:p w14:paraId="3A23F5C3" w14:textId="77777777" w:rsidR="00AE3ACF" w:rsidRPr="003B60D4" w:rsidRDefault="00AE3ACF" w:rsidP="00114532">
      <w:pPr>
        <w:adjustRightInd w:val="0"/>
        <w:snapToGrid w:val="0"/>
        <w:spacing w:before="180" w:after="120"/>
        <w:jc w:val="both"/>
        <w:rPr>
          <w:rFonts w:eastAsia="新細明體" w:cstheme="minorHAnsi"/>
          <w:b/>
          <w:szCs w:val="24"/>
        </w:rPr>
      </w:pPr>
    </w:p>
    <w:sectPr w:rsidR="00AE3ACF" w:rsidRPr="003B60D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196AE" w14:textId="77777777" w:rsidR="0087194D" w:rsidRDefault="0087194D">
      <w:r>
        <w:separator/>
      </w:r>
    </w:p>
  </w:endnote>
  <w:endnote w:type="continuationSeparator" w:id="0">
    <w:p w14:paraId="7F821DC2" w14:textId="77777777" w:rsidR="0087194D" w:rsidRDefault="0087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4786" w14:textId="77777777" w:rsidR="0087194D" w:rsidRDefault="0087194D">
      <w:r>
        <w:separator/>
      </w:r>
    </w:p>
  </w:footnote>
  <w:footnote w:type="continuationSeparator" w:id="0">
    <w:p w14:paraId="328FFE5B" w14:textId="77777777" w:rsidR="0087194D" w:rsidRDefault="00871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C59E2"/>
    <w:multiLevelType w:val="hybridMultilevel"/>
    <w:tmpl w:val="099C22A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D6566C"/>
    <w:multiLevelType w:val="hybridMultilevel"/>
    <w:tmpl w:val="01E89D62"/>
    <w:lvl w:ilvl="0" w:tplc="1E808208">
      <w:start w:val="5"/>
      <w:numFmt w:val="bullet"/>
      <w:lvlText w:val=""/>
      <w:lvlJc w:val="left"/>
      <w:pPr>
        <w:ind w:left="480" w:hanging="480"/>
      </w:pPr>
      <w:rPr>
        <w:rFonts w:ascii="Symbol" w:eastAsia="Batang"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E633BC"/>
    <w:multiLevelType w:val="hybridMultilevel"/>
    <w:tmpl w:val="00E6F19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3974"/>
    <w:multiLevelType w:val="hybridMultilevel"/>
    <w:tmpl w:val="956A79F0"/>
    <w:lvl w:ilvl="0" w:tplc="02222270">
      <w:numFmt w:val="bullet"/>
      <w:lvlText w:val="•"/>
      <w:lvlJc w:val="left"/>
      <w:pPr>
        <w:ind w:left="360" w:hanging="360"/>
      </w:pPr>
      <w:rPr>
        <w:rFonts w:ascii="新細明體" w:eastAsia="新細明體" w:hAnsi="新細明體" w:cstheme="minorBidi" w:hint="eastAsia"/>
        <w:b/>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D358BD"/>
    <w:multiLevelType w:val="hybridMultilevel"/>
    <w:tmpl w:val="40928C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462A6B10"/>
    <w:multiLevelType w:val="hybridMultilevel"/>
    <w:tmpl w:val="3B8E3E12"/>
    <w:lvl w:ilvl="0" w:tplc="04090001">
      <w:start w:val="1"/>
      <w:numFmt w:val="bullet"/>
      <w:lvlText w:val=""/>
      <w:lvlJc w:val="left"/>
      <w:pPr>
        <w:ind w:left="480" w:hanging="480"/>
      </w:pPr>
      <w:rPr>
        <w:rFonts w:ascii="Wingdings" w:hAnsi="Wingdings" w:hint="default"/>
      </w:rPr>
    </w:lvl>
    <w:lvl w:ilvl="1" w:tplc="2FF42842">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3C029CE"/>
    <w:multiLevelType w:val="hybridMultilevel"/>
    <w:tmpl w:val="E08ABA7C"/>
    <w:lvl w:ilvl="0" w:tplc="1E808208">
      <w:start w:val="5"/>
      <w:numFmt w:val="bullet"/>
      <w:lvlText w:val=""/>
      <w:lvlJc w:val="left"/>
      <w:pPr>
        <w:ind w:left="480" w:hanging="480"/>
      </w:pPr>
      <w:rPr>
        <w:rFonts w:ascii="Symbol" w:eastAsia="Batang"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8" w15:restartNumberingAfterBreak="0">
    <w:nsid w:val="5631508F"/>
    <w:multiLevelType w:val="hybridMultilevel"/>
    <w:tmpl w:val="899CBAB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0"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69655B6"/>
    <w:multiLevelType w:val="hybridMultilevel"/>
    <w:tmpl w:val="CF0CB0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7" w15:restartNumberingAfterBreak="0">
    <w:nsid w:val="6EAC0D75"/>
    <w:multiLevelType w:val="hybridMultilevel"/>
    <w:tmpl w:val="0B82F314"/>
    <w:lvl w:ilvl="0" w:tplc="2FF42842">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8"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2"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6"/>
  </w:num>
  <w:num w:numId="2">
    <w:abstractNumId w:val="26"/>
  </w:num>
  <w:num w:numId="3">
    <w:abstractNumId w:val="6"/>
  </w:num>
  <w:num w:numId="4">
    <w:abstractNumId w:val="49"/>
  </w:num>
  <w:num w:numId="5">
    <w:abstractNumId w:val="7"/>
  </w:num>
  <w:num w:numId="6">
    <w:abstractNumId w:val="17"/>
  </w:num>
  <w:num w:numId="7">
    <w:abstractNumId w:val="44"/>
  </w:num>
  <w:num w:numId="8">
    <w:abstractNumId w:val="25"/>
  </w:num>
  <w:num w:numId="9">
    <w:abstractNumId w:val="4"/>
  </w:num>
  <w:num w:numId="10">
    <w:abstractNumId w:val="1"/>
  </w:num>
  <w:num w:numId="11">
    <w:abstractNumId w:val="24"/>
  </w:num>
  <w:num w:numId="12">
    <w:abstractNumId w:val="31"/>
  </w:num>
  <w:num w:numId="13">
    <w:abstractNumId w:val="37"/>
  </w:num>
  <w:num w:numId="14">
    <w:abstractNumId w:val="29"/>
  </w:num>
  <w:num w:numId="15">
    <w:abstractNumId w:val="39"/>
  </w:num>
  <w:num w:numId="16">
    <w:abstractNumId w:val="22"/>
  </w:num>
  <w:num w:numId="17">
    <w:abstractNumId w:val="21"/>
  </w:num>
  <w:num w:numId="18">
    <w:abstractNumId w:val="0"/>
  </w:num>
  <w:num w:numId="19">
    <w:abstractNumId w:val="35"/>
  </w:num>
  <w:num w:numId="20">
    <w:abstractNumId w:val="2"/>
  </w:num>
  <w:num w:numId="21">
    <w:abstractNumId w:val="53"/>
  </w:num>
  <w:num w:numId="22">
    <w:abstractNumId w:val="50"/>
  </w:num>
  <w:num w:numId="23">
    <w:abstractNumId w:val="10"/>
  </w:num>
  <w:num w:numId="24">
    <w:abstractNumId w:val="28"/>
  </w:num>
  <w:num w:numId="25">
    <w:abstractNumId w:val="15"/>
  </w:num>
  <w:num w:numId="26">
    <w:abstractNumId w:val="12"/>
  </w:num>
  <w:num w:numId="27">
    <w:abstractNumId w:val="19"/>
  </w:num>
  <w:num w:numId="28">
    <w:abstractNumId w:val="43"/>
  </w:num>
  <w:num w:numId="29">
    <w:abstractNumId w:val="20"/>
  </w:num>
  <w:num w:numId="30">
    <w:abstractNumId w:val="8"/>
  </w:num>
  <w:num w:numId="31">
    <w:abstractNumId w:val="30"/>
  </w:num>
  <w:num w:numId="32">
    <w:abstractNumId w:val="16"/>
  </w:num>
  <w:num w:numId="33">
    <w:abstractNumId w:val="41"/>
  </w:num>
  <w:num w:numId="34">
    <w:abstractNumId w:val="18"/>
  </w:num>
  <w:num w:numId="35">
    <w:abstractNumId w:val="52"/>
  </w:num>
  <w:num w:numId="36">
    <w:abstractNumId w:val="40"/>
  </w:num>
  <w:num w:numId="37">
    <w:abstractNumId w:val="48"/>
  </w:num>
  <w:num w:numId="38">
    <w:abstractNumId w:val="51"/>
  </w:num>
  <w:num w:numId="39">
    <w:abstractNumId w:val="42"/>
  </w:num>
  <w:num w:numId="40">
    <w:abstractNumId w:val="13"/>
  </w:num>
  <w:num w:numId="41">
    <w:abstractNumId w:val="3"/>
  </w:num>
  <w:num w:numId="42">
    <w:abstractNumId w:val="33"/>
  </w:num>
  <w:num w:numId="43">
    <w:abstractNumId w:val="11"/>
  </w:num>
  <w:num w:numId="44">
    <w:abstractNumId w:val="45"/>
  </w:num>
  <w:num w:numId="45">
    <w:abstractNumId w:val="36"/>
  </w:num>
  <w:num w:numId="46">
    <w:abstractNumId w:val="9"/>
  </w:num>
  <w:num w:numId="47">
    <w:abstractNumId w:val="23"/>
  </w:num>
  <w:num w:numId="48">
    <w:abstractNumId w:val="34"/>
  </w:num>
  <w:num w:numId="49">
    <w:abstractNumId w:val="38"/>
  </w:num>
  <w:num w:numId="50">
    <w:abstractNumId w:val="5"/>
  </w:num>
  <w:num w:numId="51">
    <w:abstractNumId w:val="27"/>
  </w:num>
  <w:num w:numId="52">
    <w:abstractNumId w:val="32"/>
  </w:num>
  <w:num w:numId="53">
    <w:abstractNumId w:val="47"/>
  </w:num>
  <w:num w:numId="54">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142"/>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D57"/>
    <w:rsid w:val="000E3FFD"/>
    <w:rsid w:val="000E4197"/>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F1"/>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32B9"/>
    <w:rsid w:val="002333AC"/>
    <w:rsid w:val="0023360D"/>
    <w:rsid w:val="00233C5D"/>
    <w:rsid w:val="00233CB9"/>
    <w:rsid w:val="00233DFB"/>
    <w:rsid w:val="00234111"/>
    <w:rsid w:val="002343C6"/>
    <w:rsid w:val="00234715"/>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95C"/>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20217"/>
    <w:rsid w:val="0042028C"/>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1F16"/>
    <w:rsid w:val="004420F3"/>
    <w:rsid w:val="00442160"/>
    <w:rsid w:val="004421DD"/>
    <w:rsid w:val="0044252A"/>
    <w:rsid w:val="0044270F"/>
    <w:rsid w:val="00442ADE"/>
    <w:rsid w:val="00442D2E"/>
    <w:rsid w:val="00442D6C"/>
    <w:rsid w:val="00442EAE"/>
    <w:rsid w:val="004439B4"/>
    <w:rsid w:val="00443D0F"/>
    <w:rsid w:val="00443E10"/>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6DA"/>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37F17"/>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3E"/>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595"/>
    <w:rsid w:val="007455B8"/>
    <w:rsid w:val="00745693"/>
    <w:rsid w:val="00745BE9"/>
    <w:rsid w:val="00745E3C"/>
    <w:rsid w:val="00746196"/>
    <w:rsid w:val="007463DC"/>
    <w:rsid w:val="00746B6D"/>
    <w:rsid w:val="00746C03"/>
    <w:rsid w:val="00746D00"/>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8C0"/>
    <w:rsid w:val="00862CF7"/>
    <w:rsid w:val="00863105"/>
    <w:rsid w:val="008632DA"/>
    <w:rsid w:val="00863361"/>
    <w:rsid w:val="00863B4A"/>
    <w:rsid w:val="00863C49"/>
    <w:rsid w:val="00863F56"/>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4B62"/>
    <w:rsid w:val="00945637"/>
    <w:rsid w:val="00945CE3"/>
    <w:rsid w:val="00945D49"/>
    <w:rsid w:val="0094645A"/>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16"/>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5B2"/>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D32"/>
    <w:rsid w:val="00BB045C"/>
    <w:rsid w:val="00BB07B8"/>
    <w:rsid w:val="00BB0816"/>
    <w:rsid w:val="00BB0D1E"/>
    <w:rsid w:val="00BB2541"/>
    <w:rsid w:val="00BB26EC"/>
    <w:rsid w:val="00BB28EC"/>
    <w:rsid w:val="00BB304F"/>
    <w:rsid w:val="00BB34D4"/>
    <w:rsid w:val="00BB3E2B"/>
    <w:rsid w:val="00BB3E8D"/>
    <w:rsid w:val="00BB4551"/>
    <w:rsid w:val="00BB4B45"/>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664"/>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CAA"/>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EEB"/>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6655"/>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0665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665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DC0A1-117F-469C-BD8B-3993BBB8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2022-01-05T14:56:00Z</dcterms:created>
  <dcterms:modified xsi:type="dcterms:W3CDTF">2022-01-07T06:36:00Z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