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805" w:rsidRPr="00B23518" w:rsidRDefault="00E67A62" w:rsidP="006D2805">
      <w:pPr>
        <w:pStyle w:val="a3"/>
        <w:keepLines/>
        <w:tabs>
          <w:tab w:val="right" w:pos="10440"/>
          <w:tab w:val="right" w:pos="13323"/>
        </w:tabs>
        <w:rPr>
          <w:rFonts w:ascii="Arial" w:eastAsia="宋体" w:hAnsi="Arial" w:cs="Arial"/>
          <w:b/>
          <w:sz w:val="24"/>
          <w:szCs w:val="24"/>
          <w:lang w:eastAsia="zh-CN"/>
        </w:rPr>
      </w:pPr>
      <w:bookmarkStart w:id="0" w:name="OLE_LINK1"/>
      <w:bookmarkStart w:id="1" w:name="OLE_LINK2"/>
      <w:r w:rsidRPr="004E2857">
        <w:rPr>
          <w:rFonts w:ascii="Arial" w:hAnsi="Arial" w:cs="Arial"/>
          <w:b/>
          <w:sz w:val="24"/>
          <w:szCs w:val="24"/>
        </w:rPr>
        <w:t>3GPP TSG-RAN WG4 Meeting #</w:t>
      </w:r>
      <w:r w:rsidRPr="004E2857">
        <w:rPr>
          <w:rFonts w:ascii="Arial" w:hAnsi="Arial" w:cs="Arial"/>
        </w:rPr>
        <w:t xml:space="preserve"> </w:t>
      </w:r>
      <w:r w:rsidRPr="004E2857">
        <w:rPr>
          <w:rFonts w:ascii="Arial" w:hAnsi="Arial" w:cs="Arial"/>
          <w:b/>
          <w:sz w:val="24"/>
          <w:szCs w:val="24"/>
        </w:rPr>
        <w:t>101-bis-e</w:t>
      </w:r>
      <w:r w:rsidR="006D2805">
        <w:rPr>
          <w:rFonts w:ascii="Arial" w:eastAsiaTheme="minorEastAsia" w:hAnsi="Arial" w:cs="Arial" w:hint="eastAsia"/>
          <w:b/>
          <w:sz w:val="24"/>
          <w:szCs w:val="24"/>
          <w:lang w:eastAsia="zh-CN"/>
        </w:rPr>
        <w:tab/>
      </w:r>
      <w:r w:rsidR="006D2805" w:rsidRPr="00B23518">
        <w:rPr>
          <w:rFonts w:ascii="Arial" w:hAnsi="Arial" w:cs="Arial"/>
          <w:b/>
          <w:sz w:val="24"/>
          <w:szCs w:val="24"/>
        </w:rPr>
        <w:t>R4-2</w:t>
      </w:r>
      <w:r w:rsidR="00CD3476">
        <w:rPr>
          <w:rFonts w:ascii="Arial" w:hAnsi="Arial" w:cs="Arial"/>
          <w:b/>
          <w:sz w:val="24"/>
          <w:szCs w:val="24"/>
        </w:rPr>
        <w:t>200100</w:t>
      </w:r>
    </w:p>
    <w:p w:rsidR="006D2805" w:rsidRPr="00C53146" w:rsidRDefault="00E67A62" w:rsidP="006D2805">
      <w:pPr>
        <w:spacing w:after="120"/>
        <w:ind w:left="1985" w:hanging="1985"/>
        <w:rPr>
          <w:rFonts w:ascii="Arial" w:eastAsia="等线" w:hAnsi="Arial" w:cs="Arial"/>
          <w:b/>
          <w:sz w:val="24"/>
          <w:szCs w:val="24"/>
          <w:lang w:eastAsia="zh-CN"/>
        </w:rPr>
      </w:pPr>
      <w:r w:rsidRPr="004E2857">
        <w:rPr>
          <w:rFonts w:ascii="Arial" w:eastAsia="宋体" w:hAnsi="Arial" w:cs="Arial"/>
          <w:b/>
          <w:sz w:val="24"/>
          <w:szCs w:val="24"/>
          <w:lang w:eastAsia="zh-CN"/>
        </w:rPr>
        <w:t>Electronic Meeting, January 17-25, 2022</w:t>
      </w:r>
      <w:bookmarkEnd w:id="0"/>
      <w:bookmarkEnd w:id="1"/>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F56ED1">
        <w:rPr>
          <w:rFonts w:ascii="Arial" w:hAnsi="Arial" w:cs="Arial"/>
          <w:b w:val="0"/>
        </w:rPr>
        <w:t>6</w:t>
      </w:r>
      <w:r w:rsidR="00E64574">
        <w:rPr>
          <w:rFonts w:ascii="Arial" w:hAnsi="Arial" w:cs="Arial" w:hint="eastAsia"/>
          <w:b w:val="0"/>
        </w:rPr>
        <w:t>.</w:t>
      </w:r>
      <w:r w:rsidR="009C5615">
        <w:rPr>
          <w:rFonts w:ascii="Arial" w:hAnsi="Arial" w:cs="Arial"/>
          <w:b w:val="0"/>
        </w:rPr>
        <w:t>9</w:t>
      </w:r>
      <w:r w:rsidR="006D2805">
        <w:rPr>
          <w:rFonts w:ascii="Arial" w:hAnsi="Arial" w:cs="Arial" w:hint="eastAsia"/>
          <w:b w:val="0"/>
        </w:rPr>
        <w:t>.</w:t>
      </w:r>
      <w:r w:rsidR="009C5615">
        <w:rPr>
          <w:rFonts w:ascii="Arial" w:hAnsi="Arial" w:cs="Arial"/>
          <w:b w:val="0"/>
        </w:rPr>
        <w:t>4</w:t>
      </w:r>
      <w:r w:rsidR="006D2805">
        <w:rPr>
          <w:rFonts w:ascii="Arial" w:hAnsi="Arial" w:cs="Arial" w:hint="eastAsia"/>
          <w:b w:val="0"/>
        </w:rPr>
        <w:t>.</w:t>
      </w:r>
      <w:r w:rsidR="000F00AF">
        <w:rPr>
          <w:rFonts w:ascii="Arial" w:hAnsi="Arial" w:cs="Arial"/>
          <w:b w:val="0"/>
        </w:rPr>
        <w:t>3</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0F00AF" w:rsidRPr="000F00AF">
        <w:rPr>
          <w:rFonts w:ascii="Arial" w:hAnsi="Arial" w:cs="Arial"/>
          <w:b w:val="0"/>
        </w:rPr>
        <w:t>Further discussion on RRC Idle/Inactive and connected state mobility requirements for FR2 HST</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CD3476" w:rsidRDefault="00CD3476" w:rsidP="00CD3476">
      <w:pPr>
        <w:spacing w:after="120"/>
        <w:rPr>
          <w:lang w:eastAsia="zh-CN"/>
        </w:rPr>
      </w:pPr>
      <w:r>
        <w:rPr>
          <w:rFonts w:eastAsiaTheme="minorEastAsia"/>
          <w:lang w:eastAsia="zh-CN"/>
        </w:rPr>
        <w:t>There were extensive discussions for FR2 HST during the past RAN4 meetings and a WF on</w:t>
      </w:r>
      <w:r>
        <w:rPr>
          <w:rFonts w:eastAsia="宋体"/>
          <w:lang w:eastAsia="zh-CN"/>
        </w:rPr>
        <w:t xml:space="preserve"> RRM requirements for NR FR2 HST was approved </w:t>
      </w:r>
      <w:r>
        <w:rPr>
          <w:lang w:eastAsia="zh-CN"/>
        </w:rPr>
        <w:t>[1]</w:t>
      </w:r>
      <w:r>
        <w:rPr>
          <w:rFonts w:eastAsiaTheme="minorEastAsia"/>
          <w:lang w:val="en-US" w:eastAsia="zh-CN"/>
        </w:rPr>
        <w:t xml:space="preserve"> in RAN4#101-e meeting</w:t>
      </w:r>
      <w:r>
        <w:rPr>
          <w:lang w:eastAsia="zh-CN"/>
        </w:rPr>
        <w:t xml:space="preserve">. </w:t>
      </w:r>
    </w:p>
    <w:p w:rsidR="00CD3476" w:rsidRDefault="00CD3476" w:rsidP="00CD3476">
      <w:pPr>
        <w:spacing w:after="120"/>
        <w:rPr>
          <w:lang w:val="en-US" w:eastAsia="zh-CN"/>
        </w:rPr>
      </w:pPr>
      <w:r>
        <w:t>In this contribution</w:t>
      </w:r>
      <w:r>
        <w:rPr>
          <w:lang w:eastAsia="zh-CN"/>
        </w:rPr>
        <w:t xml:space="preserve">, we provide our consideration of remaining issues of mobility requirements </w:t>
      </w:r>
      <w:r>
        <w:t xml:space="preserve">and </w:t>
      </w:r>
      <w:r>
        <w:rPr>
          <w:lang w:eastAsia="zh-CN"/>
        </w:rPr>
        <w:t>give our proposals.</w:t>
      </w:r>
    </w:p>
    <w:p w:rsidR="00FD73FA" w:rsidRDefault="00FD73FA" w:rsidP="00FD73FA">
      <w:pPr>
        <w:pStyle w:val="1"/>
        <w:jc w:val="both"/>
        <w:rPr>
          <w:rFonts w:eastAsia="MS Mincho"/>
          <w:lang w:val="en-US"/>
        </w:rPr>
      </w:pPr>
      <w:r w:rsidRPr="004862A3">
        <w:rPr>
          <w:rFonts w:eastAsia="MS Mincho"/>
          <w:lang w:val="en-US"/>
        </w:rPr>
        <w:t>Discussion</w:t>
      </w:r>
    </w:p>
    <w:p w:rsidR="00CD3476" w:rsidRDefault="00CD3476" w:rsidP="00CD3476">
      <w:pPr>
        <w:pStyle w:val="2"/>
        <w:jc w:val="both"/>
        <w:rPr>
          <w:rFonts w:eastAsia="宋体"/>
          <w:lang w:eastAsia="zh-CN"/>
        </w:rPr>
      </w:pPr>
      <w:r>
        <w:rPr>
          <w:rFonts w:eastAsia="MS Mincho"/>
          <w:lang w:val="en-US"/>
        </w:rPr>
        <w:t>CONNECTED</w:t>
      </w:r>
      <w:r>
        <w:rPr>
          <w:rFonts w:eastAsia="宋体"/>
          <w:lang w:eastAsia="zh-CN"/>
        </w:rPr>
        <w:t xml:space="preserve"> state mobility</w:t>
      </w:r>
    </w:p>
    <w:p w:rsidR="00CD3476" w:rsidRPr="00CD3476" w:rsidRDefault="00CD3476" w:rsidP="00CD3476">
      <w:pPr>
        <w:rPr>
          <w:rFonts w:eastAsia="MS Mincho"/>
          <w:lang w:val="en-US"/>
        </w:rPr>
      </w:pPr>
      <w:r>
        <w:rPr>
          <w:rFonts w:eastAsia="MS Mincho"/>
          <w:lang w:val="en-US"/>
        </w:rPr>
        <w:t xml:space="preserve">In </w:t>
      </w:r>
      <w:r w:rsidR="003D27D3">
        <w:rPr>
          <w:rFonts w:eastAsia="MS Mincho"/>
          <w:lang w:val="en-US"/>
        </w:rPr>
        <w:t>RAN4#101-</w:t>
      </w:r>
      <w:r w:rsidR="0086334F">
        <w:rPr>
          <w:rFonts w:eastAsia="MS Mincho"/>
          <w:lang w:val="en-US"/>
        </w:rPr>
        <w:t>e meeting</w:t>
      </w:r>
      <w:r>
        <w:rPr>
          <w:rFonts w:eastAsia="MS Mincho"/>
          <w:lang w:val="en-US"/>
        </w:rPr>
        <w:t xml:space="preserve">, it is agreed that DRX upper bound for enhanced RRM HST FR2 requirements is 80ms. </w:t>
      </w:r>
      <w:r w:rsidR="00AA6AAB">
        <w:rPr>
          <w:rFonts w:eastAsia="MS Mincho"/>
          <w:lang w:val="en-US"/>
        </w:rPr>
        <w:t>In WF [1], the issue is listed as below:</w:t>
      </w:r>
    </w:p>
    <w:tbl>
      <w:tblPr>
        <w:tblStyle w:val="a8"/>
        <w:tblW w:w="0" w:type="auto"/>
        <w:tblLook w:val="04A0" w:firstRow="1" w:lastRow="0" w:firstColumn="1" w:lastColumn="0" w:noHBand="0" w:noVBand="1"/>
      </w:tblPr>
      <w:tblGrid>
        <w:gridCol w:w="8856"/>
      </w:tblGrid>
      <w:tr w:rsidR="00247127" w:rsidTr="00247127">
        <w:tc>
          <w:tcPr>
            <w:tcW w:w="8856" w:type="dxa"/>
          </w:tcPr>
          <w:p w:rsidR="00247127" w:rsidRDefault="00247127" w:rsidP="00247127">
            <w:pPr>
              <w:rPr>
                <w:b/>
                <w:bCs/>
                <w:lang w:val="en-US"/>
              </w:rPr>
            </w:pPr>
            <w:r>
              <w:rPr>
                <w:b/>
                <w:bCs/>
                <w:lang w:val="en-US"/>
              </w:rPr>
              <w:t>DRX upper bound for enhanced RRM HST FR2 requirements</w:t>
            </w:r>
          </w:p>
          <w:tbl>
            <w:tblPr>
              <w:tblStyle w:val="a8"/>
              <w:tblW w:w="0" w:type="auto"/>
              <w:tblLook w:val="04A0" w:firstRow="1" w:lastRow="0" w:firstColumn="1" w:lastColumn="0" w:noHBand="0" w:noVBand="1"/>
            </w:tblPr>
            <w:tblGrid>
              <w:gridCol w:w="8630"/>
            </w:tblGrid>
            <w:tr w:rsidR="00247127" w:rsidTr="00247127">
              <w:tc>
                <w:tcPr>
                  <w:tcW w:w="10456" w:type="dxa"/>
                  <w:tcBorders>
                    <w:top w:val="single" w:sz="4" w:space="0" w:color="auto"/>
                    <w:left w:val="single" w:sz="4" w:space="0" w:color="auto"/>
                    <w:bottom w:val="single" w:sz="4" w:space="0" w:color="auto"/>
                    <w:right w:val="single" w:sz="4" w:space="0" w:color="auto"/>
                  </w:tcBorders>
                  <w:hideMark/>
                </w:tcPr>
                <w:p w:rsidR="00247127" w:rsidRDefault="00247127">
                  <w:pPr>
                    <w:textAlignment w:val="baseline"/>
                    <w:rPr>
                      <w:b/>
                      <w:lang w:val="en-US"/>
                    </w:rPr>
                  </w:pPr>
                  <w:r>
                    <w:rPr>
                      <w:b/>
                      <w:highlight w:val="green"/>
                      <w:lang w:val="en-US"/>
                    </w:rPr>
                    <w:t>Agreement:</w:t>
                  </w:r>
                </w:p>
                <w:p w:rsidR="00247127" w:rsidRDefault="00247127">
                  <w:pPr>
                    <w:ind w:left="284"/>
                    <w:textAlignment w:val="baseline"/>
                    <w:rPr>
                      <w:lang w:val="en-US"/>
                    </w:rPr>
                  </w:pPr>
                  <w:r>
                    <w:rPr>
                      <w:lang w:val="en-US"/>
                    </w:rPr>
                    <w:t>Baseline: DRX upper bound for enhanced RRM HST FR2 requirements is [80]</w:t>
                  </w:r>
                  <w:proofErr w:type="spellStart"/>
                  <w:r>
                    <w:rPr>
                      <w:lang w:val="en-US"/>
                    </w:rPr>
                    <w:t>ms.</w:t>
                  </w:r>
                  <w:proofErr w:type="spellEnd"/>
                </w:p>
                <w:p w:rsidR="00247127" w:rsidRDefault="00247127">
                  <w:pPr>
                    <w:textAlignment w:val="baseline"/>
                    <w:rPr>
                      <w:b/>
                      <w:lang w:val="en-US"/>
                    </w:rPr>
                  </w:pPr>
                  <w:r>
                    <w:rPr>
                      <w:b/>
                      <w:lang w:val="en-US"/>
                    </w:rPr>
                    <w:t>Way forward:</w:t>
                  </w:r>
                </w:p>
                <w:p w:rsidR="00247127" w:rsidRDefault="00247127">
                  <w:pPr>
                    <w:ind w:left="284"/>
                    <w:textAlignment w:val="baseline"/>
                    <w:rPr>
                      <w:bCs/>
                      <w:lang w:val="en-US" w:eastAsia="zh-CN"/>
                    </w:rPr>
                  </w:pPr>
                  <w:r>
                    <w:rPr>
                      <w:bCs/>
                      <w:lang w:val="en-US" w:eastAsia="zh-CN"/>
                    </w:rPr>
                    <w:t>FFS, whether different requirements shall be defined for requirement Set1 and Set 2.</w:t>
                  </w:r>
                </w:p>
              </w:tc>
            </w:tr>
          </w:tbl>
          <w:p w:rsidR="00247127" w:rsidRDefault="00247127" w:rsidP="00D761E5">
            <w:pPr>
              <w:spacing w:after="120"/>
              <w:rPr>
                <w:rFonts w:eastAsiaTheme="minorEastAsia"/>
                <w:lang w:val="en-US" w:eastAsia="zh-CN"/>
              </w:rPr>
            </w:pPr>
          </w:p>
        </w:tc>
      </w:tr>
    </w:tbl>
    <w:p w:rsidR="00AA6AAB" w:rsidRDefault="00AA6AAB" w:rsidP="00D761E5">
      <w:pPr>
        <w:spacing w:after="120"/>
        <w:rPr>
          <w:rFonts w:eastAsiaTheme="minorEastAsia"/>
          <w:lang w:val="en-US" w:eastAsia="zh-CN"/>
        </w:rPr>
      </w:pPr>
    </w:p>
    <w:p w:rsidR="003D27D3" w:rsidRDefault="003D27D3" w:rsidP="00D761E5">
      <w:pPr>
        <w:spacing w:after="120"/>
        <w:rPr>
          <w:rFonts w:eastAsiaTheme="minorEastAsia"/>
          <w:lang w:val="en-US" w:eastAsia="zh-CN"/>
        </w:rPr>
      </w:pPr>
      <w:r>
        <w:rPr>
          <w:rFonts w:eastAsiaTheme="minorEastAsia"/>
          <w:lang w:val="en-US" w:eastAsia="zh-CN"/>
        </w:rPr>
        <w:t xml:space="preserve">In last meeting, </w:t>
      </w:r>
      <w:r w:rsidR="0086334F">
        <w:rPr>
          <w:rFonts w:eastAsiaTheme="minorEastAsia"/>
          <w:lang w:val="en-US" w:eastAsia="zh-CN"/>
        </w:rPr>
        <w:t xml:space="preserve">most companies including our analysis agree to use 80ms as the DRX upper bound for all deployment. But there is one of the companies still thought there is issue in </w:t>
      </w:r>
      <w:proofErr w:type="spellStart"/>
      <w:r w:rsidR="0086334F">
        <w:rPr>
          <w:rFonts w:eastAsiaTheme="minorEastAsia"/>
          <w:lang w:val="en-US" w:eastAsia="zh-CN"/>
        </w:rPr>
        <w:t>uni</w:t>
      </w:r>
      <w:proofErr w:type="spellEnd"/>
      <w:r w:rsidR="0086334F">
        <w:rPr>
          <w:rFonts w:eastAsiaTheme="minorEastAsia"/>
          <w:lang w:val="en-US" w:eastAsia="zh-CN"/>
        </w:rPr>
        <w:t xml:space="preserve">-directional deployment. In </w:t>
      </w:r>
      <w:proofErr w:type="spellStart"/>
      <w:r w:rsidR="0086334F">
        <w:rPr>
          <w:rFonts w:eastAsiaTheme="minorEastAsia"/>
          <w:lang w:val="en-US" w:eastAsia="zh-CN"/>
        </w:rPr>
        <w:t>uni</w:t>
      </w:r>
      <w:proofErr w:type="spellEnd"/>
      <w:r w:rsidR="0086334F">
        <w:rPr>
          <w:rFonts w:eastAsiaTheme="minorEastAsia"/>
          <w:lang w:val="en-US" w:eastAsia="zh-CN"/>
        </w:rPr>
        <w:t xml:space="preserve">-directional Scenario A, when UE moves in the opposite to the pointing direction of RRH TX beams. </w:t>
      </w:r>
      <w:r w:rsidR="00AA6AAB">
        <w:rPr>
          <w:rFonts w:eastAsiaTheme="minorEastAsia"/>
          <w:lang w:val="en-US" w:eastAsia="zh-CN"/>
        </w:rPr>
        <w:t xml:space="preserve">The potential handover issue is not </w:t>
      </w:r>
      <w:r w:rsidR="006E1271">
        <w:rPr>
          <w:rFonts w:eastAsiaTheme="minorEastAsia" w:hint="eastAsia"/>
          <w:lang w:val="en-US" w:eastAsia="zh-CN"/>
        </w:rPr>
        <w:t>caused by</w:t>
      </w:r>
      <w:bookmarkStart w:id="3" w:name="_GoBack"/>
      <w:bookmarkEnd w:id="3"/>
      <w:r w:rsidR="00AA6AAB">
        <w:rPr>
          <w:rFonts w:eastAsiaTheme="minorEastAsia"/>
          <w:lang w:val="en-US" w:eastAsia="zh-CN"/>
        </w:rPr>
        <w:t xml:space="preserve"> DRX. We prefer to handle and solve the issue in the root but not just by short DRX cycle. </w:t>
      </w:r>
    </w:p>
    <w:p w:rsidR="00AA6AAB" w:rsidRPr="00AA6AAB" w:rsidRDefault="00AA6AAB" w:rsidP="00D761E5">
      <w:pPr>
        <w:spacing w:after="120"/>
        <w:rPr>
          <w:rFonts w:eastAsiaTheme="minorEastAsia"/>
          <w:b/>
          <w:lang w:val="en-US" w:eastAsia="zh-CN"/>
        </w:rPr>
      </w:pPr>
      <w:r w:rsidRPr="00AA6AAB">
        <w:rPr>
          <w:rFonts w:eastAsiaTheme="minorEastAsia"/>
          <w:b/>
          <w:lang w:val="en-US" w:eastAsia="zh-CN"/>
        </w:rPr>
        <w:t xml:space="preserve">Proposal 1: Use the same DRX upper round for both Set1 and Set2. </w:t>
      </w:r>
    </w:p>
    <w:p w:rsidR="00247127" w:rsidRDefault="00247127" w:rsidP="00D761E5">
      <w:pPr>
        <w:spacing w:after="120"/>
        <w:rPr>
          <w:rFonts w:eastAsiaTheme="minorEastAsia"/>
          <w:lang w:val="en-US" w:eastAsia="zh-CN"/>
        </w:rPr>
      </w:pPr>
    </w:p>
    <w:p w:rsidR="00AA6AAB" w:rsidRPr="00AA6AAB" w:rsidRDefault="00AA6AAB" w:rsidP="00AA6AAB">
      <w:pPr>
        <w:rPr>
          <w:rFonts w:eastAsia="MS Mincho"/>
          <w:lang w:val="en-US"/>
        </w:rPr>
      </w:pPr>
      <w:r>
        <w:rPr>
          <w:rFonts w:eastAsia="MS Mincho"/>
          <w:lang w:val="en-US"/>
        </w:rPr>
        <w:t>In RAN4#101-e meeting, it is agreed to reuse the same M2 as Rel-16 HST FR1. In WF [1], the issue is listed as below:</w:t>
      </w:r>
    </w:p>
    <w:tbl>
      <w:tblPr>
        <w:tblStyle w:val="a8"/>
        <w:tblW w:w="0" w:type="auto"/>
        <w:tblLook w:val="04A0" w:firstRow="1" w:lastRow="0" w:firstColumn="1" w:lastColumn="0" w:noHBand="0" w:noVBand="1"/>
      </w:tblPr>
      <w:tblGrid>
        <w:gridCol w:w="8856"/>
      </w:tblGrid>
      <w:tr w:rsidR="00247127" w:rsidTr="00247127">
        <w:tc>
          <w:tcPr>
            <w:tcW w:w="8856" w:type="dxa"/>
          </w:tcPr>
          <w:p w:rsidR="00247127" w:rsidRDefault="00247127" w:rsidP="00247127">
            <w:pPr>
              <w:rPr>
                <w:b/>
                <w:bCs/>
                <w:lang w:val="en-US"/>
              </w:rPr>
            </w:pPr>
            <w:r>
              <w:rPr>
                <w:b/>
                <w:bCs/>
                <w:lang w:val="en-US"/>
              </w:rPr>
              <w:t>M2 scaling factor for short DRX</w:t>
            </w:r>
          </w:p>
          <w:tbl>
            <w:tblPr>
              <w:tblStyle w:val="a8"/>
              <w:tblW w:w="0" w:type="auto"/>
              <w:tblLook w:val="04A0" w:firstRow="1" w:lastRow="0" w:firstColumn="1" w:lastColumn="0" w:noHBand="0" w:noVBand="1"/>
            </w:tblPr>
            <w:tblGrid>
              <w:gridCol w:w="8630"/>
            </w:tblGrid>
            <w:tr w:rsidR="00247127" w:rsidTr="00247127">
              <w:tc>
                <w:tcPr>
                  <w:tcW w:w="10456" w:type="dxa"/>
                  <w:tcBorders>
                    <w:top w:val="single" w:sz="4" w:space="0" w:color="auto"/>
                    <w:left w:val="single" w:sz="4" w:space="0" w:color="auto"/>
                    <w:bottom w:val="single" w:sz="4" w:space="0" w:color="auto"/>
                    <w:right w:val="single" w:sz="4" w:space="0" w:color="auto"/>
                  </w:tcBorders>
                  <w:hideMark/>
                </w:tcPr>
                <w:p w:rsidR="00247127" w:rsidRDefault="00247127">
                  <w:pPr>
                    <w:textAlignment w:val="baseline"/>
                    <w:rPr>
                      <w:b/>
                      <w:lang w:val="en-US"/>
                    </w:rPr>
                  </w:pPr>
                  <w:r>
                    <w:rPr>
                      <w:b/>
                      <w:lang w:val="en-US"/>
                    </w:rPr>
                    <w:lastRenderedPageBreak/>
                    <w:t xml:space="preserve">Way forward from </w:t>
                  </w:r>
                  <w:proofErr w:type="spellStart"/>
                  <w:r>
                    <w:rPr>
                      <w:b/>
                      <w:lang w:val="en-US"/>
                    </w:rPr>
                    <w:t>GtW</w:t>
                  </w:r>
                  <w:proofErr w:type="spellEnd"/>
                  <w:r>
                    <w:rPr>
                      <w:b/>
                      <w:lang w:val="en-US"/>
                    </w:rPr>
                    <w:t>:</w:t>
                  </w:r>
                </w:p>
                <w:p w:rsidR="00247127" w:rsidRDefault="00247127" w:rsidP="00247127">
                  <w:pPr>
                    <w:pStyle w:val="a9"/>
                    <w:numPr>
                      <w:ilvl w:val="0"/>
                      <w:numId w:val="25"/>
                    </w:numPr>
                    <w:autoSpaceDN w:val="0"/>
                    <w:spacing w:after="120"/>
                    <w:ind w:left="644"/>
                    <w:contextualSpacing w:val="0"/>
                    <w:rPr>
                      <w:lang w:val="en-US"/>
                    </w:rPr>
                  </w:pPr>
                  <w:r>
                    <w:rPr>
                      <w:bCs/>
                    </w:rPr>
                    <w:t xml:space="preserve">Baseline: M2 = </w:t>
                  </w:r>
                  <w:r>
                    <w:rPr>
                      <w:rFonts w:eastAsiaTheme="minorEastAsia"/>
                      <w:iCs/>
                    </w:rPr>
                    <w:t xml:space="preserve">1.5 if SMTC periodicity &gt; [40] </w:t>
                  </w:r>
                  <w:proofErr w:type="spellStart"/>
                  <w:r>
                    <w:rPr>
                      <w:rFonts w:eastAsiaTheme="minorEastAsia"/>
                      <w:iCs/>
                    </w:rPr>
                    <w:t>ms</w:t>
                  </w:r>
                  <w:proofErr w:type="spellEnd"/>
                  <w:r>
                    <w:rPr>
                      <w:rFonts w:eastAsiaTheme="minorEastAsia"/>
                      <w:iCs/>
                    </w:rPr>
                    <w:t>, otherwise M2=1</w:t>
                  </w:r>
                </w:p>
                <w:p w:rsidR="00247127" w:rsidRDefault="00247127" w:rsidP="00247127">
                  <w:pPr>
                    <w:pStyle w:val="a9"/>
                    <w:numPr>
                      <w:ilvl w:val="1"/>
                      <w:numId w:val="25"/>
                    </w:numPr>
                    <w:autoSpaceDN w:val="0"/>
                    <w:spacing w:after="120"/>
                    <w:ind w:left="1364"/>
                    <w:contextualSpacing w:val="0"/>
                  </w:pPr>
                  <w:r>
                    <w:rPr>
                      <w:rFonts w:eastAsiaTheme="minorEastAsia"/>
                      <w:iCs/>
                    </w:rPr>
                    <w:t>FFS if a different scaling factor is needed for scenario-B with two-side RRH</w:t>
                  </w:r>
                </w:p>
              </w:tc>
            </w:tr>
          </w:tbl>
          <w:p w:rsidR="00247127" w:rsidRDefault="00247127" w:rsidP="00D761E5">
            <w:pPr>
              <w:spacing w:after="120"/>
              <w:rPr>
                <w:rFonts w:eastAsiaTheme="minorEastAsia"/>
                <w:lang w:val="en-US" w:eastAsia="zh-CN"/>
              </w:rPr>
            </w:pPr>
          </w:p>
        </w:tc>
      </w:tr>
    </w:tbl>
    <w:p w:rsidR="00247127" w:rsidRDefault="00247127" w:rsidP="00D761E5">
      <w:pPr>
        <w:spacing w:after="120"/>
        <w:rPr>
          <w:rFonts w:eastAsiaTheme="minorEastAsia"/>
          <w:lang w:val="en-US" w:eastAsia="zh-CN"/>
        </w:rPr>
      </w:pPr>
    </w:p>
    <w:p w:rsidR="00AA6AAB" w:rsidRDefault="00AA6AAB" w:rsidP="00D761E5">
      <w:pPr>
        <w:spacing w:after="120"/>
        <w:rPr>
          <w:rFonts w:eastAsiaTheme="minorEastAsia"/>
          <w:lang w:val="en-US" w:eastAsia="zh-CN"/>
        </w:rPr>
      </w:pPr>
      <w:r>
        <w:rPr>
          <w:rFonts w:eastAsiaTheme="minorEastAsia"/>
          <w:lang w:val="en-US" w:eastAsia="zh-CN"/>
        </w:rPr>
        <w:t xml:space="preserve">Our view is the scaling factor 1.5 is not related to the RX beam sweeping. The same M2 can be used in Scenario-B with two-side RRH. </w:t>
      </w:r>
    </w:p>
    <w:p w:rsidR="00AA6AAB" w:rsidRPr="00AA6AAB" w:rsidRDefault="00AA6AAB" w:rsidP="00D761E5">
      <w:pPr>
        <w:spacing w:after="120"/>
        <w:rPr>
          <w:rFonts w:eastAsiaTheme="minorEastAsia"/>
          <w:b/>
          <w:lang w:val="en-US" w:eastAsia="zh-CN"/>
        </w:rPr>
      </w:pPr>
      <w:r w:rsidRPr="00AA6AAB">
        <w:rPr>
          <w:rFonts w:eastAsiaTheme="minorEastAsia"/>
          <w:b/>
          <w:lang w:val="en-US" w:eastAsia="zh-CN"/>
        </w:rPr>
        <w:t xml:space="preserve">Proposal 2: </w:t>
      </w:r>
      <w:r w:rsidRPr="00AA6AAB">
        <w:rPr>
          <w:b/>
          <w:bCs/>
        </w:rPr>
        <w:t>The same M2 can be used in Scenario-B with two-side RRH.</w:t>
      </w:r>
    </w:p>
    <w:p w:rsidR="00610A4E" w:rsidRDefault="00610A4E" w:rsidP="00D761E5">
      <w:pPr>
        <w:spacing w:after="120"/>
        <w:rPr>
          <w:rFonts w:eastAsiaTheme="minorEastAsia"/>
          <w:lang w:val="en-US" w:eastAsia="zh-CN"/>
        </w:rPr>
      </w:pPr>
    </w:p>
    <w:tbl>
      <w:tblPr>
        <w:tblStyle w:val="a8"/>
        <w:tblW w:w="0" w:type="auto"/>
        <w:tblLook w:val="04A0" w:firstRow="1" w:lastRow="0" w:firstColumn="1" w:lastColumn="0" w:noHBand="0" w:noVBand="1"/>
      </w:tblPr>
      <w:tblGrid>
        <w:gridCol w:w="8856"/>
      </w:tblGrid>
      <w:tr w:rsidR="00247127" w:rsidTr="00247127">
        <w:tc>
          <w:tcPr>
            <w:tcW w:w="8856" w:type="dxa"/>
          </w:tcPr>
          <w:p w:rsidR="00247127" w:rsidRDefault="00247127" w:rsidP="00247127">
            <w:pPr>
              <w:rPr>
                <w:b/>
                <w:lang w:val="en-US" w:eastAsia="zh-CN"/>
              </w:rPr>
            </w:pPr>
            <w:r>
              <w:rPr>
                <w:rFonts w:eastAsia="Yu Mincho"/>
                <w:b/>
                <w:lang w:val="en-US" w:eastAsia="zh-CN"/>
              </w:rPr>
              <w:t>Potential mobility issue when UE is moving in the direction opposite to the RRH TX beams</w:t>
            </w:r>
          </w:p>
          <w:tbl>
            <w:tblPr>
              <w:tblStyle w:val="a8"/>
              <w:tblW w:w="0" w:type="auto"/>
              <w:tblLook w:val="04A0" w:firstRow="1" w:lastRow="0" w:firstColumn="1" w:lastColumn="0" w:noHBand="0" w:noVBand="1"/>
            </w:tblPr>
            <w:tblGrid>
              <w:gridCol w:w="8630"/>
            </w:tblGrid>
            <w:tr w:rsidR="00247127" w:rsidTr="00247127">
              <w:tc>
                <w:tcPr>
                  <w:tcW w:w="10456" w:type="dxa"/>
                  <w:tcBorders>
                    <w:top w:val="single" w:sz="4" w:space="0" w:color="auto"/>
                    <w:left w:val="single" w:sz="4" w:space="0" w:color="auto"/>
                    <w:bottom w:val="single" w:sz="4" w:space="0" w:color="auto"/>
                    <w:right w:val="single" w:sz="4" w:space="0" w:color="auto"/>
                  </w:tcBorders>
                  <w:hideMark/>
                </w:tcPr>
                <w:p w:rsidR="00247127" w:rsidRDefault="00247127">
                  <w:pPr>
                    <w:textAlignment w:val="baseline"/>
                    <w:rPr>
                      <w:b/>
                      <w:lang w:val="en-US"/>
                    </w:rPr>
                  </w:pPr>
                  <w:r>
                    <w:rPr>
                      <w:b/>
                      <w:lang w:val="en-US"/>
                    </w:rPr>
                    <w:t>Way forward:</w:t>
                  </w:r>
                </w:p>
                <w:p w:rsidR="00247127" w:rsidRDefault="00247127" w:rsidP="00247127">
                  <w:pPr>
                    <w:pStyle w:val="a9"/>
                    <w:numPr>
                      <w:ilvl w:val="0"/>
                      <w:numId w:val="25"/>
                    </w:numPr>
                    <w:autoSpaceDN w:val="0"/>
                    <w:spacing w:after="120"/>
                    <w:ind w:left="644"/>
                    <w:contextualSpacing w:val="0"/>
                  </w:pPr>
                  <w:r>
                    <w:rPr>
                      <w:rFonts w:eastAsia="Yu Mincho"/>
                      <w:bCs/>
                      <w:lang w:val="en-US" w:eastAsia="zh-CN"/>
                    </w:rPr>
                    <w:t xml:space="preserve">RAN4 to consider solutions to potential mobility issue when UE is moving in the direction opposite to the RRH TX beams in Scenario </w:t>
                  </w:r>
                  <w:proofErr w:type="gramStart"/>
                  <w:r>
                    <w:rPr>
                      <w:rFonts w:eastAsia="Yu Mincho"/>
                      <w:bCs/>
                      <w:lang w:val="en-US" w:eastAsia="zh-CN"/>
                    </w:rPr>
                    <w:t>A</w:t>
                  </w:r>
                  <w:proofErr w:type="gramEnd"/>
                  <w:r>
                    <w:rPr>
                      <w:rFonts w:eastAsia="Yu Mincho"/>
                      <w:bCs/>
                      <w:lang w:val="en-US" w:eastAsia="zh-CN"/>
                    </w:rPr>
                    <w:t xml:space="preserve"> are not precluded.</w:t>
                  </w:r>
                </w:p>
                <w:p w:rsidR="00247127" w:rsidRDefault="00247127" w:rsidP="00247127">
                  <w:pPr>
                    <w:pStyle w:val="a9"/>
                    <w:numPr>
                      <w:ilvl w:val="1"/>
                      <w:numId w:val="25"/>
                    </w:numPr>
                    <w:overflowPunct w:val="0"/>
                    <w:autoSpaceDE w:val="0"/>
                    <w:autoSpaceDN w:val="0"/>
                    <w:adjustRightInd w:val="0"/>
                    <w:contextualSpacing w:val="0"/>
                  </w:pPr>
                  <w:r>
                    <w:t xml:space="preserve">FFS whether 80 </w:t>
                  </w:r>
                  <w:proofErr w:type="spellStart"/>
                  <w:r>
                    <w:t>ms</w:t>
                  </w:r>
                  <w:proofErr w:type="spellEnd"/>
                  <w:r>
                    <w:t xml:space="preserve"> DRX cycle length can be supported in Scenario A for UE moving in the direction opposite to the RRH TX beams</w:t>
                  </w:r>
                </w:p>
                <w:p w:rsidR="00247127" w:rsidRDefault="00247127" w:rsidP="00247127">
                  <w:pPr>
                    <w:pStyle w:val="a9"/>
                    <w:numPr>
                      <w:ilvl w:val="1"/>
                      <w:numId w:val="25"/>
                    </w:numPr>
                    <w:autoSpaceDN w:val="0"/>
                    <w:spacing w:after="120"/>
                    <w:contextualSpacing w:val="0"/>
                  </w:pPr>
                  <w:r>
                    <w:t>Other solutions are not precluded</w:t>
                  </w:r>
                </w:p>
              </w:tc>
            </w:tr>
          </w:tbl>
          <w:p w:rsidR="00247127" w:rsidRDefault="00247127" w:rsidP="00D761E5">
            <w:pPr>
              <w:spacing w:after="120"/>
              <w:rPr>
                <w:rFonts w:eastAsiaTheme="minorEastAsia"/>
                <w:lang w:val="en-US" w:eastAsia="zh-CN"/>
              </w:rPr>
            </w:pPr>
          </w:p>
        </w:tc>
      </w:tr>
    </w:tbl>
    <w:p w:rsidR="00B60E93" w:rsidRDefault="00B60E93" w:rsidP="00B60E93">
      <w:pPr>
        <w:rPr>
          <w:rFonts w:eastAsiaTheme="minorEastAsia"/>
          <w:lang w:eastAsia="zh-CN"/>
        </w:rPr>
      </w:pPr>
    </w:p>
    <w:p w:rsidR="00ED3B80" w:rsidRPr="00ED3B80" w:rsidRDefault="00ED3B80" w:rsidP="00ED3B80">
      <w:pPr>
        <w:jc w:val="both"/>
        <w:rPr>
          <w:rFonts w:eastAsiaTheme="minorEastAsia"/>
          <w:lang w:eastAsia="zh-CN"/>
        </w:rPr>
      </w:pPr>
      <w:r>
        <w:t>For the potential mobility issue when the train is travelling direction is opposite to the serving beam orientation, it might be resolved by using proper event offset in NW</w:t>
      </w:r>
      <w:r>
        <w:rPr>
          <w:rFonts w:eastAsiaTheme="minorEastAsia" w:hint="eastAsia"/>
          <w:lang w:eastAsia="zh-CN"/>
        </w:rPr>
        <w:t xml:space="preserve"> if NW knows the UE moving direction, </w:t>
      </w:r>
    </w:p>
    <w:p w:rsidR="00ED3B80" w:rsidRPr="00ED3B80" w:rsidRDefault="00ED3B80" w:rsidP="00ED3B80">
      <w:pPr>
        <w:jc w:val="both"/>
        <w:rPr>
          <w:rFonts w:eastAsiaTheme="minorEastAsia"/>
          <w:b/>
          <w:lang w:eastAsia="zh-CN"/>
        </w:rPr>
      </w:pPr>
      <w:r w:rsidRPr="00ED3B80">
        <w:rPr>
          <w:rFonts w:eastAsiaTheme="minorEastAsia" w:hint="eastAsia"/>
          <w:b/>
          <w:lang w:eastAsia="zh-CN"/>
        </w:rPr>
        <w:t xml:space="preserve">Proposal 3: </w:t>
      </w:r>
      <w:r w:rsidRPr="00ED3B80">
        <w:rPr>
          <w:b/>
        </w:rPr>
        <w:t xml:space="preserve">For the potential mobility issue when the train is travelling direction is opposite to the serving beam orientation, it </w:t>
      </w:r>
      <w:r w:rsidRPr="00ED3B80">
        <w:rPr>
          <w:rFonts w:eastAsiaTheme="minorEastAsia" w:hint="eastAsia"/>
          <w:b/>
          <w:lang w:eastAsia="zh-CN"/>
        </w:rPr>
        <w:t>can</w:t>
      </w:r>
      <w:r w:rsidRPr="00ED3B80">
        <w:rPr>
          <w:b/>
        </w:rPr>
        <w:t xml:space="preserve"> be resolved by using proper event offset in NW</w:t>
      </w:r>
      <w:r w:rsidRPr="00ED3B80">
        <w:rPr>
          <w:rFonts w:eastAsiaTheme="minorEastAsia" w:hint="eastAsia"/>
          <w:b/>
          <w:lang w:eastAsia="zh-CN"/>
        </w:rPr>
        <w:t xml:space="preserve"> if NW knows the UE moving direction. </w:t>
      </w:r>
    </w:p>
    <w:p w:rsidR="00ED3B80" w:rsidRPr="00B60E93" w:rsidRDefault="00ED3B80" w:rsidP="00B60E93">
      <w:pPr>
        <w:rPr>
          <w:rFonts w:eastAsiaTheme="minorEastAsia"/>
          <w:lang w:eastAsia="zh-CN"/>
        </w:rPr>
      </w:pPr>
    </w:p>
    <w:p w:rsidR="00531EA9" w:rsidRDefault="00531EA9" w:rsidP="00531EA9">
      <w:pPr>
        <w:pStyle w:val="2"/>
        <w:jc w:val="both"/>
        <w:rPr>
          <w:rFonts w:eastAsia="宋体"/>
          <w:lang w:eastAsia="zh-CN"/>
        </w:rPr>
      </w:pPr>
      <w:r w:rsidRPr="00531EA9">
        <w:rPr>
          <w:rFonts w:eastAsia="宋体"/>
          <w:lang w:eastAsia="zh-CN"/>
        </w:rPr>
        <w:t>IDEL/INACTIVE state mobility</w:t>
      </w:r>
    </w:p>
    <w:p w:rsidR="00B60E93" w:rsidRPr="00AA6AAB" w:rsidRDefault="00B60E93" w:rsidP="00B60E93">
      <w:pPr>
        <w:rPr>
          <w:rFonts w:eastAsia="MS Mincho"/>
          <w:lang w:val="en-US"/>
        </w:rPr>
      </w:pPr>
      <w:r>
        <w:rPr>
          <w:rFonts w:eastAsia="MS Mincho"/>
          <w:lang w:val="en-US"/>
        </w:rPr>
        <w:t>In RAN4#101-e meeting, it is agreed to define enhance requirements for DRX 320ms only. In WF [1], the issue is listed as below:</w:t>
      </w:r>
    </w:p>
    <w:tbl>
      <w:tblPr>
        <w:tblStyle w:val="a8"/>
        <w:tblW w:w="0" w:type="auto"/>
        <w:tblLook w:val="04A0" w:firstRow="1" w:lastRow="0" w:firstColumn="1" w:lastColumn="0" w:noHBand="0" w:noVBand="1"/>
      </w:tblPr>
      <w:tblGrid>
        <w:gridCol w:w="8856"/>
      </w:tblGrid>
      <w:tr w:rsidR="00B60E93" w:rsidTr="00B60E93">
        <w:tc>
          <w:tcPr>
            <w:tcW w:w="10456" w:type="dxa"/>
            <w:tcBorders>
              <w:top w:val="single" w:sz="4" w:space="0" w:color="auto"/>
              <w:left w:val="single" w:sz="4" w:space="0" w:color="auto"/>
              <w:bottom w:val="single" w:sz="4" w:space="0" w:color="auto"/>
              <w:right w:val="single" w:sz="4" w:space="0" w:color="auto"/>
            </w:tcBorders>
            <w:hideMark/>
          </w:tcPr>
          <w:p w:rsidR="00B60E93" w:rsidRDefault="00B60E93">
            <w:pPr>
              <w:textAlignment w:val="baseline"/>
              <w:rPr>
                <w:b/>
                <w:lang w:val="en-US"/>
              </w:rPr>
            </w:pPr>
            <w:r>
              <w:rPr>
                <w:b/>
                <w:highlight w:val="green"/>
                <w:lang w:val="en-US"/>
              </w:rPr>
              <w:t>Agreements:</w:t>
            </w:r>
          </w:p>
          <w:p w:rsidR="00B60E93" w:rsidRDefault="00B60E93" w:rsidP="00B60E93">
            <w:pPr>
              <w:pStyle w:val="a9"/>
              <w:numPr>
                <w:ilvl w:val="0"/>
                <w:numId w:val="29"/>
              </w:numPr>
              <w:overflowPunct w:val="0"/>
              <w:autoSpaceDE w:val="0"/>
              <w:autoSpaceDN w:val="0"/>
              <w:adjustRightInd w:val="0"/>
              <w:contextualSpacing w:val="0"/>
              <w:rPr>
                <w:rFonts w:eastAsiaTheme="minorEastAsia"/>
                <w:iCs/>
                <w:lang w:val="en-US" w:eastAsia="zh-CN"/>
              </w:rPr>
            </w:pPr>
            <w:r>
              <w:rPr>
                <w:rFonts w:eastAsiaTheme="minorEastAsia"/>
                <w:iCs/>
                <w:lang w:eastAsia="zh-CN"/>
              </w:rPr>
              <w:t xml:space="preserve">Defined enhanced requirements for DRX 320 </w:t>
            </w:r>
            <w:proofErr w:type="spellStart"/>
            <w:r>
              <w:rPr>
                <w:rFonts w:eastAsiaTheme="minorEastAsia"/>
                <w:iCs/>
                <w:lang w:eastAsia="zh-CN"/>
              </w:rPr>
              <w:t>ms</w:t>
            </w:r>
            <w:proofErr w:type="spellEnd"/>
            <w:r>
              <w:rPr>
                <w:rFonts w:eastAsiaTheme="minorEastAsia"/>
                <w:iCs/>
                <w:lang w:eastAsia="zh-CN"/>
              </w:rPr>
              <w:t xml:space="preserve"> only.</w:t>
            </w:r>
          </w:p>
          <w:p w:rsidR="00B60E93" w:rsidRDefault="00B60E93" w:rsidP="00B60E93">
            <w:pPr>
              <w:pStyle w:val="a9"/>
              <w:numPr>
                <w:ilvl w:val="0"/>
                <w:numId w:val="29"/>
              </w:numPr>
              <w:overflowPunct w:val="0"/>
              <w:autoSpaceDE w:val="0"/>
              <w:autoSpaceDN w:val="0"/>
              <w:adjustRightInd w:val="0"/>
              <w:contextualSpacing w:val="0"/>
              <w:rPr>
                <w:rFonts w:eastAsiaTheme="minorEastAsia"/>
                <w:iCs/>
                <w:lang w:eastAsia="zh-CN"/>
              </w:rPr>
            </w:pPr>
            <w:r>
              <w:rPr>
                <w:rFonts w:eastAsiaTheme="minorEastAsia"/>
                <w:iCs/>
                <w:lang w:eastAsia="zh-CN"/>
              </w:rPr>
              <w:t>Requirements for longer DRX cycles are left without changes.</w:t>
            </w:r>
          </w:p>
          <w:p w:rsidR="00B60E93" w:rsidRDefault="00B60E93">
            <w:pPr>
              <w:textAlignment w:val="baseline"/>
              <w:rPr>
                <w:rFonts w:eastAsia="Yu Mincho"/>
                <w:b/>
                <w:lang w:val="en-US"/>
              </w:rPr>
            </w:pPr>
            <w:r>
              <w:rPr>
                <w:b/>
                <w:lang w:val="en-US"/>
              </w:rPr>
              <w:t>Way forward:</w:t>
            </w:r>
          </w:p>
          <w:p w:rsidR="00B60E93" w:rsidRDefault="00B60E93">
            <w:pPr>
              <w:ind w:left="284"/>
              <w:textAlignment w:val="baseline"/>
              <w:rPr>
                <w:rFonts w:eastAsiaTheme="minorEastAsia"/>
                <w:lang w:val="en-US" w:eastAsia="zh-CN"/>
              </w:rPr>
            </w:pPr>
            <w:r>
              <w:rPr>
                <w:rFonts w:eastAsiaTheme="minorEastAsia"/>
                <w:lang w:val="en-US" w:eastAsia="zh-CN"/>
              </w:rPr>
              <w:t>FFS, enhancement of requirement at DRX cycle length 320ms:</w:t>
            </w:r>
          </w:p>
          <w:p w:rsidR="00B60E93" w:rsidRDefault="00B60E93" w:rsidP="00B60E93">
            <w:pPr>
              <w:pStyle w:val="a9"/>
              <w:numPr>
                <w:ilvl w:val="0"/>
                <w:numId w:val="30"/>
              </w:numPr>
              <w:overflowPunct w:val="0"/>
              <w:autoSpaceDE w:val="0"/>
              <w:autoSpaceDN w:val="0"/>
              <w:adjustRightInd w:val="0"/>
              <w:contextualSpacing w:val="0"/>
              <w:rPr>
                <w:rFonts w:eastAsiaTheme="minorEastAsia"/>
                <w:lang w:val="en-US" w:eastAsia="zh-CN"/>
              </w:rPr>
            </w:pPr>
            <w:r>
              <w:rPr>
                <w:rFonts w:eastAsiaTheme="minorEastAsia"/>
                <w:lang w:val="en-US" w:eastAsia="zh-CN"/>
              </w:rPr>
              <w:t>Option 1:</w:t>
            </w:r>
            <w:r>
              <w:rPr>
                <w:rFonts w:eastAsiaTheme="minorEastAsia"/>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B60E93">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hideMark/>
                </w:tcPr>
                <w:p w:rsidR="00B60E93" w:rsidRDefault="00B60E93">
                  <w:pPr>
                    <w:spacing w:after="0"/>
                    <w:jc w:val="center"/>
                    <w:textAlignment w:val="baseline"/>
                    <w:rPr>
                      <w:sz w:val="24"/>
                      <w:szCs w:val="24"/>
                      <w:lang w:val="en-US" w:eastAsia="zh-CN"/>
                    </w:rPr>
                  </w:pPr>
                  <w:r>
                    <w:rPr>
                      <w:rFonts w:ascii="Arial" w:hAnsi="Arial" w:cs="Arial"/>
                      <w:b/>
                      <w:sz w:val="18"/>
                      <w:szCs w:val="18"/>
                      <w:lang w:eastAsia="zh-CN"/>
                    </w:rPr>
                    <w:t>DRX cycle length [s]</w:t>
                  </w:r>
                  <w:r>
                    <w:rPr>
                      <w:rFonts w:ascii="Arial" w:hAnsi="Arial" w:cs="Arial"/>
                      <w:sz w:val="18"/>
                      <w:szCs w:val="18"/>
                      <w:lang w:eastAsia="zh-CN"/>
                    </w:rPr>
                    <w:t> </w:t>
                  </w:r>
                </w:p>
              </w:tc>
              <w:tc>
                <w:tcPr>
                  <w:tcW w:w="1460" w:type="dxa"/>
                  <w:vMerge w:val="restart"/>
                  <w:tcBorders>
                    <w:top w:val="single" w:sz="6" w:space="0" w:color="auto"/>
                    <w:left w:val="single" w:sz="6" w:space="0" w:color="auto"/>
                    <w:bottom w:val="single" w:sz="6" w:space="0" w:color="auto"/>
                    <w:right w:val="single" w:sz="6" w:space="0" w:color="auto"/>
                  </w:tcBorders>
                  <w:hideMark/>
                </w:tcPr>
                <w:p w:rsidR="00B60E93" w:rsidRDefault="00B60E93">
                  <w:pPr>
                    <w:spacing w:after="0"/>
                    <w:jc w:val="center"/>
                    <w:textAlignment w:val="baseline"/>
                    <w:rPr>
                      <w:sz w:val="24"/>
                      <w:lang w:eastAsia="zh-CN"/>
                    </w:rPr>
                  </w:pPr>
                  <w:proofErr w:type="spellStart"/>
                  <w:r>
                    <w:rPr>
                      <w:rFonts w:ascii="Arial" w:hAnsi="Arial" w:cs="Arial"/>
                      <w:b/>
                      <w:sz w:val="18"/>
                      <w:szCs w:val="18"/>
                      <w:lang w:eastAsia="zh-CN"/>
                    </w:rPr>
                    <w:t>T</w:t>
                  </w:r>
                  <w:r>
                    <w:rPr>
                      <w:rFonts w:ascii="Arial" w:hAnsi="Arial" w:cs="Arial"/>
                      <w:b/>
                      <w:sz w:val="14"/>
                      <w:szCs w:val="14"/>
                      <w:vertAlign w:val="subscript"/>
                      <w:lang w:eastAsia="zh-CN"/>
                    </w:rPr>
                    <w:t>detect,NR_Intra</w:t>
                  </w:r>
                  <w:proofErr w:type="spellEnd"/>
                  <w:r>
                    <w:rPr>
                      <w:rFonts w:ascii="Arial" w:hAnsi="Arial" w:cs="Arial"/>
                      <w:b/>
                      <w:sz w:val="18"/>
                      <w:szCs w:val="18"/>
                      <w:lang w:eastAsia="zh-CN"/>
                    </w:rPr>
                    <w:t> [s] (number of DRX cycles)</w:t>
                  </w:r>
                  <w:r>
                    <w:rPr>
                      <w:rFonts w:ascii="Arial" w:hAnsi="Arial" w:cs="Arial"/>
                      <w:sz w:val="18"/>
                      <w:szCs w:val="18"/>
                      <w:lang w:eastAsia="zh-CN"/>
                    </w:rPr>
                    <w:t> </w:t>
                  </w:r>
                </w:p>
              </w:tc>
              <w:tc>
                <w:tcPr>
                  <w:tcW w:w="1526" w:type="dxa"/>
                  <w:vMerge w:val="restart"/>
                  <w:tcBorders>
                    <w:top w:val="single" w:sz="6" w:space="0" w:color="auto"/>
                    <w:left w:val="single" w:sz="6" w:space="0" w:color="auto"/>
                    <w:bottom w:val="single" w:sz="6" w:space="0" w:color="auto"/>
                    <w:right w:val="single" w:sz="6" w:space="0" w:color="auto"/>
                  </w:tcBorders>
                  <w:hideMark/>
                </w:tcPr>
                <w:p w:rsidR="00B60E93" w:rsidRDefault="00B60E93">
                  <w:pPr>
                    <w:spacing w:after="0"/>
                    <w:jc w:val="center"/>
                    <w:textAlignment w:val="baseline"/>
                    <w:rPr>
                      <w:sz w:val="24"/>
                      <w:lang w:eastAsia="zh-CN"/>
                    </w:rPr>
                  </w:pPr>
                  <w:proofErr w:type="spellStart"/>
                  <w:r>
                    <w:rPr>
                      <w:rFonts w:ascii="Arial" w:hAnsi="Arial" w:cs="Arial"/>
                      <w:b/>
                      <w:sz w:val="18"/>
                      <w:szCs w:val="18"/>
                      <w:lang w:eastAsia="zh-CN"/>
                    </w:rPr>
                    <w:t>T</w:t>
                  </w:r>
                  <w:r>
                    <w:rPr>
                      <w:rFonts w:ascii="Arial" w:hAnsi="Arial" w:cs="Arial"/>
                      <w:b/>
                      <w:sz w:val="14"/>
                      <w:szCs w:val="14"/>
                      <w:vertAlign w:val="subscript"/>
                      <w:lang w:eastAsia="zh-CN"/>
                    </w:rPr>
                    <w:t>measure,NR_Intra</w:t>
                  </w:r>
                  <w:proofErr w:type="spellEnd"/>
                  <w:r>
                    <w:rPr>
                      <w:rFonts w:ascii="Arial" w:hAnsi="Arial" w:cs="Arial"/>
                      <w:b/>
                      <w:sz w:val="18"/>
                      <w:szCs w:val="18"/>
                      <w:lang w:eastAsia="zh-CN"/>
                    </w:rPr>
                    <w:t> [s] (number of DRX cycles)</w:t>
                  </w:r>
                  <w:r>
                    <w:rPr>
                      <w:rFonts w:ascii="Arial" w:hAnsi="Arial" w:cs="Arial"/>
                      <w:sz w:val="18"/>
                      <w:szCs w:val="18"/>
                      <w:lang w:eastAsia="zh-CN"/>
                    </w:rPr>
                    <w:t> </w:t>
                  </w:r>
                </w:p>
              </w:tc>
              <w:tc>
                <w:tcPr>
                  <w:tcW w:w="1386" w:type="dxa"/>
                  <w:vMerge w:val="restart"/>
                  <w:tcBorders>
                    <w:top w:val="single" w:sz="6" w:space="0" w:color="auto"/>
                    <w:left w:val="single" w:sz="6" w:space="0" w:color="auto"/>
                    <w:bottom w:val="single" w:sz="6" w:space="0" w:color="auto"/>
                    <w:right w:val="single" w:sz="6" w:space="0" w:color="auto"/>
                  </w:tcBorders>
                  <w:hideMark/>
                </w:tcPr>
                <w:p w:rsidR="00B60E93" w:rsidRDefault="00B60E93">
                  <w:pPr>
                    <w:spacing w:after="0"/>
                    <w:jc w:val="center"/>
                    <w:textAlignment w:val="baseline"/>
                    <w:rPr>
                      <w:sz w:val="24"/>
                      <w:lang w:eastAsia="zh-CN"/>
                    </w:rPr>
                  </w:pPr>
                  <w:proofErr w:type="spellStart"/>
                  <w:r>
                    <w:rPr>
                      <w:rFonts w:ascii="Arial" w:hAnsi="Arial" w:cs="Arial"/>
                      <w:b/>
                      <w:sz w:val="18"/>
                      <w:szCs w:val="18"/>
                      <w:lang w:eastAsia="zh-CN"/>
                    </w:rPr>
                    <w:t>T</w:t>
                  </w:r>
                  <w:r>
                    <w:rPr>
                      <w:rFonts w:ascii="Arial" w:hAnsi="Arial" w:cs="Arial"/>
                      <w:b/>
                      <w:sz w:val="14"/>
                      <w:szCs w:val="14"/>
                      <w:vertAlign w:val="subscript"/>
                      <w:lang w:eastAsia="zh-CN"/>
                    </w:rPr>
                    <w:t>evaluate,NR_Intra</w:t>
                  </w:r>
                  <w:proofErr w:type="spellEnd"/>
                  <w:r>
                    <w:rPr>
                      <w:rFonts w:ascii="Arial" w:hAnsi="Arial" w:cs="Arial"/>
                      <w:sz w:val="14"/>
                      <w:szCs w:val="14"/>
                      <w:lang w:eastAsia="zh-CN"/>
                    </w:rPr>
                    <w:t> </w:t>
                  </w:r>
                </w:p>
                <w:p w:rsidR="00B60E93" w:rsidRDefault="00B60E93">
                  <w:pPr>
                    <w:spacing w:after="0"/>
                    <w:jc w:val="center"/>
                    <w:textAlignment w:val="baseline"/>
                    <w:rPr>
                      <w:sz w:val="24"/>
                      <w:lang w:eastAsia="zh-CN"/>
                    </w:rPr>
                  </w:pPr>
                  <w:r>
                    <w:rPr>
                      <w:rFonts w:ascii="Arial" w:hAnsi="Arial" w:cs="Arial"/>
                      <w:b/>
                      <w:sz w:val="18"/>
                      <w:szCs w:val="18"/>
                      <w:lang w:eastAsia="zh-CN"/>
                    </w:rPr>
                    <w:t>[s] (number of DRX cycles)</w:t>
                  </w:r>
                  <w:r>
                    <w:rPr>
                      <w:rFonts w:ascii="Arial" w:hAnsi="Arial" w:cs="Arial"/>
                      <w:sz w:val="18"/>
                      <w:szCs w:val="18"/>
                      <w:lang w:eastAsia="zh-CN"/>
                    </w:rPr>
                    <w:t> </w:t>
                  </w:r>
                </w:p>
              </w:tc>
            </w:tr>
            <w:tr w:rsidR="00B60E93">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B60E93" w:rsidRDefault="00B60E93">
                  <w:pPr>
                    <w:spacing w:after="0"/>
                    <w:rPr>
                      <w:sz w:val="24"/>
                      <w:szCs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60E93" w:rsidRDefault="00B60E93">
                  <w:pPr>
                    <w:spacing w:after="0"/>
                    <w:rPr>
                      <w:sz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60E93" w:rsidRDefault="00B60E93">
                  <w:pPr>
                    <w:spacing w:after="0"/>
                    <w:rPr>
                      <w:sz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60E93" w:rsidRDefault="00B60E93">
                  <w:pPr>
                    <w:spacing w:after="0"/>
                    <w:rPr>
                      <w:sz w:val="24"/>
                      <w:lang w:eastAsia="zh-CN"/>
                    </w:rPr>
                  </w:pPr>
                </w:p>
              </w:tc>
              <w:tc>
                <w:tcPr>
                  <w:tcW w:w="0" w:type="auto"/>
                  <w:tcBorders>
                    <w:top w:val="outset" w:sz="6" w:space="0" w:color="auto"/>
                    <w:left w:val="outset" w:sz="6" w:space="0" w:color="auto"/>
                    <w:bottom w:val="outset" w:sz="6" w:space="0" w:color="auto"/>
                    <w:right w:val="outset" w:sz="6" w:space="0" w:color="auto"/>
                  </w:tcBorders>
                  <w:vAlign w:val="center"/>
                </w:tcPr>
                <w:p w:rsidR="00B60E93" w:rsidRDefault="00B60E93">
                  <w:pPr>
                    <w:rPr>
                      <w:sz w:val="24"/>
                      <w:highlight w:val="green"/>
                      <w:lang w:eastAsia="zh-CN"/>
                    </w:rPr>
                  </w:pPr>
                </w:p>
              </w:tc>
            </w:tr>
            <w:tr w:rsidR="00B60E93">
              <w:trPr>
                <w:jc w:val="center"/>
              </w:trPr>
              <w:tc>
                <w:tcPr>
                  <w:tcW w:w="778" w:type="dxa"/>
                  <w:tcBorders>
                    <w:top w:val="single" w:sz="6" w:space="0" w:color="auto"/>
                    <w:left w:val="single" w:sz="6" w:space="0" w:color="auto"/>
                    <w:bottom w:val="single" w:sz="6" w:space="0" w:color="auto"/>
                    <w:right w:val="single" w:sz="6" w:space="0" w:color="auto"/>
                  </w:tcBorders>
                  <w:hideMark/>
                </w:tcPr>
                <w:p w:rsidR="00B60E93" w:rsidRDefault="00B60E93">
                  <w:pPr>
                    <w:spacing w:after="0"/>
                    <w:jc w:val="center"/>
                    <w:textAlignment w:val="baseline"/>
                    <w:rPr>
                      <w:rFonts w:ascii="Arial" w:hAnsi="Arial" w:cs="Arial"/>
                      <w:sz w:val="18"/>
                      <w:szCs w:val="18"/>
                      <w:lang w:eastAsia="zh-CN"/>
                    </w:rPr>
                  </w:pPr>
                  <w:r>
                    <w:rPr>
                      <w:rStyle w:val="normaltextrun"/>
                      <w:rFonts w:cs="Arial"/>
                      <w:sz w:val="18"/>
                      <w:lang w:eastAsia="zh-CN"/>
                    </w:rPr>
                    <w:t>0.32</w:t>
                  </w:r>
                  <w:r>
                    <w:rPr>
                      <w:rStyle w:val="eop"/>
                      <w:rFonts w:cs="Arial"/>
                      <w:sz w:val="18"/>
                      <w:szCs w:val="18"/>
                      <w:lang w:eastAsia="zh-CN"/>
                    </w:rPr>
                    <w:t> </w:t>
                  </w:r>
                </w:p>
              </w:tc>
              <w:tc>
                <w:tcPr>
                  <w:tcW w:w="1460" w:type="dxa"/>
                  <w:tcBorders>
                    <w:top w:val="single" w:sz="6" w:space="0" w:color="auto"/>
                    <w:left w:val="single" w:sz="6" w:space="0" w:color="auto"/>
                    <w:bottom w:val="single" w:sz="6" w:space="0" w:color="auto"/>
                    <w:right w:val="single" w:sz="6" w:space="0" w:color="auto"/>
                  </w:tcBorders>
                  <w:hideMark/>
                </w:tcPr>
                <w:p w:rsidR="00B60E93" w:rsidRDefault="00B60E93">
                  <w:pPr>
                    <w:spacing w:after="0"/>
                    <w:jc w:val="center"/>
                    <w:textAlignment w:val="baseline"/>
                    <w:rPr>
                      <w:rFonts w:ascii="Arial" w:hAnsi="Arial" w:cs="Arial"/>
                      <w:sz w:val="18"/>
                      <w:szCs w:val="18"/>
                      <w:shd w:val="clear" w:color="auto" w:fill="FFFF00"/>
                      <w:lang w:eastAsia="zh-CN"/>
                    </w:rPr>
                  </w:pPr>
                  <w:r>
                    <w:rPr>
                      <w:lang w:eastAsia="zh-CN"/>
                    </w:rPr>
                    <w:t>[2.</w:t>
                  </w:r>
                  <w:r>
                    <w:rPr>
                      <w:rStyle w:val="normaltextrun"/>
                      <w:rFonts w:cs="Arial"/>
                      <w:sz w:val="18"/>
                      <w:lang w:eastAsia="zh-CN"/>
                    </w:rPr>
                    <w:t>56 x N1 x M2 (8 x N1 x M2)]</w:t>
                  </w:r>
                  <w:r>
                    <w:rPr>
                      <w:rStyle w:val="eop"/>
                      <w:rFonts w:cs="Arial"/>
                      <w:sz w:val="18"/>
                      <w:szCs w:val="18"/>
                      <w:lang w:eastAsia="zh-CN"/>
                    </w:rPr>
                    <w:t> </w:t>
                  </w:r>
                </w:p>
              </w:tc>
              <w:tc>
                <w:tcPr>
                  <w:tcW w:w="1526" w:type="dxa"/>
                  <w:tcBorders>
                    <w:top w:val="single" w:sz="6" w:space="0" w:color="auto"/>
                    <w:left w:val="single" w:sz="6" w:space="0" w:color="auto"/>
                    <w:bottom w:val="single" w:sz="6" w:space="0" w:color="auto"/>
                    <w:right w:val="single" w:sz="6" w:space="0" w:color="auto"/>
                  </w:tcBorders>
                  <w:hideMark/>
                </w:tcPr>
                <w:p w:rsidR="00B60E93" w:rsidRDefault="00B60E93">
                  <w:pPr>
                    <w:spacing w:after="0"/>
                    <w:jc w:val="center"/>
                    <w:textAlignment w:val="baseline"/>
                    <w:rPr>
                      <w:rFonts w:ascii="Arial" w:hAnsi="Arial" w:cs="Arial"/>
                      <w:sz w:val="18"/>
                      <w:szCs w:val="18"/>
                      <w:lang w:eastAsia="zh-CN"/>
                    </w:rPr>
                  </w:pPr>
                  <w:r>
                    <w:rPr>
                      <w:rStyle w:val="normaltextrun"/>
                      <w:rFonts w:cs="Arial"/>
                      <w:sz w:val="18"/>
                      <w:lang w:eastAsia="zh-CN"/>
                    </w:rPr>
                    <w:t>[0.32 x N1 x M3 (1 x N1 x M3)</w:t>
                  </w:r>
                  <w:r>
                    <w:rPr>
                      <w:rStyle w:val="eop"/>
                      <w:rFonts w:cs="Arial"/>
                      <w:sz w:val="18"/>
                      <w:szCs w:val="18"/>
                      <w:lang w:eastAsia="zh-CN"/>
                    </w:rPr>
                    <w:t> ]</w:t>
                  </w:r>
                </w:p>
              </w:tc>
              <w:tc>
                <w:tcPr>
                  <w:tcW w:w="1386" w:type="dxa"/>
                  <w:tcBorders>
                    <w:top w:val="single" w:sz="6" w:space="0" w:color="auto"/>
                    <w:left w:val="single" w:sz="6" w:space="0" w:color="auto"/>
                    <w:bottom w:val="single" w:sz="6" w:space="0" w:color="auto"/>
                    <w:right w:val="single" w:sz="6" w:space="0" w:color="auto"/>
                  </w:tcBorders>
                  <w:hideMark/>
                </w:tcPr>
                <w:p w:rsidR="00B60E93" w:rsidRDefault="00B60E93">
                  <w:pPr>
                    <w:spacing w:after="0"/>
                    <w:jc w:val="center"/>
                    <w:textAlignment w:val="baseline"/>
                    <w:rPr>
                      <w:rFonts w:ascii="Arial" w:hAnsi="Arial" w:cs="Arial"/>
                      <w:sz w:val="18"/>
                      <w:szCs w:val="18"/>
                      <w:lang w:eastAsia="zh-CN"/>
                    </w:rPr>
                  </w:pPr>
                  <w:r>
                    <w:rPr>
                      <w:rStyle w:val="normaltextrun"/>
                      <w:rFonts w:cs="Arial"/>
                      <w:sz w:val="18"/>
                      <w:lang w:eastAsia="zh-CN"/>
                    </w:rPr>
                    <w:t>[0.96 x N1 x M4 (3 x M4)</w:t>
                  </w:r>
                  <w:r>
                    <w:rPr>
                      <w:rStyle w:val="eop"/>
                      <w:rFonts w:cs="Arial"/>
                      <w:sz w:val="18"/>
                      <w:szCs w:val="18"/>
                      <w:lang w:eastAsia="zh-CN"/>
                    </w:rPr>
                    <w:t> ]</w:t>
                  </w:r>
                </w:p>
              </w:tc>
              <w:tc>
                <w:tcPr>
                  <w:tcW w:w="0" w:type="auto"/>
                  <w:tcBorders>
                    <w:top w:val="nil"/>
                    <w:left w:val="nil"/>
                    <w:bottom w:val="nil"/>
                    <w:right w:val="outset" w:sz="6" w:space="0" w:color="auto"/>
                  </w:tcBorders>
                  <w:vAlign w:val="center"/>
                </w:tcPr>
                <w:p w:rsidR="00B60E93" w:rsidRDefault="00B60E93">
                  <w:pPr>
                    <w:spacing w:after="0"/>
                    <w:rPr>
                      <w:lang w:eastAsia="zh-CN"/>
                    </w:rPr>
                  </w:pPr>
                </w:p>
              </w:tc>
            </w:tr>
            <w:tr w:rsidR="00B60E93">
              <w:trPr>
                <w:jc w:val="center"/>
              </w:trPr>
              <w:tc>
                <w:tcPr>
                  <w:tcW w:w="5150" w:type="dxa"/>
                  <w:gridSpan w:val="4"/>
                  <w:tcBorders>
                    <w:top w:val="single" w:sz="6" w:space="0" w:color="auto"/>
                    <w:left w:val="single" w:sz="6" w:space="0" w:color="auto"/>
                    <w:bottom w:val="single" w:sz="6" w:space="0" w:color="auto"/>
                    <w:right w:val="single" w:sz="6" w:space="0" w:color="auto"/>
                  </w:tcBorders>
                  <w:hideMark/>
                </w:tcPr>
                <w:p w:rsidR="00B60E93" w:rsidRDefault="00B60E93">
                  <w:pPr>
                    <w:pStyle w:val="TAN"/>
                    <w:rPr>
                      <w:rFonts w:eastAsia="等线"/>
                      <w:lang w:val="en-US" w:eastAsia="zh-CN"/>
                    </w:rPr>
                  </w:pPr>
                  <w:r>
                    <w:rPr>
                      <w:rFonts w:eastAsia="等线"/>
                      <w:lang w:val="en-US" w:eastAsia="zh-CN"/>
                    </w:rPr>
                    <w:lastRenderedPageBreak/>
                    <w:t>Note 1:</w:t>
                  </w:r>
                  <w:r>
                    <w:rPr>
                      <w:lang w:val="en-US" w:eastAsia="zh-CN"/>
                    </w:rPr>
                    <w:tab/>
                  </w:r>
                  <w:r>
                    <w:rPr>
                      <w:rFonts w:eastAsia="等线"/>
                      <w:lang w:val="en-US" w:eastAsia="zh-CN"/>
                    </w:rPr>
                    <w:t xml:space="preserve">when SMTC &lt; = 40 </w:t>
                  </w:r>
                  <w:proofErr w:type="spellStart"/>
                  <w:r>
                    <w:rPr>
                      <w:rFonts w:eastAsia="等线"/>
                      <w:lang w:val="en-US" w:eastAsia="zh-CN"/>
                    </w:rPr>
                    <w:t>ms</w:t>
                  </w:r>
                  <w:proofErr w:type="spellEnd"/>
                  <w:r>
                    <w:rPr>
                      <w:rFonts w:eastAsia="等线"/>
                      <w:lang w:val="en-US" w:eastAsia="zh-CN"/>
                    </w:rPr>
                    <w:t xml:space="preserve">, M2 = M3 = M4 = 1; and when SMTC &gt; 40 </w:t>
                  </w:r>
                  <w:proofErr w:type="spellStart"/>
                  <w:r>
                    <w:rPr>
                      <w:rFonts w:eastAsia="等线"/>
                      <w:lang w:val="en-US" w:eastAsia="zh-CN"/>
                    </w:rPr>
                    <w:t>ms</w:t>
                  </w:r>
                  <w:proofErr w:type="spellEnd"/>
                  <w:r>
                    <w:rPr>
                      <w:rFonts w:eastAsia="等线"/>
                      <w:lang w:val="en-US" w:eastAsia="zh-CN"/>
                    </w:rPr>
                    <w:t>, M2 = 1.5, M3 = M4 = 2</w:t>
                  </w:r>
                </w:p>
                <w:p w:rsidR="00B60E93" w:rsidRDefault="00B60E93">
                  <w:pPr>
                    <w:spacing w:after="0"/>
                    <w:textAlignment w:val="baseline"/>
                    <w:rPr>
                      <w:sz w:val="24"/>
                      <w:lang w:val="en-US" w:eastAsia="zh-CN"/>
                    </w:rPr>
                  </w:pPr>
                  <w:r>
                    <w:rPr>
                      <w:rFonts w:eastAsia="等线"/>
                      <w:lang w:eastAsia="zh-CN"/>
                    </w:rPr>
                    <w:t>Note 2:</w:t>
                  </w:r>
                  <w:r>
                    <w:rPr>
                      <w:lang w:eastAsia="zh-CN"/>
                    </w:rPr>
                    <w:tab/>
                  </w:r>
                  <w:r>
                    <w:rPr>
                      <w:rFonts w:eastAsiaTheme="minorEastAsia"/>
                      <w:lang w:eastAsia="zh-CN"/>
                    </w:rPr>
                    <w:t xml:space="preserve">When </w:t>
                  </w:r>
                  <w:r>
                    <w:rPr>
                      <w:rFonts w:eastAsiaTheme="minorEastAsia"/>
                      <w:i/>
                      <w:iCs/>
                      <w:lang w:eastAsia="zh-CN"/>
                    </w:rPr>
                    <w:t>highSpeedMeasFlag-r16</w:t>
                  </w:r>
                  <w:r>
                    <w:rPr>
                      <w:rFonts w:eastAsiaTheme="minorEastAsia"/>
                      <w:lang w:eastAsia="zh-CN"/>
                    </w:rPr>
                    <w:t xml:space="preserve"> is configured, the requirements apply only to </w:t>
                  </w:r>
                  <w:r>
                    <w:rPr>
                      <w:lang w:eastAsia="zh-CN"/>
                    </w:rPr>
                    <w:t xml:space="preserve">UE supporting either </w:t>
                  </w:r>
                  <w:r>
                    <w:rPr>
                      <w:i/>
                      <w:iCs/>
                      <w:lang w:eastAsia="zh-CN"/>
                    </w:rPr>
                    <w:t xml:space="preserve">measurementEnhancement-r16 </w:t>
                  </w:r>
                  <w:r>
                    <w:rPr>
                      <w:lang w:eastAsia="zh-CN"/>
                    </w:rPr>
                    <w:t>or</w:t>
                  </w:r>
                  <w:r>
                    <w:rPr>
                      <w:i/>
                      <w:iCs/>
                      <w:lang w:eastAsia="zh-CN"/>
                    </w:rPr>
                    <w:t xml:space="preserve"> [intraRAT-MeasurementEnhancement-r16].</w:t>
                  </w:r>
                </w:p>
              </w:tc>
              <w:tc>
                <w:tcPr>
                  <w:tcW w:w="0" w:type="auto"/>
                  <w:tcBorders>
                    <w:top w:val="nil"/>
                    <w:left w:val="nil"/>
                    <w:bottom w:val="outset" w:sz="6" w:space="0" w:color="auto"/>
                    <w:right w:val="outset" w:sz="6" w:space="0" w:color="auto"/>
                  </w:tcBorders>
                  <w:vAlign w:val="center"/>
                </w:tcPr>
                <w:p w:rsidR="00B60E93" w:rsidRDefault="00B60E93">
                  <w:pPr>
                    <w:spacing w:after="0"/>
                    <w:rPr>
                      <w:lang w:eastAsia="zh-CN"/>
                    </w:rPr>
                  </w:pPr>
                </w:p>
              </w:tc>
            </w:tr>
          </w:tbl>
          <w:p w:rsidR="00B60E93" w:rsidRDefault="00B60E93" w:rsidP="00B60E93">
            <w:pPr>
              <w:pStyle w:val="a9"/>
              <w:numPr>
                <w:ilvl w:val="1"/>
                <w:numId w:val="30"/>
              </w:numPr>
              <w:overflowPunct w:val="0"/>
              <w:autoSpaceDE w:val="0"/>
              <w:autoSpaceDN w:val="0"/>
              <w:adjustRightInd w:val="0"/>
              <w:contextualSpacing w:val="0"/>
              <w:rPr>
                <w:rFonts w:eastAsiaTheme="minorEastAsia"/>
                <w:lang w:val="en-US" w:eastAsia="zh-CN"/>
              </w:rPr>
            </w:pPr>
            <w:r>
              <w:rPr>
                <w:rFonts w:eastAsiaTheme="minorEastAsia"/>
                <w:lang w:val="en-US" w:eastAsia="zh-CN"/>
              </w:rPr>
              <w:t>Option 1-a: N1 = 3</w:t>
            </w:r>
          </w:p>
          <w:p w:rsidR="00B60E93" w:rsidRDefault="00B60E93" w:rsidP="00B60E93">
            <w:pPr>
              <w:pStyle w:val="a9"/>
              <w:numPr>
                <w:ilvl w:val="1"/>
                <w:numId w:val="30"/>
              </w:numPr>
              <w:overflowPunct w:val="0"/>
              <w:autoSpaceDE w:val="0"/>
              <w:autoSpaceDN w:val="0"/>
              <w:adjustRightInd w:val="0"/>
              <w:contextualSpacing w:val="0"/>
              <w:rPr>
                <w:rFonts w:eastAsiaTheme="minorEastAsia"/>
                <w:lang w:val="en-US" w:eastAsia="zh-CN"/>
              </w:rPr>
            </w:pPr>
            <w:r>
              <w:rPr>
                <w:rFonts w:eastAsiaTheme="minorEastAsia"/>
                <w:lang w:val="en-US" w:eastAsia="zh-CN"/>
              </w:rPr>
              <w:t>Option 1-b: N1 refers to the agreed Rx numbers</w:t>
            </w:r>
          </w:p>
          <w:p w:rsidR="00B60E93" w:rsidRDefault="00B60E93" w:rsidP="00B60E93">
            <w:pPr>
              <w:pStyle w:val="a9"/>
              <w:numPr>
                <w:ilvl w:val="0"/>
                <w:numId w:val="30"/>
              </w:numPr>
              <w:overflowPunct w:val="0"/>
              <w:autoSpaceDE w:val="0"/>
              <w:autoSpaceDN w:val="0"/>
              <w:adjustRightInd w:val="0"/>
              <w:contextualSpacing w:val="0"/>
              <w:rPr>
                <w:rFonts w:eastAsiaTheme="minorEastAsia"/>
                <w:lang w:val="en-US" w:eastAsia="zh-CN"/>
              </w:rPr>
            </w:pPr>
            <w:r>
              <w:rPr>
                <w:rFonts w:eastAsiaTheme="minorEastAsia"/>
                <w:lang w:val="en-US" w:eastAsia="zh-CN"/>
              </w:rPr>
              <w:t>Option 2: N1 refers to the agreed Rx numbers</w:t>
            </w:r>
          </w:p>
          <w:p w:rsidR="00B60E93" w:rsidRDefault="00B60E93" w:rsidP="00B60E93">
            <w:pPr>
              <w:pStyle w:val="a9"/>
              <w:numPr>
                <w:ilvl w:val="0"/>
                <w:numId w:val="30"/>
              </w:numPr>
              <w:overflowPunct w:val="0"/>
              <w:autoSpaceDE w:val="0"/>
              <w:autoSpaceDN w:val="0"/>
              <w:adjustRightInd w:val="0"/>
              <w:contextualSpacing w:val="0"/>
              <w:rPr>
                <w:rFonts w:eastAsiaTheme="minorEastAsia"/>
                <w:lang w:val="en-US" w:eastAsia="zh-CN"/>
              </w:rPr>
            </w:pPr>
            <w:r>
              <w:rPr>
                <w:rFonts w:eastAsiaTheme="minorEastAsia"/>
                <w:lang w:val="en-US" w:eastAsia="zh-CN"/>
              </w:rPr>
              <w:t>Other options/enhancements are not precluded</w:t>
            </w:r>
          </w:p>
        </w:tc>
      </w:tr>
    </w:tbl>
    <w:p w:rsidR="00AE20E8" w:rsidRDefault="00AE20E8" w:rsidP="007F6A1F">
      <w:pPr>
        <w:spacing w:after="120"/>
        <w:rPr>
          <w:rFonts w:eastAsia="宋体"/>
          <w:lang w:val="en-US" w:eastAsia="zh-CN"/>
        </w:rPr>
      </w:pPr>
    </w:p>
    <w:p w:rsidR="00FC5174" w:rsidRDefault="00FC5174" w:rsidP="00FC5174">
      <w:pPr>
        <w:spacing w:after="120"/>
        <w:rPr>
          <w:rFonts w:eastAsia="宋体"/>
          <w:lang w:val="en-US" w:eastAsia="zh-CN"/>
        </w:rPr>
      </w:pPr>
      <w:r>
        <w:rPr>
          <w:rFonts w:eastAsia="宋体"/>
          <w:lang w:val="en-US" w:eastAsia="zh-CN"/>
        </w:rPr>
        <w:t xml:space="preserve">In our view, option 1-b and option 2 are the same. In the above table, the </w:t>
      </w:r>
      <w:proofErr w:type="spellStart"/>
      <w:r>
        <w:t>T</w:t>
      </w:r>
      <w:r>
        <w:rPr>
          <w:vertAlign w:val="subscript"/>
        </w:rPr>
        <w:t>detect</w:t>
      </w:r>
      <w:proofErr w:type="gramStart"/>
      <w:r>
        <w:rPr>
          <w:vertAlign w:val="subscript"/>
        </w:rPr>
        <w: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r>
        <w:rPr>
          <w:vertAlign w:val="subscript"/>
        </w:rPr>
        <w:t xml:space="preserve"> </w:t>
      </w:r>
      <w:r>
        <w:rPr>
          <w:rFonts w:eastAsia="宋体"/>
          <w:lang w:val="en-US" w:eastAsia="zh-CN"/>
        </w:rPr>
        <w:t xml:space="preserve">are the scaled N1 to R16 FR1 HST requirements. It is agreed that HST FR2 only applicable for 320ms DRX. Considering the maximum RX beam number is 6, UE works for cell detection inside the cell. We support option 1-b and option 2. </w:t>
      </w:r>
    </w:p>
    <w:p w:rsidR="00FC5174" w:rsidRPr="00FC5174" w:rsidRDefault="00FC5174" w:rsidP="00FC5174">
      <w:pPr>
        <w:spacing w:after="120"/>
        <w:rPr>
          <w:rFonts w:eastAsia="宋体"/>
          <w:b/>
          <w:lang w:val="en-US" w:eastAsia="zh-CN"/>
        </w:rPr>
      </w:pPr>
      <w:r w:rsidRPr="00FC5174">
        <w:rPr>
          <w:rFonts w:eastAsia="宋体"/>
          <w:b/>
          <w:lang w:val="en-US" w:eastAsia="zh-CN"/>
        </w:rPr>
        <w:t xml:space="preserve">Proposal 4: Define two sets of requirements for </w:t>
      </w:r>
      <w:proofErr w:type="spellStart"/>
      <w:r w:rsidRPr="00FC5174">
        <w:rPr>
          <w:b/>
        </w:rPr>
        <w:t>T</w:t>
      </w:r>
      <w:r w:rsidRPr="00FC5174">
        <w:rPr>
          <w:b/>
          <w:vertAlign w:val="subscript"/>
        </w:rPr>
        <w:t>detect</w:t>
      </w:r>
      <w:proofErr w:type="gramStart"/>
      <w:r w:rsidRPr="00FC5174">
        <w:rPr>
          <w:b/>
          <w:vertAlign w:val="subscript"/>
        </w:rPr>
        <w:t>,NR</w:t>
      </w:r>
      <w:proofErr w:type="gramEnd"/>
      <w:r w:rsidRPr="00FC5174">
        <w:rPr>
          <w:b/>
          <w:vertAlign w:val="subscript"/>
        </w:rPr>
        <w:t>_Intra</w:t>
      </w:r>
      <w:proofErr w:type="spellEnd"/>
      <w:r w:rsidRPr="00FC5174">
        <w:rPr>
          <w:b/>
          <w:vertAlign w:val="subscript"/>
        </w:rPr>
        <w:t>,</w:t>
      </w:r>
      <w:r w:rsidRPr="00FC5174">
        <w:rPr>
          <w:b/>
        </w:rPr>
        <w:t xml:space="preserve"> </w:t>
      </w:r>
      <w:proofErr w:type="spellStart"/>
      <w:r w:rsidRPr="00FC5174">
        <w:rPr>
          <w:b/>
        </w:rPr>
        <w:t>T</w:t>
      </w:r>
      <w:r w:rsidRPr="00FC5174">
        <w:rPr>
          <w:b/>
          <w:vertAlign w:val="subscript"/>
        </w:rPr>
        <w:t>measure,NR_Intra</w:t>
      </w:r>
      <w:proofErr w:type="spellEnd"/>
      <w:r w:rsidRPr="00FC5174">
        <w:rPr>
          <w:b/>
        </w:rPr>
        <w:t xml:space="preserve"> and </w:t>
      </w:r>
      <w:proofErr w:type="spellStart"/>
      <w:r w:rsidRPr="00FC5174">
        <w:rPr>
          <w:b/>
        </w:rPr>
        <w:t>T</w:t>
      </w:r>
      <w:r w:rsidRPr="00FC5174">
        <w:rPr>
          <w:b/>
          <w:vertAlign w:val="subscript"/>
        </w:rPr>
        <w:t>evaluate,NR_Intra</w:t>
      </w:r>
      <w:proofErr w:type="spellEnd"/>
      <w:r w:rsidRPr="00FC5174">
        <w:rPr>
          <w:rFonts w:eastAsia="宋体"/>
          <w:b/>
          <w:lang w:val="en-US" w:eastAsia="zh-CN"/>
        </w:rPr>
        <w:t xml:space="preserve"> . N1 refers to the agreed Rx numbers. </w:t>
      </w:r>
    </w:p>
    <w:p w:rsidR="00FC5174" w:rsidRPr="00FC5174" w:rsidRDefault="00FC5174" w:rsidP="007F6A1F">
      <w:pPr>
        <w:spacing w:after="120"/>
        <w:rPr>
          <w:rFonts w:eastAsia="宋体"/>
          <w:lang w:eastAsia="zh-CN"/>
        </w:rPr>
      </w:pP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CD3476" w:rsidRDefault="00CD3476" w:rsidP="00CD3476">
      <w:r>
        <w:t>In this contribution</w:t>
      </w:r>
      <w:r>
        <w:rPr>
          <w:lang w:eastAsia="zh-CN"/>
        </w:rPr>
        <w:t xml:space="preserve">, we provide further consideration of open issues for </w:t>
      </w:r>
      <w:r>
        <w:rPr>
          <w:rFonts w:eastAsia="MS Mincho"/>
          <w:lang w:val="en-US"/>
        </w:rPr>
        <w:t>mobility requirements</w:t>
      </w:r>
      <w:r>
        <w:rPr>
          <w:bCs/>
          <w:lang w:eastAsia="zh-CN"/>
        </w:rPr>
        <w:t xml:space="preserve"> </w:t>
      </w:r>
      <w:r>
        <w:rPr>
          <w:lang w:eastAsia="zh-CN"/>
        </w:rPr>
        <w:t xml:space="preserve">and </w:t>
      </w:r>
      <w:r>
        <w:t>present our proposals as below:</w:t>
      </w:r>
    </w:p>
    <w:p w:rsidR="00AA6AAB" w:rsidRDefault="00AA6AAB" w:rsidP="00AA6AAB">
      <w:pPr>
        <w:spacing w:after="120"/>
        <w:rPr>
          <w:rFonts w:eastAsiaTheme="minorEastAsia"/>
          <w:b/>
          <w:lang w:val="en-US" w:eastAsia="zh-CN"/>
        </w:rPr>
      </w:pPr>
      <w:r w:rsidRPr="00AA6AAB">
        <w:rPr>
          <w:rFonts w:eastAsiaTheme="minorEastAsia"/>
          <w:b/>
          <w:lang w:val="en-US" w:eastAsia="zh-CN"/>
        </w:rPr>
        <w:t xml:space="preserve">Proposal 1: Use the same DRX upper round for both Set1 and Set2. </w:t>
      </w:r>
    </w:p>
    <w:p w:rsidR="00AA6AAB" w:rsidRDefault="00AA6AAB" w:rsidP="00AA6AAB">
      <w:pPr>
        <w:spacing w:after="120"/>
        <w:rPr>
          <w:rFonts w:eastAsiaTheme="minorEastAsia"/>
          <w:b/>
          <w:bCs/>
          <w:lang w:eastAsia="zh-CN"/>
        </w:rPr>
      </w:pPr>
      <w:r w:rsidRPr="00AA6AAB">
        <w:rPr>
          <w:rFonts w:eastAsiaTheme="minorEastAsia"/>
          <w:b/>
          <w:lang w:val="en-US" w:eastAsia="zh-CN"/>
        </w:rPr>
        <w:t xml:space="preserve">Proposal 2: </w:t>
      </w:r>
      <w:r w:rsidRPr="00AA6AAB">
        <w:rPr>
          <w:b/>
          <w:bCs/>
        </w:rPr>
        <w:t>The same M2 can be used in Scenario-B with two-side RRH.</w:t>
      </w:r>
    </w:p>
    <w:p w:rsidR="00ED3B80" w:rsidRPr="00ED3B80" w:rsidRDefault="00ED3B80" w:rsidP="00ED3B80">
      <w:pPr>
        <w:jc w:val="both"/>
        <w:rPr>
          <w:rFonts w:eastAsiaTheme="minorEastAsia"/>
          <w:b/>
          <w:lang w:eastAsia="zh-CN"/>
        </w:rPr>
      </w:pPr>
      <w:r w:rsidRPr="00ED3B80">
        <w:rPr>
          <w:rFonts w:eastAsiaTheme="minorEastAsia" w:hint="eastAsia"/>
          <w:b/>
          <w:lang w:eastAsia="zh-CN"/>
        </w:rPr>
        <w:t xml:space="preserve">Proposal 3: </w:t>
      </w:r>
      <w:r w:rsidRPr="00ED3B80">
        <w:rPr>
          <w:b/>
        </w:rPr>
        <w:t xml:space="preserve">For the potential mobility issue when the train is travelling direction is opposite to the serving beam orientation, it </w:t>
      </w:r>
      <w:r w:rsidRPr="00ED3B80">
        <w:rPr>
          <w:rFonts w:eastAsiaTheme="minorEastAsia" w:hint="eastAsia"/>
          <w:b/>
          <w:lang w:eastAsia="zh-CN"/>
        </w:rPr>
        <w:t>can</w:t>
      </w:r>
      <w:r w:rsidRPr="00ED3B80">
        <w:rPr>
          <w:b/>
        </w:rPr>
        <w:t xml:space="preserve"> be resolved by using proper event offset in NW</w:t>
      </w:r>
      <w:r w:rsidRPr="00ED3B80">
        <w:rPr>
          <w:rFonts w:eastAsiaTheme="minorEastAsia" w:hint="eastAsia"/>
          <w:b/>
          <w:lang w:eastAsia="zh-CN"/>
        </w:rPr>
        <w:t xml:space="preserve"> if NW knows the UE moving direction. </w:t>
      </w:r>
    </w:p>
    <w:p w:rsidR="00FC5174" w:rsidRPr="00FC5174" w:rsidRDefault="00FC5174" w:rsidP="00FC5174">
      <w:pPr>
        <w:spacing w:after="120"/>
        <w:rPr>
          <w:rFonts w:eastAsia="宋体"/>
          <w:b/>
          <w:lang w:val="en-US" w:eastAsia="zh-CN"/>
        </w:rPr>
      </w:pPr>
      <w:r w:rsidRPr="00FC5174">
        <w:rPr>
          <w:rFonts w:eastAsia="宋体"/>
          <w:b/>
          <w:lang w:val="en-US" w:eastAsia="zh-CN"/>
        </w:rPr>
        <w:t xml:space="preserve">Proposal 4: Define two sets of requirements for </w:t>
      </w:r>
      <w:proofErr w:type="spellStart"/>
      <w:r w:rsidRPr="00FC5174">
        <w:rPr>
          <w:b/>
        </w:rPr>
        <w:t>T</w:t>
      </w:r>
      <w:r w:rsidRPr="00FC5174">
        <w:rPr>
          <w:b/>
          <w:vertAlign w:val="subscript"/>
        </w:rPr>
        <w:t>detect,NR_Intra</w:t>
      </w:r>
      <w:proofErr w:type="spellEnd"/>
      <w:r w:rsidRPr="00FC5174">
        <w:rPr>
          <w:b/>
          <w:vertAlign w:val="subscript"/>
        </w:rPr>
        <w:t>,</w:t>
      </w:r>
      <w:r w:rsidRPr="00FC5174">
        <w:rPr>
          <w:b/>
        </w:rPr>
        <w:t xml:space="preserve"> </w:t>
      </w:r>
      <w:proofErr w:type="spellStart"/>
      <w:r w:rsidRPr="00FC5174">
        <w:rPr>
          <w:b/>
        </w:rPr>
        <w:t>T</w:t>
      </w:r>
      <w:r w:rsidRPr="00FC5174">
        <w:rPr>
          <w:b/>
          <w:vertAlign w:val="subscript"/>
        </w:rPr>
        <w:t>measure,NR_Intra</w:t>
      </w:r>
      <w:proofErr w:type="spellEnd"/>
      <w:r w:rsidRPr="00FC5174">
        <w:rPr>
          <w:b/>
        </w:rPr>
        <w:t xml:space="preserve"> and </w:t>
      </w:r>
      <w:proofErr w:type="spellStart"/>
      <w:r w:rsidRPr="00FC5174">
        <w:rPr>
          <w:b/>
        </w:rPr>
        <w:t>T</w:t>
      </w:r>
      <w:r w:rsidRPr="00FC5174">
        <w:rPr>
          <w:b/>
          <w:vertAlign w:val="subscript"/>
        </w:rPr>
        <w:t>evaluate,NR_Intra</w:t>
      </w:r>
      <w:proofErr w:type="spellEnd"/>
      <w:r w:rsidRPr="00FC5174">
        <w:rPr>
          <w:rFonts w:eastAsia="宋体"/>
          <w:b/>
          <w:lang w:val="en-US" w:eastAsia="zh-CN"/>
        </w:rPr>
        <w:t xml:space="preserve"> . N1 refers to the agreed Rx numbers. </w:t>
      </w:r>
    </w:p>
    <w:p w:rsidR="00BD1A59" w:rsidRPr="00AA6AAB" w:rsidRDefault="00BD1A59" w:rsidP="00AE20E8">
      <w:pPr>
        <w:rPr>
          <w:rFonts w:eastAsia="宋体"/>
          <w:lang w:val="en-US" w:eastAsia="zh-CN"/>
        </w:rPr>
      </w:pP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9C5615" w:rsidRDefault="00493200" w:rsidP="00585571">
      <w:r w:rsidRPr="00DF0883">
        <w:t>[</w:t>
      </w:r>
      <w:r w:rsidRPr="00DF0883">
        <w:rPr>
          <w:rFonts w:eastAsiaTheme="minorEastAsia"/>
          <w:lang w:eastAsia="zh-CN"/>
        </w:rPr>
        <w:t>1</w:t>
      </w:r>
      <w:r w:rsidRPr="00DF0883">
        <w:t xml:space="preserve">] </w:t>
      </w:r>
      <w:r w:rsidRPr="002C6CBA">
        <w:t>R4-</w:t>
      </w:r>
      <w:r w:rsidR="009C5615">
        <w:t>2120292</w:t>
      </w:r>
      <w:r>
        <w:t xml:space="preserve">, WF on </w:t>
      </w:r>
      <w:r w:rsidR="009C5615">
        <w:t>FR2 HST RRM</w:t>
      </w:r>
      <w:r w:rsidR="009C5615" w:rsidRPr="009C5615">
        <w:t xml:space="preserve"> (part 1)</w:t>
      </w:r>
      <w:r>
        <w:t xml:space="preserve">, </w:t>
      </w:r>
      <w:r w:rsidR="009C5615" w:rsidRPr="009C5615">
        <w:t>Nokia, Nokia Shanghai Bell</w:t>
      </w:r>
    </w:p>
    <w:sectPr w:rsidR="00585571" w:rsidRPr="009C561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6BD" w:rsidRDefault="007816BD" w:rsidP="00070CCC">
      <w:pPr>
        <w:spacing w:after="0"/>
      </w:pPr>
      <w:r>
        <w:separator/>
      </w:r>
    </w:p>
  </w:endnote>
  <w:endnote w:type="continuationSeparator" w:id="0">
    <w:p w:rsidR="007816BD" w:rsidRDefault="007816BD"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6BD" w:rsidRDefault="007816BD" w:rsidP="00070CCC">
      <w:pPr>
        <w:spacing w:after="0"/>
      </w:pPr>
      <w:r>
        <w:separator/>
      </w:r>
    </w:p>
  </w:footnote>
  <w:footnote w:type="continuationSeparator" w:id="0">
    <w:p w:rsidR="007816BD" w:rsidRDefault="007816BD"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2D9B"/>
    <w:multiLevelType w:val="hybridMultilevel"/>
    <w:tmpl w:val="C316CEC4"/>
    <w:lvl w:ilvl="0" w:tplc="0409000D">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
    <w:nsid w:val="139B47BD"/>
    <w:multiLevelType w:val="hybridMultilevel"/>
    <w:tmpl w:val="68EA4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3">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4">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5">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6">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7">
    <w:nsid w:val="2F812697"/>
    <w:multiLevelType w:val="hybridMultilevel"/>
    <w:tmpl w:val="4C48BEF4"/>
    <w:lvl w:ilvl="0" w:tplc="20388474">
      <w:start w:val="1"/>
      <w:numFmt w:val="bullet"/>
      <w:lvlText w:val="•"/>
      <w:lvlJc w:val="left"/>
      <w:pPr>
        <w:tabs>
          <w:tab w:val="num" w:pos="360"/>
        </w:tabs>
        <w:ind w:left="360" w:hanging="360"/>
      </w:pPr>
      <w:rPr>
        <w:rFonts w:ascii="Arial" w:hAnsi="Arial"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8">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9">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11">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A4D2FF3"/>
    <w:multiLevelType w:val="hybridMultilevel"/>
    <w:tmpl w:val="4F9EB636"/>
    <w:lvl w:ilvl="0" w:tplc="C45217FA">
      <w:start w:val="1"/>
      <w:numFmt w:val="bullet"/>
      <w:lvlText w:val=""/>
      <w:lvlJc w:val="left"/>
      <w:pPr>
        <w:tabs>
          <w:tab w:val="num" w:pos="720"/>
        </w:tabs>
        <w:ind w:left="720" w:hanging="360"/>
      </w:pPr>
      <w:rPr>
        <w:rFonts w:ascii="Wingdings" w:hAnsi="Wingdings" w:hint="default"/>
      </w:rPr>
    </w:lvl>
    <w:lvl w:ilvl="1" w:tplc="529A3718" w:tentative="1">
      <w:start w:val="1"/>
      <w:numFmt w:val="bullet"/>
      <w:lvlText w:val=""/>
      <w:lvlJc w:val="left"/>
      <w:pPr>
        <w:tabs>
          <w:tab w:val="num" w:pos="1440"/>
        </w:tabs>
        <w:ind w:left="1440" w:hanging="360"/>
      </w:pPr>
      <w:rPr>
        <w:rFonts w:ascii="Wingdings" w:hAnsi="Wingdings" w:hint="default"/>
      </w:rPr>
    </w:lvl>
    <w:lvl w:ilvl="2" w:tplc="0FA69AD2" w:tentative="1">
      <w:start w:val="1"/>
      <w:numFmt w:val="bullet"/>
      <w:lvlText w:val=""/>
      <w:lvlJc w:val="left"/>
      <w:pPr>
        <w:tabs>
          <w:tab w:val="num" w:pos="2160"/>
        </w:tabs>
        <w:ind w:left="2160" w:hanging="360"/>
      </w:pPr>
      <w:rPr>
        <w:rFonts w:ascii="Wingdings" w:hAnsi="Wingdings" w:hint="default"/>
      </w:rPr>
    </w:lvl>
    <w:lvl w:ilvl="3" w:tplc="E56C0E80">
      <w:start w:val="1"/>
      <w:numFmt w:val="bullet"/>
      <w:lvlText w:val=""/>
      <w:lvlJc w:val="left"/>
      <w:pPr>
        <w:tabs>
          <w:tab w:val="num" w:pos="2880"/>
        </w:tabs>
        <w:ind w:left="2880" w:hanging="360"/>
      </w:pPr>
      <w:rPr>
        <w:rFonts w:ascii="Wingdings" w:hAnsi="Wingdings" w:hint="default"/>
      </w:rPr>
    </w:lvl>
    <w:lvl w:ilvl="4" w:tplc="9886C848" w:tentative="1">
      <w:start w:val="1"/>
      <w:numFmt w:val="bullet"/>
      <w:lvlText w:val=""/>
      <w:lvlJc w:val="left"/>
      <w:pPr>
        <w:tabs>
          <w:tab w:val="num" w:pos="3600"/>
        </w:tabs>
        <w:ind w:left="3600" w:hanging="360"/>
      </w:pPr>
      <w:rPr>
        <w:rFonts w:ascii="Wingdings" w:hAnsi="Wingdings" w:hint="default"/>
      </w:rPr>
    </w:lvl>
    <w:lvl w:ilvl="5" w:tplc="1A5C8226" w:tentative="1">
      <w:start w:val="1"/>
      <w:numFmt w:val="bullet"/>
      <w:lvlText w:val=""/>
      <w:lvlJc w:val="left"/>
      <w:pPr>
        <w:tabs>
          <w:tab w:val="num" w:pos="4320"/>
        </w:tabs>
        <w:ind w:left="4320" w:hanging="360"/>
      </w:pPr>
      <w:rPr>
        <w:rFonts w:ascii="Wingdings" w:hAnsi="Wingdings" w:hint="default"/>
      </w:rPr>
    </w:lvl>
    <w:lvl w:ilvl="6" w:tplc="615EBA84" w:tentative="1">
      <w:start w:val="1"/>
      <w:numFmt w:val="bullet"/>
      <w:lvlText w:val=""/>
      <w:lvlJc w:val="left"/>
      <w:pPr>
        <w:tabs>
          <w:tab w:val="num" w:pos="5040"/>
        </w:tabs>
        <w:ind w:left="5040" w:hanging="360"/>
      </w:pPr>
      <w:rPr>
        <w:rFonts w:ascii="Wingdings" w:hAnsi="Wingdings" w:hint="default"/>
      </w:rPr>
    </w:lvl>
    <w:lvl w:ilvl="7" w:tplc="C92C38D8" w:tentative="1">
      <w:start w:val="1"/>
      <w:numFmt w:val="bullet"/>
      <w:lvlText w:val=""/>
      <w:lvlJc w:val="left"/>
      <w:pPr>
        <w:tabs>
          <w:tab w:val="num" w:pos="5760"/>
        </w:tabs>
        <w:ind w:left="5760" w:hanging="360"/>
      </w:pPr>
      <w:rPr>
        <w:rFonts w:ascii="Wingdings" w:hAnsi="Wingdings" w:hint="default"/>
      </w:rPr>
    </w:lvl>
    <w:lvl w:ilvl="8" w:tplc="2BA01A70" w:tentative="1">
      <w:start w:val="1"/>
      <w:numFmt w:val="bullet"/>
      <w:lvlText w:val=""/>
      <w:lvlJc w:val="left"/>
      <w:pPr>
        <w:tabs>
          <w:tab w:val="num" w:pos="6480"/>
        </w:tabs>
        <w:ind w:left="6480" w:hanging="360"/>
      </w:pPr>
      <w:rPr>
        <w:rFonts w:ascii="Wingdings" w:hAnsi="Wingdings" w:hint="default"/>
      </w:rPr>
    </w:lvl>
  </w:abstractNum>
  <w:abstractNum w:abstractNumId="13">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4">
    <w:nsid w:val="58864DB2"/>
    <w:multiLevelType w:val="hybridMultilevel"/>
    <w:tmpl w:val="B4D27C82"/>
    <w:lvl w:ilvl="0" w:tplc="04090009">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8">
    <w:nsid w:val="63173060"/>
    <w:multiLevelType w:val="hybridMultilevel"/>
    <w:tmpl w:val="05888E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21">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8972995"/>
    <w:multiLevelType w:val="hybridMultilevel"/>
    <w:tmpl w:val="07E437CC"/>
    <w:lvl w:ilvl="0" w:tplc="01626EB6">
      <w:start w:val="1"/>
      <w:numFmt w:val="bullet"/>
      <w:lvlText w:val="•"/>
      <w:lvlJc w:val="left"/>
      <w:pPr>
        <w:tabs>
          <w:tab w:val="num" w:pos="720"/>
        </w:tabs>
        <w:ind w:left="720" w:hanging="360"/>
      </w:pPr>
      <w:rPr>
        <w:rFonts w:ascii="Arial" w:hAnsi="Arial" w:hint="default"/>
      </w:rPr>
    </w:lvl>
    <w:lvl w:ilvl="1" w:tplc="D430C204">
      <w:start w:val="1"/>
      <w:numFmt w:val="bullet"/>
      <w:lvlText w:val="•"/>
      <w:lvlJc w:val="left"/>
      <w:pPr>
        <w:tabs>
          <w:tab w:val="num" w:pos="1440"/>
        </w:tabs>
        <w:ind w:left="1440" w:hanging="360"/>
      </w:pPr>
      <w:rPr>
        <w:rFonts w:ascii="Arial" w:hAnsi="Arial" w:hint="default"/>
      </w:rPr>
    </w:lvl>
    <w:lvl w:ilvl="2" w:tplc="C4C0B04A">
      <w:start w:val="3918"/>
      <w:numFmt w:val="bullet"/>
      <w:lvlText w:val=""/>
      <w:lvlJc w:val="left"/>
      <w:pPr>
        <w:tabs>
          <w:tab w:val="num" w:pos="2160"/>
        </w:tabs>
        <w:ind w:left="2160" w:hanging="360"/>
      </w:pPr>
      <w:rPr>
        <w:rFonts w:ascii="Wingdings" w:hAnsi="Wingdings" w:hint="default"/>
      </w:rPr>
    </w:lvl>
    <w:lvl w:ilvl="3" w:tplc="B0508564">
      <w:start w:val="3918"/>
      <w:numFmt w:val="bullet"/>
      <w:lvlText w:val=""/>
      <w:lvlJc w:val="left"/>
      <w:pPr>
        <w:tabs>
          <w:tab w:val="num" w:pos="2880"/>
        </w:tabs>
        <w:ind w:left="2880" w:hanging="360"/>
      </w:pPr>
      <w:rPr>
        <w:rFonts w:ascii="Wingdings" w:hAnsi="Wingdings" w:hint="default"/>
      </w:rPr>
    </w:lvl>
    <w:lvl w:ilvl="4" w:tplc="D0EED4B2" w:tentative="1">
      <w:start w:val="1"/>
      <w:numFmt w:val="bullet"/>
      <w:lvlText w:val="•"/>
      <w:lvlJc w:val="left"/>
      <w:pPr>
        <w:tabs>
          <w:tab w:val="num" w:pos="3600"/>
        </w:tabs>
        <w:ind w:left="3600" w:hanging="360"/>
      </w:pPr>
      <w:rPr>
        <w:rFonts w:ascii="Arial" w:hAnsi="Arial" w:hint="default"/>
      </w:rPr>
    </w:lvl>
    <w:lvl w:ilvl="5" w:tplc="32765814" w:tentative="1">
      <w:start w:val="1"/>
      <w:numFmt w:val="bullet"/>
      <w:lvlText w:val="•"/>
      <w:lvlJc w:val="left"/>
      <w:pPr>
        <w:tabs>
          <w:tab w:val="num" w:pos="4320"/>
        </w:tabs>
        <w:ind w:left="4320" w:hanging="360"/>
      </w:pPr>
      <w:rPr>
        <w:rFonts w:ascii="Arial" w:hAnsi="Arial" w:hint="default"/>
      </w:rPr>
    </w:lvl>
    <w:lvl w:ilvl="6" w:tplc="7DE2BB86" w:tentative="1">
      <w:start w:val="1"/>
      <w:numFmt w:val="bullet"/>
      <w:lvlText w:val="•"/>
      <w:lvlJc w:val="left"/>
      <w:pPr>
        <w:tabs>
          <w:tab w:val="num" w:pos="5040"/>
        </w:tabs>
        <w:ind w:left="5040" w:hanging="360"/>
      </w:pPr>
      <w:rPr>
        <w:rFonts w:ascii="Arial" w:hAnsi="Arial" w:hint="default"/>
      </w:rPr>
    </w:lvl>
    <w:lvl w:ilvl="7" w:tplc="8E68B3EC" w:tentative="1">
      <w:start w:val="1"/>
      <w:numFmt w:val="bullet"/>
      <w:lvlText w:val="•"/>
      <w:lvlJc w:val="left"/>
      <w:pPr>
        <w:tabs>
          <w:tab w:val="num" w:pos="5760"/>
        </w:tabs>
        <w:ind w:left="5760" w:hanging="360"/>
      </w:pPr>
      <w:rPr>
        <w:rFonts w:ascii="Arial" w:hAnsi="Arial" w:hint="default"/>
      </w:rPr>
    </w:lvl>
    <w:lvl w:ilvl="8" w:tplc="10ACFF3A" w:tentative="1">
      <w:start w:val="1"/>
      <w:numFmt w:val="bullet"/>
      <w:lvlText w:val="•"/>
      <w:lvlJc w:val="left"/>
      <w:pPr>
        <w:tabs>
          <w:tab w:val="num" w:pos="6480"/>
        </w:tabs>
        <w:ind w:left="6480" w:hanging="360"/>
      </w:pPr>
      <w:rPr>
        <w:rFonts w:ascii="Arial" w:hAnsi="Arial" w:hint="default"/>
      </w:rPr>
    </w:lvl>
  </w:abstractNum>
  <w:abstractNum w:abstractNumId="23">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24">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
  </w:num>
  <w:num w:numId="5">
    <w:abstractNumId w:val="23"/>
  </w:num>
  <w:num w:numId="6">
    <w:abstractNumId w:val="8"/>
  </w:num>
  <w:num w:numId="7">
    <w:abstractNumId w:val="16"/>
  </w:num>
  <w:num w:numId="8">
    <w:abstractNumId w:val="3"/>
  </w:num>
  <w:num w:numId="9">
    <w:abstractNumId w:val="21"/>
  </w:num>
  <w:num w:numId="10">
    <w:abstractNumId w:val="17"/>
  </w:num>
  <w:num w:numId="11">
    <w:abstractNumId w:val="20"/>
  </w:num>
  <w:num w:numId="12">
    <w:abstractNumId w:val="10"/>
  </w:num>
  <w:num w:numId="13">
    <w:abstractNumId w:val="6"/>
  </w:num>
  <w:num w:numId="14">
    <w:abstractNumId w:val="24"/>
  </w:num>
  <w:num w:numId="15">
    <w:abstractNumId w:val="4"/>
  </w:num>
  <w:num w:numId="16">
    <w:abstractNumId w:val="1"/>
  </w:num>
  <w:num w:numId="17">
    <w:abstractNumId w:val="7"/>
  </w:num>
  <w:num w:numId="18">
    <w:abstractNumId w:val="1"/>
  </w:num>
  <w:num w:numId="19">
    <w:abstractNumId w:val="0"/>
  </w:num>
  <w:num w:numId="20">
    <w:abstractNumId w:val="14"/>
  </w:num>
  <w:num w:numId="21">
    <w:abstractNumId w:val="22"/>
  </w:num>
  <w:num w:numId="22">
    <w:abstractNumId w:val="12"/>
  </w:num>
  <w:num w:numId="23">
    <w:abstractNumId w:val="15"/>
  </w:num>
  <w:num w:numId="24">
    <w:abstractNumId w:val="14"/>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9"/>
  </w:num>
  <w:num w:numId="30">
    <w:abstractNumId w:val="5"/>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413C3"/>
    <w:rsid w:val="00064AEB"/>
    <w:rsid w:val="00070CCC"/>
    <w:rsid w:val="000B64D0"/>
    <w:rsid w:val="000D7CD5"/>
    <w:rsid w:val="000F00AF"/>
    <w:rsid w:val="00125476"/>
    <w:rsid w:val="00136717"/>
    <w:rsid w:val="001377DA"/>
    <w:rsid w:val="00137ADB"/>
    <w:rsid w:val="0016634F"/>
    <w:rsid w:val="00182CD4"/>
    <w:rsid w:val="00195A61"/>
    <w:rsid w:val="001B112E"/>
    <w:rsid w:val="001B4EEF"/>
    <w:rsid w:val="001E6142"/>
    <w:rsid w:val="002442FC"/>
    <w:rsid w:val="00247127"/>
    <w:rsid w:val="00266126"/>
    <w:rsid w:val="00280881"/>
    <w:rsid w:val="00280D85"/>
    <w:rsid w:val="00284C0D"/>
    <w:rsid w:val="002A231F"/>
    <w:rsid w:val="002C2570"/>
    <w:rsid w:val="002E0B24"/>
    <w:rsid w:val="002E2EE6"/>
    <w:rsid w:val="00304840"/>
    <w:rsid w:val="00304BE3"/>
    <w:rsid w:val="0030586D"/>
    <w:rsid w:val="00343E73"/>
    <w:rsid w:val="00380048"/>
    <w:rsid w:val="0039604A"/>
    <w:rsid w:val="003A08ED"/>
    <w:rsid w:val="003D27D3"/>
    <w:rsid w:val="003E5B09"/>
    <w:rsid w:val="003E6F50"/>
    <w:rsid w:val="004306C4"/>
    <w:rsid w:val="004429E7"/>
    <w:rsid w:val="00461DBD"/>
    <w:rsid w:val="00490103"/>
    <w:rsid w:val="00493200"/>
    <w:rsid w:val="004D79C6"/>
    <w:rsid w:val="004E14B1"/>
    <w:rsid w:val="004E3DDD"/>
    <w:rsid w:val="004E6626"/>
    <w:rsid w:val="004F4982"/>
    <w:rsid w:val="005057DD"/>
    <w:rsid w:val="00531EA9"/>
    <w:rsid w:val="0054396F"/>
    <w:rsid w:val="00585571"/>
    <w:rsid w:val="005B2F13"/>
    <w:rsid w:val="005C3277"/>
    <w:rsid w:val="005C42E3"/>
    <w:rsid w:val="005F46C6"/>
    <w:rsid w:val="00610A4E"/>
    <w:rsid w:val="006318D2"/>
    <w:rsid w:val="0065029B"/>
    <w:rsid w:val="0066177B"/>
    <w:rsid w:val="00663897"/>
    <w:rsid w:val="00686358"/>
    <w:rsid w:val="006A3523"/>
    <w:rsid w:val="006B69FD"/>
    <w:rsid w:val="006D1472"/>
    <w:rsid w:val="006D2805"/>
    <w:rsid w:val="006E1271"/>
    <w:rsid w:val="006E72CE"/>
    <w:rsid w:val="006F2098"/>
    <w:rsid w:val="00703528"/>
    <w:rsid w:val="00711D7A"/>
    <w:rsid w:val="00727219"/>
    <w:rsid w:val="007273A7"/>
    <w:rsid w:val="007426C0"/>
    <w:rsid w:val="0075414A"/>
    <w:rsid w:val="007576C0"/>
    <w:rsid w:val="007655C5"/>
    <w:rsid w:val="007816BD"/>
    <w:rsid w:val="007D46C5"/>
    <w:rsid w:val="007F6A1F"/>
    <w:rsid w:val="0080299D"/>
    <w:rsid w:val="00821B20"/>
    <w:rsid w:val="008236F9"/>
    <w:rsid w:val="0083381B"/>
    <w:rsid w:val="00841A3F"/>
    <w:rsid w:val="0086334F"/>
    <w:rsid w:val="0088529F"/>
    <w:rsid w:val="00893654"/>
    <w:rsid w:val="008A1436"/>
    <w:rsid w:val="008B66DE"/>
    <w:rsid w:val="008C361A"/>
    <w:rsid w:val="008D1637"/>
    <w:rsid w:val="008D1CCB"/>
    <w:rsid w:val="008E0DD5"/>
    <w:rsid w:val="00906849"/>
    <w:rsid w:val="00924FBB"/>
    <w:rsid w:val="00957FF7"/>
    <w:rsid w:val="00966BD9"/>
    <w:rsid w:val="00996B8E"/>
    <w:rsid w:val="009C5615"/>
    <w:rsid w:val="009D3161"/>
    <w:rsid w:val="009E4760"/>
    <w:rsid w:val="009E5E32"/>
    <w:rsid w:val="009F526D"/>
    <w:rsid w:val="00A247CD"/>
    <w:rsid w:val="00A4708D"/>
    <w:rsid w:val="00A82F72"/>
    <w:rsid w:val="00AA6AAB"/>
    <w:rsid w:val="00AA7A57"/>
    <w:rsid w:val="00AA7B51"/>
    <w:rsid w:val="00AD1235"/>
    <w:rsid w:val="00AE20E8"/>
    <w:rsid w:val="00AF711D"/>
    <w:rsid w:val="00B2799F"/>
    <w:rsid w:val="00B30EB3"/>
    <w:rsid w:val="00B51CDF"/>
    <w:rsid w:val="00B60E93"/>
    <w:rsid w:val="00B614E8"/>
    <w:rsid w:val="00B8531C"/>
    <w:rsid w:val="00B906C7"/>
    <w:rsid w:val="00BB7B85"/>
    <w:rsid w:val="00BD1A59"/>
    <w:rsid w:val="00BE3187"/>
    <w:rsid w:val="00C230E4"/>
    <w:rsid w:val="00C4727E"/>
    <w:rsid w:val="00C53146"/>
    <w:rsid w:val="00C60FF8"/>
    <w:rsid w:val="00C72933"/>
    <w:rsid w:val="00C931A2"/>
    <w:rsid w:val="00CC3C6E"/>
    <w:rsid w:val="00CD2318"/>
    <w:rsid w:val="00CD3476"/>
    <w:rsid w:val="00CD5C07"/>
    <w:rsid w:val="00CF4D47"/>
    <w:rsid w:val="00D220BA"/>
    <w:rsid w:val="00D41607"/>
    <w:rsid w:val="00D5418A"/>
    <w:rsid w:val="00D548F6"/>
    <w:rsid w:val="00D61B08"/>
    <w:rsid w:val="00D75384"/>
    <w:rsid w:val="00D761E5"/>
    <w:rsid w:val="00D963C7"/>
    <w:rsid w:val="00DB0E87"/>
    <w:rsid w:val="00DC7BB7"/>
    <w:rsid w:val="00DD19C8"/>
    <w:rsid w:val="00DE0C7F"/>
    <w:rsid w:val="00DF0883"/>
    <w:rsid w:val="00DF1F7C"/>
    <w:rsid w:val="00E00E8C"/>
    <w:rsid w:val="00E64574"/>
    <w:rsid w:val="00E67A62"/>
    <w:rsid w:val="00E8576E"/>
    <w:rsid w:val="00E9322A"/>
    <w:rsid w:val="00E949A5"/>
    <w:rsid w:val="00E96379"/>
    <w:rsid w:val="00EA0B2A"/>
    <w:rsid w:val="00EA643A"/>
    <w:rsid w:val="00EB49F6"/>
    <w:rsid w:val="00EB4FA4"/>
    <w:rsid w:val="00EC4261"/>
    <w:rsid w:val="00ED169A"/>
    <w:rsid w:val="00ED3B80"/>
    <w:rsid w:val="00EE4FC8"/>
    <w:rsid w:val="00EF3D20"/>
    <w:rsid w:val="00EF4F1F"/>
    <w:rsid w:val="00F04C6C"/>
    <w:rsid w:val="00F12930"/>
    <w:rsid w:val="00F37E85"/>
    <w:rsid w:val="00F43463"/>
    <w:rsid w:val="00F56ED1"/>
    <w:rsid w:val="00F60988"/>
    <w:rsid w:val="00F63F1C"/>
    <w:rsid w:val="00FA2AA6"/>
    <w:rsid w:val="00FB1567"/>
    <w:rsid w:val="00FC141F"/>
    <w:rsid w:val="00FC5174"/>
    <w:rsid w:val="00FD73FA"/>
    <w:rsid w:val="00FD7537"/>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uiPriority w:val="99"/>
    <w:qFormat/>
    <w:locked/>
    <w:rsid w:val="00DC7BB7"/>
    <w:rPr>
      <w:rFonts w:ascii="Arial" w:hAnsi="Arial" w:cs="Arial"/>
      <w:sz w:val="18"/>
      <w:szCs w:val="18"/>
      <w:lang w:val="en-GB" w:eastAsia="x-none"/>
    </w:rPr>
  </w:style>
  <w:style w:type="paragraph" w:customStyle="1" w:styleId="TAN">
    <w:name w:val="TAN"/>
    <w:basedOn w:val="a"/>
    <w:link w:val="TANChar"/>
    <w:uiPriority w:val="99"/>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 w:type="paragraph" w:styleId="ab">
    <w:name w:val="Balloon Text"/>
    <w:basedOn w:val="a"/>
    <w:link w:val="Char2"/>
    <w:uiPriority w:val="99"/>
    <w:semiHidden/>
    <w:unhideWhenUsed/>
    <w:rsid w:val="0086334F"/>
    <w:pPr>
      <w:spacing w:after="0"/>
    </w:pPr>
    <w:rPr>
      <w:rFonts w:ascii="宋体" w:eastAsia="宋体"/>
      <w:sz w:val="18"/>
      <w:szCs w:val="18"/>
    </w:rPr>
  </w:style>
  <w:style w:type="character" w:customStyle="1" w:styleId="Char2">
    <w:name w:val="批注框文本 Char"/>
    <w:basedOn w:val="a0"/>
    <w:link w:val="ab"/>
    <w:uiPriority w:val="99"/>
    <w:semiHidden/>
    <w:rsid w:val="0086334F"/>
    <w:rPr>
      <w:rFonts w:ascii="宋体" w:eastAsia="宋体" w:hAnsi="Times New Roman" w:cs="Times New Roman"/>
      <w:sz w:val="18"/>
      <w:szCs w:val="18"/>
      <w:lang w:val="en-GB" w:eastAsia="en-US"/>
    </w:rPr>
  </w:style>
  <w:style w:type="character" w:customStyle="1" w:styleId="normaltextrun">
    <w:name w:val="normaltextrun"/>
    <w:basedOn w:val="a0"/>
    <w:qFormat/>
    <w:rsid w:val="00B60E93"/>
  </w:style>
  <w:style w:type="character" w:customStyle="1" w:styleId="eop">
    <w:name w:val="eop"/>
    <w:basedOn w:val="a0"/>
    <w:qFormat/>
    <w:rsid w:val="00B60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uiPriority w:val="99"/>
    <w:qFormat/>
    <w:locked/>
    <w:rsid w:val="00DC7BB7"/>
    <w:rPr>
      <w:rFonts w:ascii="Arial" w:hAnsi="Arial" w:cs="Arial"/>
      <w:sz w:val="18"/>
      <w:szCs w:val="18"/>
      <w:lang w:val="en-GB" w:eastAsia="x-none"/>
    </w:rPr>
  </w:style>
  <w:style w:type="paragraph" w:customStyle="1" w:styleId="TAN">
    <w:name w:val="TAN"/>
    <w:basedOn w:val="a"/>
    <w:link w:val="TANChar"/>
    <w:uiPriority w:val="99"/>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 w:type="paragraph" w:styleId="ab">
    <w:name w:val="Balloon Text"/>
    <w:basedOn w:val="a"/>
    <w:link w:val="Char2"/>
    <w:uiPriority w:val="99"/>
    <w:semiHidden/>
    <w:unhideWhenUsed/>
    <w:rsid w:val="0086334F"/>
    <w:pPr>
      <w:spacing w:after="0"/>
    </w:pPr>
    <w:rPr>
      <w:rFonts w:ascii="宋体" w:eastAsia="宋体"/>
      <w:sz w:val="18"/>
      <w:szCs w:val="18"/>
    </w:rPr>
  </w:style>
  <w:style w:type="character" w:customStyle="1" w:styleId="Char2">
    <w:name w:val="批注框文本 Char"/>
    <w:basedOn w:val="a0"/>
    <w:link w:val="ab"/>
    <w:uiPriority w:val="99"/>
    <w:semiHidden/>
    <w:rsid w:val="0086334F"/>
    <w:rPr>
      <w:rFonts w:ascii="宋体" w:eastAsia="宋体" w:hAnsi="Times New Roman" w:cs="Times New Roman"/>
      <w:sz w:val="18"/>
      <w:szCs w:val="18"/>
      <w:lang w:val="en-GB" w:eastAsia="en-US"/>
    </w:rPr>
  </w:style>
  <w:style w:type="character" w:customStyle="1" w:styleId="normaltextrun">
    <w:name w:val="normaltextrun"/>
    <w:basedOn w:val="a0"/>
    <w:qFormat/>
    <w:rsid w:val="00B60E93"/>
  </w:style>
  <w:style w:type="character" w:customStyle="1" w:styleId="eop">
    <w:name w:val="eop"/>
    <w:basedOn w:val="a0"/>
    <w:qFormat/>
    <w:rsid w:val="00B60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8548">
      <w:bodyDiv w:val="1"/>
      <w:marLeft w:val="0"/>
      <w:marRight w:val="0"/>
      <w:marTop w:val="0"/>
      <w:marBottom w:val="0"/>
      <w:divBdr>
        <w:top w:val="none" w:sz="0" w:space="0" w:color="auto"/>
        <w:left w:val="none" w:sz="0" w:space="0" w:color="auto"/>
        <w:bottom w:val="none" w:sz="0" w:space="0" w:color="auto"/>
        <w:right w:val="none" w:sz="0" w:space="0" w:color="auto"/>
      </w:divBdr>
    </w:div>
    <w:div w:id="78530324">
      <w:bodyDiv w:val="1"/>
      <w:marLeft w:val="0"/>
      <w:marRight w:val="0"/>
      <w:marTop w:val="0"/>
      <w:marBottom w:val="0"/>
      <w:divBdr>
        <w:top w:val="none" w:sz="0" w:space="0" w:color="auto"/>
        <w:left w:val="none" w:sz="0" w:space="0" w:color="auto"/>
        <w:bottom w:val="none" w:sz="0" w:space="0" w:color="auto"/>
        <w:right w:val="none" w:sz="0" w:space="0" w:color="auto"/>
      </w:divBdr>
      <w:divsChild>
        <w:div w:id="2102216272">
          <w:marLeft w:val="2074"/>
          <w:marRight w:val="0"/>
          <w:marTop w:val="260"/>
          <w:marBottom w:val="0"/>
          <w:divBdr>
            <w:top w:val="none" w:sz="0" w:space="0" w:color="auto"/>
            <w:left w:val="none" w:sz="0" w:space="0" w:color="auto"/>
            <w:bottom w:val="none" w:sz="0" w:space="0" w:color="auto"/>
            <w:right w:val="none" w:sz="0" w:space="0" w:color="auto"/>
          </w:divBdr>
        </w:div>
      </w:divsChild>
    </w:div>
    <w:div w:id="269094450">
      <w:bodyDiv w:val="1"/>
      <w:marLeft w:val="0"/>
      <w:marRight w:val="0"/>
      <w:marTop w:val="0"/>
      <w:marBottom w:val="0"/>
      <w:divBdr>
        <w:top w:val="none" w:sz="0" w:space="0" w:color="auto"/>
        <w:left w:val="none" w:sz="0" w:space="0" w:color="auto"/>
        <w:bottom w:val="none" w:sz="0" w:space="0" w:color="auto"/>
        <w:right w:val="none" w:sz="0" w:space="0" w:color="auto"/>
      </w:divBdr>
    </w:div>
    <w:div w:id="371462011">
      <w:bodyDiv w:val="1"/>
      <w:marLeft w:val="0"/>
      <w:marRight w:val="0"/>
      <w:marTop w:val="0"/>
      <w:marBottom w:val="0"/>
      <w:divBdr>
        <w:top w:val="none" w:sz="0" w:space="0" w:color="auto"/>
        <w:left w:val="none" w:sz="0" w:space="0" w:color="auto"/>
        <w:bottom w:val="none" w:sz="0" w:space="0" w:color="auto"/>
        <w:right w:val="none" w:sz="0" w:space="0" w:color="auto"/>
      </w:divBdr>
    </w:div>
    <w:div w:id="414203149">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699209023">
      <w:bodyDiv w:val="1"/>
      <w:marLeft w:val="0"/>
      <w:marRight w:val="0"/>
      <w:marTop w:val="0"/>
      <w:marBottom w:val="0"/>
      <w:divBdr>
        <w:top w:val="none" w:sz="0" w:space="0" w:color="auto"/>
        <w:left w:val="none" w:sz="0" w:space="0" w:color="auto"/>
        <w:bottom w:val="none" w:sz="0" w:space="0" w:color="auto"/>
        <w:right w:val="none" w:sz="0" w:space="0" w:color="auto"/>
      </w:divBdr>
    </w:div>
    <w:div w:id="71751316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11226712">
      <w:bodyDiv w:val="1"/>
      <w:marLeft w:val="0"/>
      <w:marRight w:val="0"/>
      <w:marTop w:val="0"/>
      <w:marBottom w:val="0"/>
      <w:divBdr>
        <w:top w:val="none" w:sz="0" w:space="0" w:color="auto"/>
        <w:left w:val="none" w:sz="0" w:space="0" w:color="auto"/>
        <w:bottom w:val="none" w:sz="0" w:space="0" w:color="auto"/>
        <w:right w:val="none" w:sz="0" w:space="0" w:color="auto"/>
      </w:divBdr>
    </w:div>
    <w:div w:id="1023553004">
      <w:bodyDiv w:val="1"/>
      <w:marLeft w:val="0"/>
      <w:marRight w:val="0"/>
      <w:marTop w:val="0"/>
      <w:marBottom w:val="0"/>
      <w:divBdr>
        <w:top w:val="none" w:sz="0" w:space="0" w:color="auto"/>
        <w:left w:val="none" w:sz="0" w:space="0" w:color="auto"/>
        <w:bottom w:val="none" w:sz="0" w:space="0" w:color="auto"/>
        <w:right w:val="none" w:sz="0" w:space="0" w:color="auto"/>
      </w:divBdr>
      <w:divsChild>
        <w:div w:id="2074547597">
          <w:marLeft w:val="547"/>
          <w:marRight w:val="0"/>
          <w:marTop w:val="86"/>
          <w:marBottom w:val="0"/>
          <w:divBdr>
            <w:top w:val="none" w:sz="0" w:space="0" w:color="auto"/>
            <w:left w:val="none" w:sz="0" w:space="0" w:color="auto"/>
            <w:bottom w:val="none" w:sz="0" w:space="0" w:color="auto"/>
            <w:right w:val="none" w:sz="0" w:space="0" w:color="auto"/>
          </w:divBdr>
        </w:div>
        <w:div w:id="1714191270">
          <w:marLeft w:val="1354"/>
          <w:marRight w:val="0"/>
          <w:marTop w:val="260"/>
          <w:marBottom w:val="0"/>
          <w:divBdr>
            <w:top w:val="none" w:sz="0" w:space="0" w:color="auto"/>
            <w:left w:val="none" w:sz="0" w:space="0" w:color="auto"/>
            <w:bottom w:val="none" w:sz="0" w:space="0" w:color="auto"/>
            <w:right w:val="none" w:sz="0" w:space="0" w:color="auto"/>
          </w:divBdr>
        </w:div>
        <w:div w:id="100690402">
          <w:marLeft w:val="2074"/>
          <w:marRight w:val="0"/>
          <w:marTop w:val="260"/>
          <w:marBottom w:val="0"/>
          <w:divBdr>
            <w:top w:val="none" w:sz="0" w:space="0" w:color="auto"/>
            <w:left w:val="none" w:sz="0" w:space="0" w:color="auto"/>
            <w:bottom w:val="none" w:sz="0" w:space="0" w:color="auto"/>
            <w:right w:val="none" w:sz="0" w:space="0" w:color="auto"/>
          </w:divBdr>
        </w:div>
        <w:div w:id="654771183">
          <w:marLeft w:val="2074"/>
          <w:marRight w:val="0"/>
          <w:marTop w:val="260"/>
          <w:marBottom w:val="0"/>
          <w:divBdr>
            <w:top w:val="none" w:sz="0" w:space="0" w:color="auto"/>
            <w:left w:val="none" w:sz="0" w:space="0" w:color="auto"/>
            <w:bottom w:val="none" w:sz="0" w:space="0" w:color="auto"/>
            <w:right w:val="none" w:sz="0" w:space="0" w:color="auto"/>
          </w:divBdr>
        </w:div>
        <w:div w:id="350645010">
          <w:marLeft w:val="2074"/>
          <w:marRight w:val="0"/>
          <w:marTop w:val="260"/>
          <w:marBottom w:val="0"/>
          <w:divBdr>
            <w:top w:val="none" w:sz="0" w:space="0" w:color="auto"/>
            <w:left w:val="none" w:sz="0" w:space="0" w:color="auto"/>
            <w:bottom w:val="none" w:sz="0" w:space="0" w:color="auto"/>
            <w:right w:val="none" w:sz="0" w:space="0" w:color="auto"/>
          </w:divBdr>
        </w:div>
      </w:divsChild>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66487022">
      <w:bodyDiv w:val="1"/>
      <w:marLeft w:val="0"/>
      <w:marRight w:val="0"/>
      <w:marTop w:val="0"/>
      <w:marBottom w:val="0"/>
      <w:divBdr>
        <w:top w:val="none" w:sz="0" w:space="0" w:color="auto"/>
        <w:left w:val="none" w:sz="0" w:space="0" w:color="auto"/>
        <w:bottom w:val="none" w:sz="0" w:space="0" w:color="auto"/>
        <w:right w:val="none" w:sz="0" w:space="0" w:color="auto"/>
      </w:divBdr>
      <w:divsChild>
        <w:div w:id="701251590">
          <w:marLeft w:val="547"/>
          <w:marRight w:val="0"/>
          <w:marTop w:val="86"/>
          <w:marBottom w:val="0"/>
          <w:divBdr>
            <w:top w:val="none" w:sz="0" w:space="0" w:color="auto"/>
            <w:left w:val="none" w:sz="0" w:space="0" w:color="auto"/>
            <w:bottom w:val="none" w:sz="0" w:space="0" w:color="auto"/>
            <w:right w:val="none" w:sz="0" w:space="0" w:color="auto"/>
          </w:divBdr>
        </w:div>
      </w:divsChild>
    </w:div>
    <w:div w:id="108576310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06463682">
      <w:bodyDiv w:val="1"/>
      <w:marLeft w:val="0"/>
      <w:marRight w:val="0"/>
      <w:marTop w:val="0"/>
      <w:marBottom w:val="0"/>
      <w:divBdr>
        <w:top w:val="none" w:sz="0" w:space="0" w:color="auto"/>
        <w:left w:val="none" w:sz="0" w:space="0" w:color="auto"/>
        <w:bottom w:val="none" w:sz="0" w:space="0" w:color="auto"/>
        <w:right w:val="none" w:sz="0" w:space="0" w:color="auto"/>
      </w:divBdr>
    </w:div>
    <w:div w:id="1107693545">
      <w:bodyDiv w:val="1"/>
      <w:marLeft w:val="0"/>
      <w:marRight w:val="0"/>
      <w:marTop w:val="0"/>
      <w:marBottom w:val="0"/>
      <w:divBdr>
        <w:top w:val="none" w:sz="0" w:space="0" w:color="auto"/>
        <w:left w:val="none" w:sz="0" w:space="0" w:color="auto"/>
        <w:bottom w:val="none" w:sz="0" w:space="0" w:color="auto"/>
        <w:right w:val="none" w:sz="0" w:space="0" w:color="auto"/>
      </w:divBdr>
    </w:div>
    <w:div w:id="1182620518">
      <w:bodyDiv w:val="1"/>
      <w:marLeft w:val="0"/>
      <w:marRight w:val="0"/>
      <w:marTop w:val="0"/>
      <w:marBottom w:val="0"/>
      <w:divBdr>
        <w:top w:val="none" w:sz="0" w:space="0" w:color="auto"/>
        <w:left w:val="none" w:sz="0" w:space="0" w:color="auto"/>
        <w:bottom w:val="none" w:sz="0" w:space="0" w:color="auto"/>
        <w:right w:val="none" w:sz="0" w:space="0" w:color="auto"/>
      </w:divBdr>
    </w:div>
    <w:div w:id="1189220312">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10461334">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24750613">
      <w:bodyDiv w:val="1"/>
      <w:marLeft w:val="0"/>
      <w:marRight w:val="0"/>
      <w:marTop w:val="0"/>
      <w:marBottom w:val="0"/>
      <w:divBdr>
        <w:top w:val="none" w:sz="0" w:space="0" w:color="auto"/>
        <w:left w:val="none" w:sz="0" w:space="0" w:color="auto"/>
        <w:bottom w:val="none" w:sz="0" w:space="0" w:color="auto"/>
        <w:right w:val="none" w:sz="0" w:space="0" w:color="auto"/>
      </w:divBdr>
    </w:div>
    <w:div w:id="1226137188">
      <w:bodyDiv w:val="1"/>
      <w:marLeft w:val="0"/>
      <w:marRight w:val="0"/>
      <w:marTop w:val="0"/>
      <w:marBottom w:val="0"/>
      <w:divBdr>
        <w:top w:val="none" w:sz="0" w:space="0" w:color="auto"/>
        <w:left w:val="none" w:sz="0" w:space="0" w:color="auto"/>
        <w:bottom w:val="none" w:sz="0" w:space="0" w:color="auto"/>
        <w:right w:val="none" w:sz="0" w:space="0" w:color="auto"/>
      </w:divBdr>
    </w:div>
    <w:div w:id="1285968987">
      <w:bodyDiv w:val="1"/>
      <w:marLeft w:val="0"/>
      <w:marRight w:val="0"/>
      <w:marTop w:val="0"/>
      <w:marBottom w:val="0"/>
      <w:divBdr>
        <w:top w:val="none" w:sz="0" w:space="0" w:color="auto"/>
        <w:left w:val="none" w:sz="0" w:space="0" w:color="auto"/>
        <w:bottom w:val="none" w:sz="0" w:space="0" w:color="auto"/>
        <w:right w:val="none" w:sz="0" w:space="0" w:color="auto"/>
      </w:divBdr>
    </w:div>
    <w:div w:id="1325477574">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53209452">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556509402">
      <w:bodyDiv w:val="1"/>
      <w:marLeft w:val="0"/>
      <w:marRight w:val="0"/>
      <w:marTop w:val="0"/>
      <w:marBottom w:val="0"/>
      <w:divBdr>
        <w:top w:val="none" w:sz="0" w:space="0" w:color="auto"/>
        <w:left w:val="none" w:sz="0" w:space="0" w:color="auto"/>
        <w:bottom w:val="none" w:sz="0" w:space="0" w:color="auto"/>
        <w:right w:val="none" w:sz="0" w:space="0" w:color="auto"/>
      </w:divBdr>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672442174">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06854375">
      <w:bodyDiv w:val="1"/>
      <w:marLeft w:val="0"/>
      <w:marRight w:val="0"/>
      <w:marTop w:val="0"/>
      <w:marBottom w:val="0"/>
      <w:divBdr>
        <w:top w:val="none" w:sz="0" w:space="0" w:color="auto"/>
        <w:left w:val="none" w:sz="0" w:space="0" w:color="auto"/>
        <w:bottom w:val="none" w:sz="0" w:space="0" w:color="auto"/>
        <w:right w:val="none" w:sz="0" w:space="0" w:color="auto"/>
      </w:divBdr>
    </w:div>
    <w:div w:id="1832596970">
      <w:bodyDiv w:val="1"/>
      <w:marLeft w:val="0"/>
      <w:marRight w:val="0"/>
      <w:marTop w:val="0"/>
      <w:marBottom w:val="0"/>
      <w:divBdr>
        <w:top w:val="none" w:sz="0" w:space="0" w:color="auto"/>
        <w:left w:val="none" w:sz="0" w:space="0" w:color="auto"/>
        <w:bottom w:val="none" w:sz="0" w:space="0" w:color="auto"/>
        <w:right w:val="none" w:sz="0" w:space="0" w:color="auto"/>
      </w:divBdr>
    </w:div>
    <w:div w:id="1850638094">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1957057848">
      <w:bodyDiv w:val="1"/>
      <w:marLeft w:val="0"/>
      <w:marRight w:val="0"/>
      <w:marTop w:val="0"/>
      <w:marBottom w:val="0"/>
      <w:divBdr>
        <w:top w:val="none" w:sz="0" w:space="0" w:color="auto"/>
        <w:left w:val="none" w:sz="0" w:space="0" w:color="auto"/>
        <w:bottom w:val="none" w:sz="0" w:space="0" w:color="auto"/>
        <w:right w:val="none" w:sz="0" w:space="0" w:color="auto"/>
      </w:divBdr>
    </w:div>
    <w:div w:id="1964266884">
      <w:bodyDiv w:val="1"/>
      <w:marLeft w:val="0"/>
      <w:marRight w:val="0"/>
      <w:marTop w:val="0"/>
      <w:marBottom w:val="0"/>
      <w:divBdr>
        <w:top w:val="none" w:sz="0" w:space="0" w:color="auto"/>
        <w:left w:val="none" w:sz="0" w:space="0" w:color="auto"/>
        <w:bottom w:val="none" w:sz="0" w:space="0" w:color="auto"/>
        <w:right w:val="none" w:sz="0" w:space="0" w:color="auto"/>
      </w:divBdr>
      <w:divsChild>
        <w:div w:id="719741757">
          <w:marLeft w:val="547"/>
          <w:marRight w:val="0"/>
          <w:marTop w:val="67"/>
          <w:marBottom w:val="0"/>
          <w:divBdr>
            <w:top w:val="none" w:sz="0" w:space="0" w:color="auto"/>
            <w:left w:val="none" w:sz="0" w:space="0" w:color="auto"/>
            <w:bottom w:val="none" w:sz="0" w:space="0" w:color="auto"/>
            <w:right w:val="none" w:sz="0" w:space="0" w:color="auto"/>
          </w:divBdr>
        </w:div>
        <w:div w:id="688871085">
          <w:marLeft w:val="1354"/>
          <w:marRight w:val="0"/>
          <w:marTop w:val="260"/>
          <w:marBottom w:val="0"/>
          <w:divBdr>
            <w:top w:val="none" w:sz="0" w:space="0" w:color="auto"/>
            <w:left w:val="none" w:sz="0" w:space="0" w:color="auto"/>
            <w:bottom w:val="none" w:sz="0" w:space="0" w:color="auto"/>
            <w:right w:val="none" w:sz="0" w:space="0" w:color="auto"/>
          </w:divBdr>
        </w:div>
        <w:div w:id="486358934">
          <w:marLeft w:val="2074"/>
          <w:marRight w:val="0"/>
          <w:marTop w:val="260"/>
          <w:marBottom w:val="0"/>
          <w:divBdr>
            <w:top w:val="none" w:sz="0" w:space="0" w:color="auto"/>
            <w:left w:val="none" w:sz="0" w:space="0" w:color="auto"/>
            <w:bottom w:val="none" w:sz="0" w:space="0" w:color="auto"/>
            <w:right w:val="none" w:sz="0" w:space="0" w:color="auto"/>
          </w:divBdr>
        </w:div>
      </w:divsChild>
    </w:div>
    <w:div w:id="204786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1976</TotalTime>
  <Pages>1</Pages>
  <Words>768</Words>
  <Characters>4381</Characters>
  <Application>Microsoft Office Word</Application>
  <DocSecurity>0</DocSecurity>
  <Lines>36</Lines>
  <Paragraphs>10</Paragraphs>
  <ScaleCrop>false</ScaleCrop>
  <Company/>
  <LinksUpToDate>false</LinksUpToDate>
  <CharactersWithSpaces>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93</cp:revision>
  <dcterms:created xsi:type="dcterms:W3CDTF">2021-03-25T05:51:00Z</dcterms:created>
  <dcterms:modified xsi:type="dcterms:W3CDTF">2022-01-10T06:11:00Z</dcterms:modified>
</cp:coreProperties>
</file>