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7511FF" w:rsidRPr="007511FF">
        <w:rPr>
          <w:rFonts w:cs="Arial"/>
          <w:sz w:val="24"/>
          <w:szCs w:val="24"/>
        </w:rPr>
        <w:t>R4-2114143</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7660">
        <w:rPr>
          <w:rFonts w:ascii="Arial" w:hAnsi="Arial"/>
          <w:sz w:val="24"/>
          <w:lang w:val="en-US"/>
        </w:rPr>
        <w:t>9.</w:t>
      </w:r>
      <w:r w:rsidR="00946379">
        <w:rPr>
          <w:rFonts w:ascii="Arial" w:hAnsi="Arial"/>
          <w:sz w:val="24"/>
          <w:lang w:val="en-US"/>
        </w:rPr>
        <w:t>16.7</w:t>
      </w:r>
      <w:r w:rsidR="00540F80">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40F80" w:rsidRPr="00540F80">
        <w:rPr>
          <w:rFonts w:ascii="Arial" w:hAnsi="Arial"/>
          <w:sz w:val="24"/>
          <w:lang w:val="en-US"/>
        </w:rPr>
        <w:t>Discussion on timing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603A4D" w:rsidRPr="0081250A" w:rsidRDefault="008B7660" w:rsidP="00DF0231">
      <w:pPr>
        <w:rPr>
          <w:rFonts w:eastAsiaTheme="minorEastAsia"/>
          <w:lang w:val="en-US" w:eastAsia="zh-CN"/>
        </w:rPr>
      </w:pPr>
      <w:r>
        <w:rPr>
          <w:rFonts w:eastAsiaTheme="minorEastAsia"/>
          <w:lang w:val="en-US" w:eastAsia="zh-CN"/>
        </w:rPr>
        <w:t>The WI on</w:t>
      </w:r>
      <w:r w:rsidR="00946379">
        <w:rPr>
          <w:rFonts w:eastAsiaTheme="minorEastAsia"/>
          <w:lang w:val="en-US" w:eastAsia="zh-CN"/>
        </w:rPr>
        <w:t xml:space="preserve"> extending NR operation to 71GHz was discussed in the last RAN4 meeting. </w:t>
      </w:r>
      <w:r w:rsidR="00603A4D">
        <w:rPr>
          <w:rFonts w:eastAsiaTheme="minorEastAsia"/>
          <w:lang w:val="en-US" w:eastAsia="zh-CN"/>
        </w:rPr>
        <w:t>Some RRM requirements are identified to be updated for operation in FR2-2 [1]. In this paper, we present detailed analysis on the impact to timing requirements.</w:t>
      </w:r>
    </w:p>
    <w:p w:rsidR="00DF0231" w:rsidRDefault="00DF0231" w:rsidP="00DF0231">
      <w:pPr>
        <w:pStyle w:val="1"/>
        <w:numPr>
          <w:ilvl w:val="0"/>
          <w:numId w:val="1"/>
        </w:numPr>
        <w:rPr>
          <w:lang w:val="en-US"/>
        </w:rPr>
      </w:pPr>
      <w:r w:rsidRPr="002D2977">
        <w:rPr>
          <w:lang w:val="en-US"/>
        </w:rPr>
        <w:t>Discussion</w:t>
      </w:r>
    </w:p>
    <w:p w:rsidR="00BA0864" w:rsidRDefault="00603A4D" w:rsidP="00210B1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larger SCS introduced in FR 2-2, it is straightforward that the requirements depending on the SCS shall be updated such the timing requirements and interruption requirements, etc. </w:t>
      </w:r>
    </w:p>
    <w:tbl>
      <w:tblPr>
        <w:tblStyle w:val="a7"/>
        <w:tblW w:w="0" w:type="auto"/>
        <w:tblLook w:val="04A0" w:firstRow="1" w:lastRow="0" w:firstColumn="1" w:lastColumn="0" w:noHBand="0" w:noVBand="1"/>
      </w:tblPr>
      <w:tblGrid>
        <w:gridCol w:w="9562"/>
      </w:tblGrid>
      <w:tr w:rsidR="00603A4D" w:rsidTr="00603A4D">
        <w:tc>
          <w:tcPr>
            <w:tcW w:w="9562" w:type="dxa"/>
          </w:tcPr>
          <w:p w:rsidR="00E90FFA" w:rsidRPr="00603A4D" w:rsidRDefault="0031210D" w:rsidP="00603A4D">
            <w:pPr>
              <w:numPr>
                <w:ilvl w:val="0"/>
                <w:numId w:val="30"/>
              </w:numPr>
              <w:rPr>
                <w:rFonts w:eastAsiaTheme="minorEastAsia"/>
                <w:lang w:val="en-US" w:eastAsia="zh-CN"/>
              </w:rPr>
            </w:pPr>
            <w:r w:rsidRPr="00603A4D">
              <w:rPr>
                <w:rFonts w:eastAsiaTheme="minorEastAsia"/>
                <w:lang w:eastAsia="zh-CN"/>
              </w:rPr>
              <w:t>Define new RRM requirements due to higher data/SSB SCS for at least the following topics:</w:t>
            </w:r>
          </w:p>
          <w:p w:rsidR="00E90FFA" w:rsidRPr="00603A4D" w:rsidRDefault="0031210D" w:rsidP="00603A4D">
            <w:pPr>
              <w:numPr>
                <w:ilvl w:val="1"/>
                <w:numId w:val="30"/>
              </w:numPr>
              <w:rPr>
                <w:rFonts w:eastAsiaTheme="minorEastAsia"/>
                <w:lang w:val="en-US" w:eastAsia="zh-CN"/>
              </w:rPr>
            </w:pPr>
            <w:r w:rsidRPr="00603A4D">
              <w:rPr>
                <w:rFonts w:eastAsiaTheme="minorEastAsia"/>
                <w:lang w:eastAsia="zh-CN"/>
              </w:rPr>
              <w:t>Timing</w:t>
            </w:r>
          </w:p>
          <w:p w:rsidR="00E90FFA" w:rsidRPr="00603A4D" w:rsidRDefault="0031210D" w:rsidP="00603A4D">
            <w:pPr>
              <w:numPr>
                <w:ilvl w:val="2"/>
                <w:numId w:val="30"/>
              </w:numPr>
              <w:rPr>
                <w:rFonts w:eastAsiaTheme="minorEastAsia"/>
                <w:lang w:val="en-US" w:eastAsia="zh-CN"/>
              </w:rPr>
            </w:pPr>
            <w:r w:rsidRPr="00603A4D">
              <w:rPr>
                <w:rFonts w:eastAsiaTheme="minorEastAsia"/>
                <w:lang w:eastAsia="zh-CN"/>
              </w:rPr>
              <w:t>UE transmit timing</w:t>
            </w:r>
          </w:p>
          <w:p w:rsidR="00E90FFA" w:rsidRPr="00603A4D" w:rsidRDefault="0031210D" w:rsidP="00603A4D">
            <w:pPr>
              <w:numPr>
                <w:ilvl w:val="2"/>
                <w:numId w:val="30"/>
              </w:numPr>
              <w:rPr>
                <w:rFonts w:eastAsiaTheme="minorEastAsia"/>
                <w:lang w:val="en-US" w:eastAsia="zh-CN"/>
              </w:rPr>
            </w:pPr>
            <w:r w:rsidRPr="00603A4D">
              <w:rPr>
                <w:rFonts w:eastAsiaTheme="minorEastAsia"/>
                <w:lang w:eastAsia="zh-CN"/>
              </w:rPr>
              <w:t>Timing advance (TA)</w:t>
            </w:r>
          </w:p>
          <w:p w:rsidR="00E90FFA" w:rsidRPr="00603A4D" w:rsidRDefault="0031210D" w:rsidP="00603A4D">
            <w:pPr>
              <w:numPr>
                <w:ilvl w:val="1"/>
                <w:numId w:val="30"/>
              </w:numPr>
              <w:rPr>
                <w:rFonts w:eastAsiaTheme="minorEastAsia"/>
                <w:lang w:val="en-US" w:eastAsia="zh-CN"/>
              </w:rPr>
            </w:pPr>
            <w:r w:rsidRPr="00603A4D">
              <w:rPr>
                <w:rFonts w:eastAsiaTheme="minorEastAsia"/>
                <w:lang w:eastAsia="zh-CN"/>
              </w:rPr>
              <w:t>Interruptions</w:t>
            </w:r>
          </w:p>
          <w:p w:rsidR="00E90FFA" w:rsidRPr="00603A4D" w:rsidRDefault="0031210D" w:rsidP="00603A4D">
            <w:pPr>
              <w:numPr>
                <w:ilvl w:val="1"/>
                <w:numId w:val="30"/>
              </w:numPr>
              <w:rPr>
                <w:rFonts w:eastAsiaTheme="minorEastAsia"/>
                <w:lang w:val="en-US" w:eastAsia="zh-CN"/>
              </w:rPr>
            </w:pPr>
            <w:r w:rsidRPr="00603A4D">
              <w:rPr>
                <w:rFonts w:eastAsiaTheme="minorEastAsia"/>
                <w:lang w:eastAsia="zh-CN"/>
              </w:rPr>
              <w:t>Active BWP switching delay</w:t>
            </w:r>
          </w:p>
          <w:p w:rsidR="00E90FFA" w:rsidRPr="00603A4D" w:rsidRDefault="0031210D" w:rsidP="00603A4D">
            <w:pPr>
              <w:numPr>
                <w:ilvl w:val="1"/>
                <w:numId w:val="30"/>
              </w:numPr>
              <w:rPr>
                <w:rFonts w:eastAsiaTheme="minorEastAsia"/>
                <w:lang w:val="en-US" w:eastAsia="zh-CN"/>
              </w:rPr>
            </w:pPr>
            <w:r w:rsidRPr="00603A4D">
              <w:rPr>
                <w:rFonts w:eastAsiaTheme="minorEastAsia"/>
                <w:lang w:eastAsia="zh-CN"/>
              </w:rPr>
              <w:t>Measurement gaps</w:t>
            </w:r>
          </w:p>
          <w:p w:rsidR="00E90FFA" w:rsidRPr="00603A4D" w:rsidRDefault="0031210D" w:rsidP="00603A4D">
            <w:pPr>
              <w:numPr>
                <w:ilvl w:val="2"/>
                <w:numId w:val="30"/>
              </w:numPr>
              <w:rPr>
                <w:rFonts w:eastAsiaTheme="minorEastAsia"/>
                <w:lang w:val="en-US" w:eastAsia="zh-CN"/>
              </w:rPr>
            </w:pPr>
            <w:r w:rsidRPr="00603A4D">
              <w:rPr>
                <w:rFonts w:eastAsiaTheme="minorEastAsia"/>
                <w:lang w:eastAsia="zh-CN"/>
              </w:rPr>
              <w:t>Interruption time</w:t>
            </w:r>
          </w:p>
          <w:p w:rsidR="00E90FFA" w:rsidRPr="00603A4D" w:rsidRDefault="0031210D" w:rsidP="00603A4D">
            <w:pPr>
              <w:numPr>
                <w:ilvl w:val="0"/>
                <w:numId w:val="30"/>
              </w:numPr>
              <w:rPr>
                <w:rFonts w:eastAsiaTheme="minorEastAsia"/>
                <w:lang w:val="en-US" w:eastAsia="zh-CN"/>
              </w:rPr>
            </w:pPr>
            <w:r w:rsidRPr="00603A4D">
              <w:rPr>
                <w:rFonts w:eastAsiaTheme="minorEastAsia"/>
                <w:lang w:eastAsia="zh-CN"/>
              </w:rPr>
              <w:t>Study impact on RRM requirements due to higher SSB SCS for at least the following topics:</w:t>
            </w:r>
          </w:p>
          <w:p w:rsidR="00E90FFA" w:rsidRPr="00603A4D" w:rsidRDefault="0031210D" w:rsidP="00603A4D">
            <w:pPr>
              <w:numPr>
                <w:ilvl w:val="1"/>
                <w:numId w:val="30"/>
              </w:numPr>
              <w:rPr>
                <w:rFonts w:eastAsiaTheme="minorEastAsia"/>
                <w:lang w:val="en-US" w:eastAsia="zh-CN"/>
              </w:rPr>
            </w:pPr>
            <w:r w:rsidRPr="00603A4D">
              <w:rPr>
                <w:rFonts w:eastAsiaTheme="minorEastAsia"/>
                <w:lang w:val="en-US" w:eastAsia="zh-CN"/>
              </w:rPr>
              <w:t>Intra-frequency measurement</w:t>
            </w:r>
          </w:p>
          <w:p w:rsidR="00E90FFA" w:rsidRPr="00603A4D" w:rsidRDefault="0031210D" w:rsidP="00603A4D">
            <w:pPr>
              <w:numPr>
                <w:ilvl w:val="1"/>
                <w:numId w:val="30"/>
              </w:numPr>
              <w:rPr>
                <w:rFonts w:eastAsiaTheme="minorEastAsia"/>
                <w:lang w:val="en-US" w:eastAsia="zh-CN"/>
              </w:rPr>
            </w:pPr>
            <w:r w:rsidRPr="00603A4D">
              <w:rPr>
                <w:rFonts w:eastAsiaTheme="minorEastAsia"/>
                <w:lang w:val="en-US" w:eastAsia="zh-CN"/>
              </w:rPr>
              <w:t>Inter-frequency measurement</w:t>
            </w:r>
          </w:p>
          <w:p w:rsidR="00603A4D" w:rsidRPr="00603A4D" w:rsidRDefault="0031210D" w:rsidP="00210B1F">
            <w:pPr>
              <w:numPr>
                <w:ilvl w:val="0"/>
                <w:numId w:val="30"/>
              </w:numPr>
              <w:rPr>
                <w:rFonts w:eastAsiaTheme="minorEastAsia"/>
                <w:lang w:val="en-US" w:eastAsia="zh-CN"/>
              </w:rPr>
            </w:pPr>
            <w:r w:rsidRPr="00603A4D">
              <w:rPr>
                <w:rFonts w:eastAsiaTheme="minorEastAsia"/>
                <w:lang w:val="en-US" w:eastAsia="zh-CN"/>
              </w:rPr>
              <w:t>Other RRM requirements, if identified are not precluded.</w:t>
            </w:r>
          </w:p>
        </w:tc>
      </w:tr>
    </w:tbl>
    <w:p w:rsidR="00603A4D" w:rsidRDefault="00603A4D" w:rsidP="00210B1F">
      <w:pPr>
        <w:rPr>
          <w:rFonts w:eastAsiaTheme="minorEastAsia"/>
          <w:lang w:val="en-US" w:eastAsia="zh-CN"/>
        </w:rPr>
      </w:pPr>
    </w:p>
    <w:p w:rsidR="00603A4D" w:rsidRDefault="00603A4D" w:rsidP="00210B1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transmit timing requirements, the timing error </w:t>
      </w:r>
      <w:proofErr w:type="spellStart"/>
      <w:r>
        <w:rPr>
          <w:rFonts w:eastAsiaTheme="minorEastAsia"/>
          <w:lang w:val="en-US" w:eastAsia="zh-CN"/>
        </w:rPr>
        <w:t>Te</w:t>
      </w:r>
      <w:proofErr w:type="spellEnd"/>
      <w:r>
        <w:rPr>
          <w:rFonts w:eastAsiaTheme="minorEastAsia"/>
          <w:lang w:val="en-US" w:eastAsia="zh-CN"/>
        </w:rPr>
        <w:t xml:space="preserve"> and gradual timing adjustment </w:t>
      </w:r>
      <w:proofErr w:type="spellStart"/>
      <w:r>
        <w:rPr>
          <w:rFonts w:eastAsiaTheme="minorEastAsia"/>
          <w:lang w:val="en-US" w:eastAsia="zh-CN"/>
        </w:rPr>
        <w:t>Tp</w:t>
      </w:r>
      <w:proofErr w:type="spellEnd"/>
      <w:r>
        <w:rPr>
          <w:rFonts w:eastAsiaTheme="minorEastAsia"/>
          <w:lang w:val="en-US" w:eastAsia="zh-CN"/>
        </w:rPr>
        <w:t xml:space="preserve"> and </w:t>
      </w:r>
      <w:proofErr w:type="spellStart"/>
      <w:r>
        <w:rPr>
          <w:rFonts w:eastAsiaTheme="minorEastAsia"/>
          <w:lang w:val="en-US" w:eastAsia="zh-CN"/>
        </w:rPr>
        <w:t>Tq</w:t>
      </w:r>
      <w:proofErr w:type="spellEnd"/>
      <w:r>
        <w:rPr>
          <w:rFonts w:eastAsiaTheme="minorEastAsia"/>
          <w:lang w:val="en-US" w:eastAsia="zh-CN"/>
        </w:rPr>
        <w:t xml:space="preserve"> are defined. </w:t>
      </w:r>
      <w:proofErr w:type="spellStart"/>
      <w:r>
        <w:rPr>
          <w:rFonts w:eastAsiaTheme="minorEastAsia"/>
          <w:lang w:val="en-US" w:eastAsia="zh-CN"/>
        </w:rPr>
        <w:t>Te</w:t>
      </w:r>
      <w:proofErr w:type="spellEnd"/>
      <w:r>
        <w:rPr>
          <w:rFonts w:eastAsiaTheme="minorEastAsia"/>
          <w:lang w:val="en-US" w:eastAsia="zh-CN"/>
        </w:rPr>
        <w:t xml:space="preserve"> is defined consider</w:t>
      </w:r>
      <w:r w:rsidR="007E431D">
        <w:rPr>
          <w:rFonts w:eastAsiaTheme="minorEastAsia"/>
          <w:lang w:val="en-US" w:eastAsia="zh-CN"/>
        </w:rPr>
        <w:t>ing</w:t>
      </w:r>
      <w:r>
        <w:rPr>
          <w:rFonts w:eastAsiaTheme="minorEastAsia"/>
          <w:lang w:val="en-US" w:eastAsia="zh-CN"/>
        </w:rPr>
        <w:t xml:space="preserve"> the </w:t>
      </w:r>
      <w:r w:rsidR="007E431D">
        <w:rPr>
          <w:rFonts w:eastAsiaTheme="minorEastAsia" w:hint="eastAsia"/>
          <w:lang w:val="en-US" w:eastAsia="zh-CN"/>
        </w:rPr>
        <w:t>sample</w:t>
      </w:r>
      <w:r w:rsidR="007E431D">
        <w:rPr>
          <w:rFonts w:eastAsiaTheme="minorEastAsia"/>
          <w:lang w:val="en-US" w:eastAsia="zh-CN"/>
        </w:rPr>
        <w:t xml:space="preserve"> interval depending on</w:t>
      </w:r>
      <w:r>
        <w:rPr>
          <w:rFonts w:eastAsiaTheme="minorEastAsia"/>
          <w:lang w:val="en-US" w:eastAsia="zh-CN"/>
        </w:rPr>
        <w:t xml:space="preserve"> the FFT size for 20 RBs and the SCS of uplink signals. For example, for SSB with SCS of 480 kHz and 960 kHz, the sample interval is estimated to be 16 Tc and 8 Tc respectively. </w:t>
      </w:r>
    </w:p>
    <w:p w:rsidR="00603A4D" w:rsidRPr="00523E60" w:rsidRDefault="00603A4D" w:rsidP="00210B1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gradual timing adjustment requirements </w:t>
      </w:r>
      <w:proofErr w:type="spellStart"/>
      <w:r>
        <w:rPr>
          <w:rFonts w:eastAsiaTheme="minorEastAsia"/>
          <w:lang w:val="en-US" w:eastAsia="zh-CN"/>
        </w:rPr>
        <w:t>Tp</w:t>
      </w:r>
      <w:proofErr w:type="spellEnd"/>
      <w:r>
        <w:rPr>
          <w:rFonts w:eastAsiaTheme="minorEastAsia"/>
          <w:lang w:val="en-US" w:eastAsia="zh-CN"/>
        </w:rPr>
        <w:t xml:space="preserve"> and </w:t>
      </w:r>
      <w:proofErr w:type="spellStart"/>
      <w:r>
        <w:rPr>
          <w:rFonts w:eastAsiaTheme="minorEastAsia"/>
          <w:lang w:val="en-US" w:eastAsia="zh-CN"/>
        </w:rPr>
        <w:t>Tq</w:t>
      </w:r>
      <w:proofErr w:type="spellEnd"/>
      <w:r>
        <w:rPr>
          <w:rFonts w:eastAsiaTheme="minorEastAsia"/>
          <w:lang w:val="en-US" w:eastAsia="zh-CN"/>
        </w:rPr>
        <w:t xml:space="preserve">, it is defined considering the frequency error, and necessary margin. It is calculated by the maximum amount of timing drift per 200 </w:t>
      </w:r>
      <w:proofErr w:type="spellStart"/>
      <w:r>
        <w:rPr>
          <w:rFonts w:eastAsiaTheme="minorEastAsia"/>
          <w:lang w:val="en-US" w:eastAsia="zh-CN"/>
        </w:rPr>
        <w:t>ms</w:t>
      </w:r>
      <w:proofErr w:type="spellEnd"/>
      <w:r>
        <w:rPr>
          <w:rFonts w:eastAsiaTheme="minorEastAsia"/>
          <w:lang w:val="en-US" w:eastAsia="zh-CN"/>
        </w:rPr>
        <w:t xml:space="preserve"> and rounded up to number of </w:t>
      </w:r>
      <w:r>
        <w:rPr>
          <w:rFonts w:eastAsiaTheme="minorEastAsia" w:hint="eastAsia"/>
          <w:lang w:val="en-US" w:eastAsia="zh-CN"/>
        </w:rPr>
        <w:t>samples</w:t>
      </w:r>
      <w:r>
        <w:rPr>
          <w:rFonts w:eastAsiaTheme="minorEastAsia"/>
          <w:lang w:val="en-US" w:eastAsia="zh-CN"/>
        </w:rPr>
        <w:t xml:space="preserve"> for the corresponding SCS.</w:t>
      </w:r>
    </w:p>
    <w:p w:rsidR="00603A4D" w:rsidRDefault="00603A4D" w:rsidP="00210B1F">
      <w:pPr>
        <w:rPr>
          <w:rFonts w:eastAsiaTheme="minorEastAsia"/>
          <w:lang w:val="en-US" w:eastAsia="zh-CN"/>
        </w:rPr>
      </w:pPr>
      <w:r>
        <w:rPr>
          <w:rFonts w:eastAsiaTheme="minorEastAsia"/>
          <w:lang w:val="en-US" w:eastAsia="zh-CN"/>
        </w:rPr>
        <w:t>For timing advancing, one requirements is the timing sequence to apply the TA command, which is defined as</w:t>
      </w:r>
      <w:r w:rsidRPr="00523E60">
        <w:rPr>
          <w:rFonts w:eastAsiaTheme="minorEastAsia"/>
          <w:i/>
          <w:lang w:val="en-US" w:eastAsia="zh-CN"/>
        </w:rPr>
        <w:t xml:space="preserve"> k+1+l </w:t>
      </w:r>
      <w:r>
        <w:rPr>
          <w:rFonts w:eastAsiaTheme="minorEastAsia"/>
          <w:lang w:val="en-US" w:eastAsia="zh-CN"/>
        </w:rPr>
        <w:t xml:space="preserve">currently in TS.38.213. Considering symbol length much shorter than that in FR1 and FR 2-2, the discussion about the time sequence is also under discussion in RAN1. RAN4 could just refer to the conclusion of RAN1 and no discussion </w:t>
      </w:r>
      <w:r>
        <w:rPr>
          <w:rFonts w:eastAsiaTheme="minorEastAsia"/>
          <w:lang w:val="en-US" w:eastAsia="zh-CN"/>
        </w:rPr>
        <w:lastRenderedPageBreak/>
        <w:t>in RAN4 is expected. The other aspect about timing advancing is the TA adjustment accuracy. It is defined based on the minimum FFT size considering the minimum channel bandwidth for corresponding SCS.</w:t>
      </w:r>
    </w:p>
    <w:p w:rsidR="00603A4D" w:rsidRDefault="00603A4D" w:rsidP="00210B1F">
      <w:pPr>
        <w:rPr>
          <w:rFonts w:eastAsiaTheme="minorEastAsia"/>
          <w:lang w:val="en-US" w:eastAsia="zh-CN"/>
        </w:rPr>
      </w:pPr>
      <w:r>
        <w:rPr>
          <w:rFonts w:eastAsiaTheme="minorEastAsia"/>
          <w:lang w:val="en-US" w:eastAsia="zh-CN"/>
        </w:rPr>
        <w:t xml:space="preserve">Based on the analysis above, to determine the transmit timing requirements and timing advance accuracy, the minimum sample interval is the </w:t>
      </w:r>
      <w:r w:rsidR="004F216B">
        <w:rPr>
          <w:rFonts w:eastAsiaTheme="minorEastAsia" w:hint="eastAsia"/>
          <w:lang w:val="en-US" w:eastAsia="zh-CN"/>
        </w:rPr>
        <w:t>one</w:t>
      </w:r>
      <w:r w:rsidR="004F216B">
        <w:rPr>
          <w:rFonts w:eastAsiaTheme="minorEastAsia"/>
          <w:lang w:val="en-US" w:eastAsia="zh-CN"/>
        </w:rPr>
        <w:t xml:space="preserve"> of the </w:t>
      </w:r>
      <w:r>
        <w:rPr>
          <w:rFonts w:eastAsiaTheme="minorEastAsia"/>
          <w:lang w:val="en-US" w:eastAsia="zh-CN"/>
        </w:rPr>
        <w:t>factor</w:t>
      </w:r>
      <w:r w:rsidR="004F216B">
        <w:rPr>
          <w:rFonts w:eastAsiaTheme="minorEastAsia"/>
          <w:lang w:val="en-US" w:eastAsia="zh-CN"/>
        </w:rPr>
        <w:t>s</w:t>
      </w:r>
      <w:r>
        <w:rPr>
          <w:rFonts w:eastAsiaTheme="minorEastAsia"/>
          <w:lang w:val="en-US" w:eastAsia="zh-CN"/>
        </w:rPr>
        <w:t xml:space="preserve"> to be considered, which is calculated by the minimum channel bandwidth supported for each SCS. </w:t>
      </w:r>
    </w:p>
    <w:p w:rsidR="00603A4D" w:rsidRDefault="00603A4D" w:rsidP="00210B1F">
      <w:pPr>
        <w:rPr>
          <w:rFonts w:eastAsiaTheme="minorEastAsia"/>
          <w:b/>
          <w:lang w:val="en-US" w:eastAsia="zh-CN"/>
        </w:rPr>
      </w:pPr>
      <w:r w:rsidRPr="0018532E">
        <w:rPr>
          <w:rFonts w:eastAsiaTheme="minorEastAsia"/>
          <w:b/>
          <w:lang w:val="en-US" w:eastAsia="zh-CN"/>
        </w:rPr>
        <w:t xml:space="preserve">Observation 1: </w:t>
      </w:r>
      <w:r w:rsidR="004F216B">
        <w:rPr>
          <w:rFonts w:eastAsiaTheme="minorEastAsia"/>
          <w:b/>
          <w:lang w:val="en-US" w:eastAsia="zh-CN"/>
        </w:rPr>
        <w:t>The minimum channel bandwidth for each SCS shall be considered when defining t</w:t>
      </w:r>
      <w:r w:rsidRPr="0018532E">
        <w:rPr>
          <w:rFonts w:eastAsiaTheme="minorEastAsia"/>
          <w:b/>
          <w:lang w:val="en-US" w:eastAsia="zh-CN"/>
        </w:rPr>
        <w:t>he requirements for transmit timing and tim</w:t>
      </w:r>
      <w:r w:rsidR="004F216B">
        <w:rPr>
          <w:rFonts w:eastAsiaTheme="minorEastAsia"/>
          <w:b/>
          <w:lang w:val="en-US" w:eastAsia="zh-CN"/>
        </w:rPr>
        <w:t>ing advance adjustment accuracy.</w:t>
      </w:r>
    </w:p>
    <w:p w:rsidR="0018532E" w:rsidRDefault="0018532E" w:rsidP="00210B1F">
      <w:pPr>
        <w:rPr>
          <w:rFonts w:eastAsiaTheme="minorEastAsia"/>
          <w:lang w:val="en-US" w:eastAsia="zh-CN"/>
        </w:rPr>
      </w:pPr>
      <w:r w:rsidRPr="0018532E">
        <w:rPr>
          <w:rFonts w:eastAsiaTheme="minorEastAsia" w:hint="eastAsia"/>
          <w:lang w:val="en-US" w:eastAsia="zh-CN"/>
        </w:rPr>
        <w:t xml:space="preserve">For instance, if the </w:t>
      </w:r>
      <w:r w:rsidRPr="0018532E">
        <w:rPr>
          <w:rFonts w:eastAsiaTheme="minorEastAsia"/>
          <w:lang w:val="en-US" w:eastAsia="zh-CN"/>
        </w:rPr>
        <w:t>minimum</w:t>
      </w:r>
      <w:r w:rsidRPr="0018532E">
        <w:rPr>
          <w:rFonts w:eastAsiaTheme="minorEastAsia" w:hint="eastAsia"/>
          <w:lang w:val="en-US" w:eastAsia="zh-CN"/>
        </w:rPr>
        <w:t xml:space="preserve"> </w:t>
      </w:r>
      <w:r w:rsidRPr="0018532E">
        <w:rPr>
          <w:rFonts w:eastAsiaTheme="minorEastAsia"/>
          <w:lang w:val="en-US" w:eastAsia="zh-CN"/>
        </w:rPr>
        <w:t xml:space="preserve">CBW for 120 kHz SCS is 100 MHz, the FFT size is estimated to be double of that for 120 kHz for FR 2-1 with minimum CBW of 50 </w:t>
      </w:r>
      <w:proofErr w:type="spellStart"/>
      <w:r w:rsidRPr="0018532E">
        <w:rPr>
          <w:rFonts w:eastAsiaTheme="minorEastAsia"/>
          <w:lang w:val="en-US" w:eastAsia="zh-CN"/>
        </w:rPr>
        <w:t>MHz.</w:t>
      </w:r>
      <w:proofErr w:type="spellEnd"/>
      <w:r>
        <w:rPr>
          <w:rFonts w:eastAsiaTheme="minorEastAsia"/>
          <w:lang w:val="en-US" w:eastAsia="zh-CN"/>
        </w:rPr>
        <w:t xml:space="preserve"> Then, UE may achieve better timing accuracy compared with current requirements.</w:t>
      </w:r>
    </w:p>
    <w:p w:rsidR="0018532E" w:rsidRPr="0018532E" w:rsidRDefault="0018532E" w:rsidP="00210B1F">
      <w:pPr>
        <w:rPr>
          <w:rFonts w:eastAsiaTheme="minorEastAsia"/>
          <w:b/>
          <w:lang w:val="en-US" w:eastAsia="zh-CN"/>
        </w:rPr>
      </w:pPr>
      <w:r w:rsidRPr="0018532E">
        <w:rPr>
          <w:rFonts w:eastAsiaTheme="minorEastAsia"/>
          <w:b/>
          <w:lang w:val="en-US" w:eastAsia="zh-CN"/>
        </w:rPr>
        <w:t>Observation 2: UE may have better timing accuracy with larger SCS and larger minimum channel bandwidth.</w:t>
      </w:r>
    </w:p>
    <w:p w:rsidR="00D322FE" w:rsidRPr="007E431D" w:rsidRDefault="00D322FE" w:rsidP="00210B1F">
      <w:pPr>
        <w:rPr>
          <w:rFonts w:eastAsiaTheme="minorEastAsia"/>
          <w:lang w:val="en-US" w:eastAsia="zh-CN"/>
        </w:rPr>
      </w:pPr>
      <w:r w:rsidRPr="00D322FE">
        <w:rPr>
          <w:rFonts w:eastAsiaTheme="minorEastAsia" w:hint="eastAsia"/>
          <w:lang w:val="en-US" w:eastAsia="zh-CN"/>
        </w:rPr>
        <w:t>The</w:t>
      </w:r>
      <w:r w:rsidRPr="00D322FE">
        <w:rPr>
          <w:rFonts w:eastAsiaTheme="minorEastAsia"/>
          <w:lang w:val="en-US" w:eastAsia="zh-CN"/>
        </w:rPr>
        <w:t xml:space="preserve"> minimum CBW and maximum CBW for each SCS were discussed with the following agreements [2]</w:t>
      </w:r>
      <w:r>
        <w:rPr>
          <w:rFonts w:eastAsiaTheme="minorEastAsia"/>
          <w:lang w:val="en-US" w:eastAsia="zh-CN"/>
        </w:rPr>
        <w:t xml:space="preserve"> [3]</w:t>
      </w:r>
      <w:r w:rsidRPr="00D322FE">
        <w:rPr>
          <w:rFonts w:eastAsiaTheme="minorEastAsia"/>
          <w:lang w:val="en-US" w:eastAsia="zh-CN"/>
        </w:rPr>
        <w:t>:</w:t>
      </w:r>
    </w:p>
    <w:tbl>
      <w:tblPr>
        <w:tblStyle w:val="a7"/>
        <w:tblW w:w="0" w:type="auto"/>
        <w:tblLook w:val="04A0" w:firstRow="1" w:lastRow="0" w:firstColumn="1" w:lastColumn="0" w:noHBand="0" w:noVBand="1"/>
      </w:tblPr>
      <w:tblGrid>
        <w:gridCol w:w="9562"/>
      </w:tblGrid>
      <w:tr w:rsidR="00D322FE" w:rsidTr="00D322FE">
        <w:tc>
          <w:tcPr>
            <w:tcW w:w="9562" w:type="dxa"/>
          </w:tcPr>
          <w:p w:rsidR="00D322FE" w:rsidRDefault="00D322FE" w:rsidP="00210B1F">
            <w:pPr>
              <w:rPr>
                <w:rFonts w:eastAsiaTheme="minorEastAsia"/>
                <w:b/>
                <w:lang w:val="en-US" w:eastAsia="zh-CN"/>
              </w:rPr>
            </w:pPr>
            <w:r>
              <w:rPr>
                <w:rFonts w:eastAsiaTheme="minorEastAsia" w:hint="eastAsia"/>
                <w:b/>
                <w:lang w:val="en-US" w:eastAsia="zh-CN"/>
              </w:rPr>
              <w:t xml:space="preserve"> </w:t>
            </w:r>
            <w:r>
              <w:rPr>
                <w:noProof/>
                <w:lang w:val="en-US" w:eastAsia="zh-CN"/>
              </w:rPr>
              <w:drawing>
                <wp:inline distT="0" distB="0" distL="0" distR="0" wp14:anchorId="50CD5017" wp14:editId="72053A9A">
                  <wp:extent cx="5390591" cy="2917182"/>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8506" cy="2926877"/>
                          </a:xfrm>
                          <a:prstGeom prst="rect">
                            <a:avLst/>
                          </a:prstGeom>
                        </pic:spPr>
                      </pic:pic>
                    </a:graphicData>
                  </a:graphic>
                </wp:inline>
              </w:drawing>
            </w:r>
          </w:p>
        </w:tc>
      </w:tr>
    </w:tbl>
    <w:p w:rsidR="00D322FE" w:rsidRDefault="00D322FE" w:rsidP="00210B1F">
      <w:pPr>
        <w:rPr>
          <w:rFonts w:eastAsiaTheme="minorEastAsia"/>
          <w:b/>
          <w:lang w:val="en-US" w:eastAsia="zh-CN"/>
        </w:rPr>
      </w:pPr>
    </w:p>
    <w:p w:rsidR="004F216B" w:rsidRDefault="00D322FE" w:rsidP="00210B1F">
      <w:pPr>
        <w:rPr>
          <w:rFonts w:eastAsiaTheme="minorEastAsia"/>
          <w:lang w:val="en-US" w:eastAsia="zh-CN"/>
        </w:rPr>
      </w:pPr>
      <w:r w:rsidRPr="00D322FE">
        <w:rPr>
          <w:rFonts w:eastAsiaTheme="minorEastAsia" w:hint="eastAsia"/>
          <w:lang w:val="en-US" w:eastAsia="zh-CN"/>
        </w:rPr>
        <w:t>F</w:t>
      </w:r>
      <w:r w:rsidRPr="00D322FE">
        <w:rPr>
          <w:rFonts w:eastAsiaTheme="minorEastAsia"/>
          <w:lang w:val="en-US" w:eastAsia="zh-CN"/>
        </w:rPr>
        <w:t>or minimum CBW for 120 kHz, 480 kHz and 960 kHz are 100 MHz, 200 MHz and 400 MHz respectively.</w:t>
      </w:r>
      <w:r>
        <w:rPr>
          <w:rFonts w:eastAsiaTheme="minorEastAsia"/>
          <w:lang w:val="en-US" w:eastAsia="zh-CN"/>
        </w:rPr>
        <w:t xml:space="preserve"> Then the minimum FFT size could be assumed to be 1024, 512 and 512.</w:t>
      </w:r>
      <w:r w:rsidR="004F216B">
        <w:rPr>
          <w:rFonts w:eastAsiaTheme="minorEastAsia" w:hint="eastAsia"/>
          <w:lang w:val="en-US" w:eastAsia="zh-CN"/>
        </w:rPr>
        <w:t xml:space="preserve"> </w:t>
      </w:r>
      <w:r w:rsidR="004F216B">
        <w:rPr>
          <w:rFonts w:eastAsiaTheme="minorEastAsia"/>
          <w:lang w:val="en-US" w:eastAsia="zh-CN"/>
        </w:rPr>
        <w:t xml:space="preserve">However, the timing error cannot be scaled directly according to the SCS. There are many components contributing to the overall timing error. </w:t>
      </w:r>
      <w:r w:rsidR="009635F1">
        <w:rPr>
          <w:rFonts w:eastAsiaTheme="minorEastAsia"/>
          <w:lang w:val="en-US" w:eastAsia="zh-CN"/>
        </w:rPr>
        <w:t>For some internal procedures, the performance/accuracy will not change significantly when operating in FR2-2 with 480 kHz and 960 kHz SCS compared to FR2-1.</w:t>
      </w:r>
    </w:p>
    <w:p w:rsidR="006F526B" w:rsidRPr="006F526B" w:rsidRDefault="006F526B" w:rsidP="00210B1F">
      <w:pPr>
        <w:rPr>
          <w:rFonts w:eastAsiaTheme="minorEastAsia"/>
          <w:b/>
          <w:lang w:val="en-US" w:eastAsia="zh-CN"/>
        </w:rPr>
      </w:pPr>
      <w:r w:rsidRPr="006F526B">
        <w:rPr>
          <w:rFonts w:eastAsiaTheme="minorEastAsia"/>
          <w:b/>
          <w:lang w:val="en-US" w:eastAsia="zh-CN"/>
        </w:rPr>
        <w:t>Observation 3: Many components will contribute to the overall timing error, and the accuracy of some components will not change significantly when operating in FR2-2 compared to FR2-1.</w:t>
      </w:r>
    </w:p>
    <w:p w:rsidR="006F526B" w:rsidRDefault="006F526B" w:rsidP="00210B1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hen it is adorable to consider the timing error based on the legacy FR2-1 framework. To be more specific, for </w:t>
      </w:r>
      <w:proofErr w:type="spellStart"/>
      <w:r>
        <w:rPr>
          <w:rFonts w:eastAsiaTheme="minorEastAsia"/>
          <w:lang w:val="en-US" w:eastAsia="zh-CN"/>
        </w:rPr>
        <w:t>Te</w:t>
      </w:r>
      <w:proofErr w:type="spellEnd"/>
      <w:r>
        <w:rPr>
          <w:rFonts w:eastAsiaTheme="minorEastAsia"/>
          <w:lang w:val="en-US" w:eastAsia="zh-CN"/>
        </w:rPr>
        <w:t xml:space="preserve"> and TA accuracy requirements, it is suggested to take the requirements for 120 kHz in FR2-1 as the baseline.</w:t>
      </w:r>
    </w:p>
    <w:p w:rsidR="006F526B" w:rsidRPr="00D53E23" w:rsidRDefault="006F526B" w:rsidP="00210B1F">
      <w:pPr>
        <w:rPr>
          <w:rFonts w:eastAsiaTheme="minorEastAsia"/>
          <w:b/>
          <w:lang w:val="en-US" w:eastAsia="zh-CN"/>
        </w:rPr>
      </w:pPr>
      <w:r w:rsidRPr="00D53E23">
        <w:rPr>
          <w:rFonts w:eastAsiaTheme="minorEastAsia"/>
          <w:b/>
          <w:lang w:val="en-US" w:eastAsia="zh-CN"/>
        </w:rPr>
        <w:t xml:space="preserve">Proposal 1: </w:t>
      </w:r>
      <w:r w:rsidR="00D53E23" w:rsidRPr="00D53E23">
        <w:rPr>
          <w:rFonts w:eastAsiaTheme="minorEastAsia"/>
          <w:b/>
          <w:lang w:val="en-US" w:eastAsia="zh-CN"/>
        </w:rPr>
        <w:t xml:space="preserve">Take the requirements for 120 kHz SCS in FR2-1 as the baseline for </w:t>
      </w:r>
      <w:proofErr w:type="spellStart"/>
      <w:r w:rsidR="00D53E23" w:rsidRPr="00D53E23">
        <w:rPr>
          <w:rFonts w:eastAsiaTheme="minorEastAsia"/>
          <w:b/>
          <w:lang w:val="en-US" w:eastAsia="zh-CN"/>
        </w:rPr>
        <w:t>Te</w:t>
      </w:r>
      <w:proofErr w:type="spellEnd"/>
      <w:r w:rsidR="00D53E23" w:rsidRPr="00D53E23">
        <w:rPr>
          <w:rFonts w:eastAsiaTheme="minorEastAsia"/>
          <w:b/>
          <w:lang w:val="en-US" w:eastAsia="zh-CN"/>
        </w:rPr>
        <w:t xml:space="preserve"> and TA accuracy requirements.</w:t>
      </w:r>
    </w:p>
    <w:p w:rsidR="0018532E" w:rsidRDefault="0018532E" w:rsidP="00210B1F">
      <w:pPr>
        <w:rPr>
          <w:rFonts w:eastAsiaTheme="minorEastAsia"/>
          <w:lang w:val="en-US" w:eastAsia="zh-CN"/>
        </w:rPr>
      </w:pPr>
      <w:r w:rsidRPr="0018532E">
        <w:rPr>
          <w:rFonts w:eastAsiaTheme="minorEastAsia"/>
          <w:lang w:val="en-US" w:eastAsia="zh-CN"/>
        </w:rPr>
        <w:t>Before we can touch the detailed requirements and value, we would like present our views on the potential ways to update the correspond requirements.</w:t>
      </w:r>
      <w:r>
        <w:rPr>
          <w:rFonts w:eastAsiaTheme="minorEastAsia"/>
          <w:lang w:val="en-US" w:eastAsia="zh-CN"/>
        </w:rPr>
        <w:t xml:space="preserve"> If we look at the current </w:t>
      </w:r>
      <w:proofErr w:type="spellStart"/>
      <w:r>
        <w:rPr>
          <w:rFonts w:eastAsiaTheme="minorEastAsia"/>
          <w:lang w:val="en-US" w:eastAsia="zh-CN"/>
        </w:rPr>
        <w:t>Te</w:t>
      </w:r>
      <w:proofErr w:type="spellEnd"/>
      <w:r>
        <w:rPr>
          <w:rFonts w:eastAsiaTheme="minorEastAsia"/>
          <w:lang w:val="en-US" w:eastAsia="zh-CN"/>
        </w:rPr>
        <w:t xml:space="preserve"> requirements, the value is defined depending on the frequency range, SCS of SSB signals and SCS of uplink signals. To adding/modifying the requirements for operation in FR 2-2, one approach is to differentiate the FR by the SCS. We give the example as follows:</w:t>
      </w:r>
    </w:p>
    <w:tbl>
      <w:tblPr>
        <w:tblStyle w:val="a7"/>
        <w:tblW w:w="0" w:type="auto"/>
        <w:tblLook w:val="04A0" w:firstRow="1" w:lastRow="0" w:firstColumn="1" w:lastColumn="0" w:noHBand="0" w:noVBand="1"/>
      </w:tblPr>
      <w:tblGrid>
        <w:gridCol w:w="9562"/>
      </w:tblGrid>
      <w:tr w:rsidR="0018532E" w:rsidTr="0018532E">
        <w:tc>
          <w:tcPr>
            <w:tcW w:w="9562" w:type="dxa"/>
          </w:tcPr>
          <w:p w:rsidR="0018532E" w:rsidRDefault="00523E60" w:rsidP="0018532E">
            <w:pPr>
              <w:rPr>
                <w:rFonts w:eastAsiaTheme="minorEastAsia"/>
                <w:lang w:val="en-US" w:eastAsia="zh-CN"/>
              </w:rPr>
            </w:pPr>
            <w:r>
              <w:rPr>
                <w:rFonts w:eastAsiaTheme="minorEastAsia" w:hint="eastAsia"/>
                <w:lang w:val="en-US" w:eastAsia="zh-CN"/>
              </w:rPr>
              <w:t xml:space="preserve">Table </w:t>
            </w:r>
            <w:proofErr w:type="gramStart"/>
            <w:r>
              <w:rPr>
                <w:rFonts w:eastAsiaTheme="minorEastAsia" w:hint="eastAsia"/>
                <w:lang w:val="en-US" w:eastAsia="zh-CN"/>
              </w:rPr>
              <w:t>I</w:t>
            </w:r>
            <w:proofErr w:type="gramEnd"/>
            <w:r>
              <w:rPr>
                <w:rFonts w:eastAsiaTheme="minorEastAsia" w:hint="eastAsia"/>
                <w:lang w:val="en-US" w:eastAsia="zh-CN"/>
              </w:rPr>
              <w:t>.</w:t>
            </w:r>
          </w:p>
          <w:p w:rsidR="0018532E" w:rsidRDefault="0018532E" w:rsidP="0018532E">
            <w:pPr>
              <w:rPr>
                <w:rFonts w:eastAsiaTheme="minorEastAsia"/>
                <w:lang w:val="en-US" w:eastAsia="zh-CN"/>
              </w:rPr>
            </w:pPr>
            <w:r>
              <w:rPr>
                <w:noProof/>
                <w:lang w:val="en-US" w:eastAsia="zh-CN"/>
              </w:rPr>
              <w:lastRenderedPageBreak/>
              <w:drawing>
                <wp:inline distT="0" distB="0" distL="0" distR="0" wp14:anchorId="170DFF06" wp14:editId="311859FA">
                  <wp:extent cx="3490133" cy="3101644"/>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01441" cy="3111693"/>
                          </a:xfrm>
                          <a:prstGeom prst="rect">
                            <a:avLst/>
                          </a:prstGeom>
                        </pic:spPr>
                      </pic:pic>
                    </a:graphicData>
                  </a:graphic>
                </wp:inline>
              </w:drawing>
            </w:r>
          </w:p>
        </w:tc>
      </w:tr>
    </w:tbl>
    <w:p w:rsidR="0018532E" w:rsidRDefault="0018532E" w:rsidP="0018532E">
      <w:pPr>
        <w:rPr>
          <w:rFonts w:eastAsiaTheme="minorEastAsia"/>
          <w:lang w:val="en-US" w:eastAsia="zh-CN"/>
        </w:rPr>
      </w:pPr>
    </w:p>
    <w:p w:rsidR="0018532E" w:rsidRDefault="0018532E" w:rsidP="0018532E">
      <w:pPr>
        <w:rPr>
          <w:rFonts w:eastAsiaTheme="minorEastAsia"/>
          <w:lang w:val="en-US" w:eastAsia="zh-CN"/>
        </w:rPr>
      </w:pPr>
      <w:r>
        <w:rPr>
          <w:rFonts w:eastAsiaTheme="minorEastAsia" w:hint="eastAsia"/>
          <w:lang w:val="en-US" w:eastAsia="zh-CN"/>
        </w:rPr>
        <w:t xml:space="preserve">Another </w:t>
      </w:r>
      <w:r>
        <w:rPr>
          <w:rFonts w:eastAsiaTheme="minorEastAsia"/>
          <w:lang w:val="en-US" w:eastAsia="zh-CN"/>
        </w:rPr>
        <w:t>approach</w:t>
      </w:r>
      <w:r>
        <w:rPr>
          <w:rFonts w:eastAsiaTheme="minorEastAsia" w:hint="eastAsia"/>
          <w:lang w:val="en-US" w:eastAsia="zh-CN"/>
        </w:rPr>
        <w:t xml:space="preserve"> </w:t>
      </w:r>
      <w:r>
        <w:rPr>
          <w:rFonts w:eastAsiaTheme="minorEastAsia"/>
          <w:lang w:val="en-US" w:eastAsia="zh-CN"/>
        </w:rPr>
        <w:t>is to explicitly differentiate the requirements for FR 2-1 and FR 2-2 in the table as follows:</w:t>
      </w:r>
    </w:p>
    <w:tbl>
      <w:tblPr>
        <w:tblStyle w:val="a7"/>
        <w:tblW w:w="0" w:type="auto"/>
        <w:tblLook w:val="04A0" w:firstRow="1" w:lastRow="0" w:firstColumn="1" w:lastColumn="0" w:noHBand="0" w:noVBand="1"/>
      </w:tblPr>
      <w:tblGrid>
        <w:gridCol w:w="9562"/>
      </w:tblGrid>
      <w:tr w:rsidR="0018532E" w:rsidTr="0018532E">
        <w:tc>
          <w:tcPr>
            <w:tcW w:w="9562" w:type="dxa"/>
          </w:tcPr>
          <w:p w:rsidR="0018532E" w:rsidRDefault="00523E60" w:rsidP="0018532E">
            <w:pPr>
              <w:rPr>
                <w:rFonts w:eastAsiaTheme="minorEastAsia"/>
                <w:lang w:val="en-US" w:eastAsia="zh-CN"/>
              </w:rPr>
            </w:pPr>
            <w:r>
              <w:rPr>
                <w:rFonts w:eastAsiaTheme="minorEastAsia" w:hint="eastAsia"/>
                <w:lang w:val="en-US" w:eastAsia="zh-CN"/>
              </w:rPr>
              <w:t>Table II.</w:t>
            </w:r>
          </w:p>
          <w:p w:rsidR="00523E60" w:rsidRDefault="00523E60" w:rsidP="0018532E">
            <w:pPr>
              <w:rPr>
                <w:rFonts w:eastAsiaTheme="minorEastAsia"/>
                <w:lang w:val="en-US" w:eastAsia="zh-CN"/>
              </w:rPr>
            </w:pPr>
            <w:r>
              <w:rPr>
                <w:noProof/>
                <w:lang w:val="en-US" w:eastAsia="zh-CN"/>
              </w:rPr>
              <w:drawing>
                <wp:inline distT="0" distB="0" distL="0" distR="0" wp14:anchorId="709C88C4" wp14:editId="5E7860AE">
                  <wp:extent cx="3535063" cy="286024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7296" cy="2886324"/>
                          </a:xfrm>
                          <a:prstGeom prst="rect">
                            <a:avLst/>
                          </a:prstGeom>
                        </pic:spPr>
                      </pic:pic>
                    </a:graphicData>
                  </a:graphic>
                </wp:inline>
              </w:drawing>
            </w:r>
          </w:p>
        </w:tc>
      </w:tr>
    </w:tbl>
    <w:p w:rsidR="0018532E" w:rsidRPr="0018532E" w:rsidRDefault="0018532E" w:rsidP="0018532E">
      <w:pPr>
        <w:rPr>
          <w:rFonts w:eastAsiaTheme="minorEastAsia"/>
          <w:lang w:eastAsia="zh-CN"/>
        </w:rPr>
      </w:pPr>
    </w:p>
    <w:p w:rsidR="00D53E23" w:rsidRDefault="00523E60" w:rsidP="0018532E">
      <w:pPr>
        <w:rPr>
          <w:rFonts w:eastAsiaTheme="minorEastAsia"/>
          <w:lang w:val="en-US" w:eastAsia="zh-CN"/>
        </w:rPr>
      </w:pPr>
      <w:r>
        <w:rPr>
          <w:rFonts w:eastAsiaTheme="minorEastAsia" w:hint="eastAsia"/>
          <w:lang w:val="en-US" w:eastAsia="zh-CN"/>
        </w:rPr>
        <w:t>From our understanding, there is no e</w:t>
      </w:r>
      <w:r>
        <w:rPr>
          <w:rFonts w:eastAsiaTheme="minorEastAsia"/>
          <w:lang w:val="en-US" w:eastAsia="zh-CN"/>
        </w:rPr>
        <w:t>ssential difference between these two approaches. The example shown in table II seems clearer to readers. It is suggested to define the requirements following the structures shown in table II.</w:t>
      </w:r>
    </w:p>
    <w:p w:rsidR="00D53E23" w:rsidRDefault="00D53E23" w:rsidP="0018532E">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MRTD/MTTD requirements, which is defined considering the propagation delay and the TAE requirements. Based on the status in RF session, it is still under discussion that whether to have new TAE requirements [4]. Then it is proposed to </w:t>
      </w:r>
      <w:r w:rsidR="009A3787">
        <w:rPr>
          <w:rFonts w:eastAsiaTheme="minorEastAsia"/>
          <w:lang w:val="en-US" w:eastAsia="zh-CN"/>
        </w:rPr>
        <w:t>wait for the conclusions on TAE before defining the MRTD/MTTD requirements.</w:t>
      </w:r>
    </w:p>
    <w:tbl>
      <w:tblPr>
        <w:tblStyle w:val="a7"/>
        <w:tblW w:w="0" w:type="auto"/>
        <w:tblLook w:val="04A0" w:firstRow="1" w:lastRow="0" w:firstColumn="1" w:lastColumn="0" w:noHBand="0" w:noVBand="1"/>
      </w:tblPr>
      <w:tblGrid>
        <w:gridCol w:w="9562"/>
      </w:tblGrid>
      <w:tr w:rsidR="00D53E23" w:rsidTr="00D53E23">
        <w:tc>
          <w:tcPr>
            <w:tcW w:w="9562" w:type="dxa"/>
          </w:tcPr>
          <w:p w:rsidR="00D53E23" w:rsidRDefault="00D53E23" w:rsidP="0018532E">
            <w:pPr>
              <w:rPr>
                <w:rFonts w:eastAsiaTheme="minorEastAsia"/>
                <w:lang w:val="en-US" w:eastAsia="zh-CN"/>
              </w:rPr>
            </w:pPr>
            <w:r w:rsidRPr="00D53E23">
              <w:rPr>
                <w:lang w:eastAsia="ja-JP"/>
              </w:rPr>
              <w:t>R4-2108638</w:t>
            </w:r>
          </w:p>
          <w:p w:rsidR="00D53E23" w:rsidRDefault="00D53E23" w:rsidP="0018532E">
            <w:pPr>
              <w:rPr>
                <w:rFonts w:eastAsiaTheme="minorEastAsia"/>
                <w:lang w:val="en-US" w:eastAsia="zh-CN"/>
              </w:rPr>
            </w:pPr>
            <w:r w:rsidRPr="00D53E23">
              <w:rPr>
                <w:rFonts w:eastAsiaTheme="minorEastAsia"/>
                <w:lang w:eastAsia="zh-CN"/>
              </w:rPr>
              <w:t>Way forward on Timing and signal quality requirements</w:t>
            </w:r>
          </w:p>
          <w:p w:rsidR="00D53E23" w:rsidRPr="00D53E23" w:rsidRDefault="00D53E23" w:rsidP="00D53E23">
            <w:pPr>
              <w:numPr>
                <w:ilvl w:val="0"/>
                <w:numId w:val="32"/>
              </w:numPr>
              <w:rPr>
                <w:rFonts w:eastAsiaTheme="minorEastAsia"/>
                <w:lang w:val="en-US" w:eastAsia="zh-CN"/>
              </w:rPr>
            </w:pPr>
            <w:r w:rsidRPr="00D53E23">
              <w:rPr>
                <w:rFonts w:eastAsiaTheme="minorEastAsia"/>
                <w:lang w:val="en-US" w:eastAsia="zh-CN"/>
              </w:rPr>
              <w:t>Study CA TAE and MIMO TAE further.</w:t>
            </w:r>
          </w:p>
          <w:p w:rsidR="00D53E23" w:rsidRPr="00D53E23" w:rsidRDefault="00D53E23" w:rsidP="00D53E23">
            <w:pPr>
              <w:numPr>
                <w:ilvl w:val="1"/>
                <w:numId w:val="32"/>
              </w:numPr>
              <w:rPr>
                <w:rFonts w:eastAsiaTheme="minorEastAsia"/>
                <w:lang w:val="en-US" w:eastAsia="zh-CN"/>
              </w:rPr>
            </w:pPr>
            <w:r w:rsidRPr="00D53E23">
              <w:rPr>
                <w:rFonts w:eastAsiaTheme="minorEastAsia"/>
                <w:lang w:eastAsia="zh-CN"/>
              </w:rPr>
              <w:lastRenderedPageBreak/>
              <w:t xml:space="preserve">Proponents of new </w:t>
            </w:r>
            <w:r w:rsidRPr="00D53E23">
              <w:rPr>
                <w:rFonts w:eastAsiaTheme="minorEastAsia"/>
                <w:lang w:val="en-US" w:eastAsia="zh-CN"/>
              </w:rPr>
              <w:t>CA TAE and MIMO TAE limits (other than the current FR2 ones) should provide technical justifications (e.g., preliminary simulation results) in next RAN4 meeting.</w:t>
            </w:r>
          </w:p>
          <w:p w:rsidR="00D53E23" w:rsidRPr="00D53E23" w:rsidRDefault="00D53E23" w:rsidP="0018532E">
            <w:pPr>
              <w:rPr>
                <w:rFonts w:eastAsiaTheme="minorEastAsia"/>
                <w:lang w:val="en-US" w:eastAsia="zh-CN"/>
              </w:rPr>
            </w:pPr>
          </w:p>
        </w:tc>
      </w:tr>
    </w:tbl>
    <w:p w:rsidR="00D53E23" w:rsidRDefault="00D53E23" w:rsidP="0018532E">
      <w:pPr>
        <w:rPr>
          <w:rFonts w:eastAsiaTheme="minorEastAsia"/>
          <w:lang w:val="en-US" w:eastAsia="zh-CN"/>
        </w:rPr>
      </w:pPr>
    </w:p>
    <w:p w:rsidR="009A3787" w:rsidRPr="000163AD" w:rsidRDefault="009A3787" w:rsidP="0018532E">
      <w:pPr>
        <w:rPr>
          <w:rFonts w:eastAsiaTheme="minorEastAsia"/>
          <w:b/>
          <w:lang w:val="en-US" w:eastAsia="zh-CN"/>
        </w:rPr>
      </w:pPr>
      <w:r w:rsidRPr="000163AD">
        <w:rPr>
          <w:rFonts w:eastAsiaTheme="minorEastAsia" w:hint="eastAsia"/>
          <w:b/>
          <w:lang w:val="en-US" w:eastAsia="zh-CN"/>
        </w:rPr>
        <w:t>P</w:t>
      </w:r>
      <w:r w:rsidRPr="000163AD">
        <w:rPr>
          <w:rFonts w:eastAsiaTheme="minorEastAsia"/>
          <w:b/>
          <w:lang w:val="en-US" w:eastAsia="zh-CN"/>
        </w:rPr>
        <w:t xml:space="preserve">roposal 2: Wait for conclusions on TAE before defining the MRTD/MTTD requirements. </w:t>
      </w:r>
    </w:p>
    <w:p w:rsidR="00DF0231" w:rsidRDefault="00DF0231" w:rsidP="00DF0231">
      <w:pPr>
        <w:pStyle w:val="1"/>
        <w:numPr>
          <w:ilvl w:val="0"/>
          <w:numId w:val="1"/>
        </w:numPr>
        <w:rPr>
          <w:lang w:val="en-US"/>
        </w:rPr>
      </w:pPr>
      <w:r w:rsidRPr="002D2977">
        <w:rPr>
          <w:lang w:val="en-US"/>
        </w:rPr>
        <w:t>Conclusions</w:t>
      </w:r>
    </w:p>
    <w:p w:rsidR="000163AD" w:rsidRPr="000163AD" w:rsidRDefault="000163AD" w:rsidP="000163AD">
      <w:pPr>
        <w:rPr>
          <w:rFonts w:eastAsiaTheme="minorEastAsia"/>
          <w:b/>
          <w:lang w:val="en-US" w:eastAsia="zh-CN"/>
        </w:rPr>
      </w:pPr>
      <w:r w:rsidRPr="000163AD">
        <w:rPr>
          <w:rFonts w:eastAsiaTheme="minorEastAsia"/>
          <w:b/>
          <w:lang w:val="en-US" w:eastAsia="zh-CN"/>
        </w:rPr>
        <w:t>Observation 1: The minimum channel bandwidth for each SCS shall be considered when defining the requirements for transmit timing and timing advance adjustment accuracy.</w:t>
      </w:r>
    </w:p>
    <w:p w:rsidR="000163AD" w:rsidRPr="000163AD" w:rsidRDefault="000163AD" w:rsidP="000163AD">
      <w:pPr>
        <w:rPr>
          <w:rFonts w:eastAsiaTheme="minorEastAsia"/>
          <w:b/>
          <w:lang w:val="en-US" w:eastAsia="zh-CN"/>
        </w:rPr>
      </w:pPr>
      <w:r w:rsidRPr="000163AD">
        <w:rPr>
          <w:rFonts w:eastAsiaTheme="minorEastAsia"/>
          <w:b/>
          <w:lang w:val="en-US" w:eastAsia="zh-CN"/>
        </w:rPr>
        <w:t>Observation 2: UE may have better timing accuracy with larger SCS and larger minimum channel bandwidth.</w:t>
      </w:r>
    </w:p>
    <w:p w:rsidR="000163AD" w:rsidRPr="000163AD" w:rsidRDefault="000163AD" w:rsidP="000163AD">
      <w:pPr>
        <w:rPr>
          <w:rFonts w:eastAsiaTheme="minorEastAsia"/>
          <w:b/>
          <w:lang w:val="en-US" w:eastAsia="zh-CN"/>
        </w:rPr>
      </w:pPr>
      <w:r w:rsidRPr="000163AD">
        <w:rPr>
          <w:rFonts w:eastAsiaTheme="minorEastAsia"/>
          <w:b/>
          <w:lang w:val="en-US" w:eastAsia="zh-CN"/>
        </w:rPr>
        <w:t>Observation 3: Many components will contribute to the overall timing error, and the accuracy of some components will not change significantly when operating in FR2-2 compared to FR2-1.</w:t>
      </w:r>
    </w:p>
    <w:p w:rsidR="000163AD" w:rsidRPr="000163AD" w:rsidRDefault="000163AD" w:rsidP="000163AD">
      <w:pPr>
        <w:rPr>
          <w:rFonts w:eastAsiaTheme="minorEastAsia"/>
          <w:b/>
          <w:lang w:val="en-US" w:eastAsia="zh-CN"/>
        </w:rPr>
      </w:pPr>
      <w:r w:rsidRPr="000163AD">
        <w:rPr>
          <w:rFonts w:eastAsiaTheme="minorEastAsia"/>
          <w:b/>
          <w:lang w:val="en-US" w:eastAsia="zh-CN"/>
        </w:rPr>
        <w:t xml:space="preserve">Proposal 1: Take the requirements for 120 kHz SCS in FR2-1 as the baseline for </w:t>
      </w:r>
      <w:proofErr w:type="spellStart"/>
      <w:r w:rsidRPr="000163AD">
        <w:rPr>
          <w:rFonts w:eastAsiaTheme="minorEastAsia"/>
          <w:b/>
          <w:lang w:val="en-US" w:eastAsia="zh-CN"/>
        </w:rPr>
        <w:t>Te</w:t>
      </w:r>
      <w:proofErr w:type="spellEnd"/>
      <w:r w:rsidRPr="000163AD">
        <w:rPr>
          <w:rFonts w:eastAsiaTheme="minorEastAsia"/>
          <w:b/>
          <w:lang w:val="en-US" w:eastAsia="zh-CN"/>
        </w:rPr>
        <w:t xml:space="preserve"> and TA accuracy requirements.</w:t>
      </w:r>
    </w:p>
    <w:p w:rsidR="000163AD" w:rsidRPr="000163AD" w:rsidRDefault="000163AD" w:rsidP="000163AD">
      <w:pPr>
        <w:rPr>
          <w:rFonts w:eastAsiaTheme="minorEastAsia"/>
          <w:b/>
          <w:lang w:val="en-US" w:eastAsia="zh-CN"/>
        </w:rPr>
      </w:pPr>
      <w:r w:rsidRPr="000163AD">
        <w:rPr>
          <w:rFonts w:eastAsiaTheme="minorEastAsia"/>
          <w:b/>
          <w:lang w:val="en-US" w:eastAsia="zh-CN"/>
        </w:rPr>
        <w:t>Proposal 2: Wait for conclusions on TAE before defining the MRTD/MTTD requirements.</w:t>
      </w: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946379" w:rsidRPr="00946379">
        <w:rPr>
          <w:lang w:val="en-US"/>
        </w:rPr>
        <w:t>R4-2108354</w:t>
      </w:r>
      <w:r>
        <w:rPr>
          <w:lang w:val="en-US"/>
        </w:rPr>
        <w:t xml:space="preserve"> </w:t>
      </w:r>
      <w:r w:rsidR="00946379" w:rsidRPr="00946379">
        <w:rPr>
          <w:lang w:val="en-US"/>
        </w:rPr>
        <w:t>WF on NR Ext to 71GHz - RRM</w:t>
      </w:r>
      <w:r>
        <w:rPr>
          <w:lang w:val="en-US"/>
        </w:rPr>
        <w:t xml:space="preserve">, </w:t>
      </w:r>
      <w:r w:rsidRPr="00CD108E">
        <w:rPr>
          <w:lang w:val="en-US"/>
        </w:rPr>
        <w:t>Qualcomm</w:t>
      </w:r>
    </w:p>
    <w:p w:rsidR="00BA21A5" w:rsidRDefault="00BA21A5" w:rsidP="00637A49">
      <w:r>
        <w:t>[</w:t>
      </w:r>
      <w:r w:rsidR="0018532E">
        <w:t>2</w:t>
      </w:r>
      <w:r>
        <w:t xml:space="preserve">] </w:t>
      </w:r>
      <w:r w:rsidR="00D322FE" w:rsidRPr="00D322FE">
        <w:t>R4-2105410</w:t>
      </w:r>
      <w:r>
        <w:t xml:space="preserve"> </w:t>
      </w:r>
      <w:r w:rsidR="00D322FE" w:rsidRPr="00D322FE">
        <w:t>WF on [137] NR_ext_to_71GHz_Part1</w:t>
      </w:r>
      <w:r>
        <w:t>, Intel</w:t>
      </w:r>
    </w:p>
    <w:p w:rsidR="00D322FE" w:rsidRDefault="00D322FE" w:rsidP="00637A49">
      <w:pPr>
        <w:rPr>
          <w:lang w:eastAsia="ja-JP"/>
        </w:rPr>
      </w:pPr>
      <w:r>
        <w:t xml:space="preserve">[3] </w:t>
      </w:r>
      <w:r>
        <w:rPr>
          <w:lang w:eastAsia="ja-JP"/>
        </w:rPr>
        <w:t xml:space="preserve">R4-2105411 </w:t>
      </w:r>
      <w:r w:rsidRPr="00D322FE">
        <w:rPr>
          <w:lang w:eastAsia="ja-JP"/>
        </w:rPr>
        <w:t>Reply LS on the maximum/minimum channel bandwidths and channelization for NR operation in 52.6 to 71GHz</w:t>
      </w:r>
    </w:p>
    <w:p w:rsidR="00D53E23" w:rsidRPr="00D53E23" w:rsidRDefault="00D53E23" w:rsidP="00D53E23">
      <w:pPr>
        <w:rPr>
          <w:lang w:val="en-US" w:eastAsia="ja-JP"/>
        </w:rPr>
      </w:pPr>
      <w:r>
        <w:rPr>
          <w:lang w:eastAsia="ja-JP"/>
        </w:rPr>
        <w:t xml:space="preserve">[4] </w:t>
      </w:r>
      <w:r w:rsidRPr="00D53E23">
        <w:rPr>
          <w:lang w:eastAsia="ja-JP"/>
        </w:rPr>
        <w:t>R4-2108638</w:t>
      </w:r>
      <w:r>
        <w:rPr>
          <w:lang w:eastAsia="ja-JP"/>
        </w:rPr>
        <w:t xml:space="preserve"> </w:t>
      </w:r>
      <w:r w:rsidRPr="00D53E23">
        <w:rPr>
          <w:lang w:eastAsia="ja-JP"/>
        </w:rPr>
        <w:t>WF on BS TX RF requirements for 52.6 – 71 GHz</w:t>
      </w:r>
      <w:r>
        <w:rPr>
          <w:lang w:eastAsia="ja-JP"/>
        </w:rPr>
        <w:t xml:space="preserve"> </w:t>
      </w:r>
      <w:r w:rsidRPr="00D53E23">
        <w:rPr>
          <w:lang w:val="en-US" w:eastAsia="ja-JP"/>
        </w:rPr>
        <w:t>Nokia</w:t>
      </w:r>
    </w:p>
    <w:p w:rsidR="00D53E23" w:rsidRDefault="00D53E23" w:rsidP="00637A49"/>
    <w:p w:rsidR="00637A49" w:rsidRPr="0018532E" w:rsidRDefault="00637A49" w:rsidP="00637A49">
      <w:pPr>
        <w:rPr>
          <w:rFonts w:eastAsiaTheme="minorEastAsia"/>
        </w:rPr>
      </w:pPr>
    </w:p>
    <w:p w:rsidR="00BA4C0A" w:rsidRPr="00946379" w:rsidRDefault="00BA4C0A">
      <w:pPr>
        <w:rPr>
          <w:rFonts w:eastAsiaTheme="minorEastAsia"/>
          <w:lang w:eastAsia="zh-CN"/>
        </w:rPr>
      </w:pPr>
    </w:p>
    <w:sectPr w:rsidR="00BA4C0A" w:rsidRPr="00946379"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284" w:rsidRDefault="008A5284">
      <w:pPr>
        <w:spacing w:after="0"/>
      </w:pPr>
      <w:r>
        <w:separator/>
      </w:r>
    </w:p>
  </w:endnote>
  <w:endnote w:type="continuationSeparator" w:id="0">
    <w:p w:rsidR="008A5284" w:rsidRDefault="008A5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E23" w:rsidRDefault="00D53E2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D53E23" w:rsidRDefault="00D53E2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E23" w:rsidRDefault="00D53E2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511FF">
      <w:rPr>
        <w:rStyle w:val="a5"/>
      </w:rPr>
      <w:t>1</w:t>
    </w:r>
    <w:r>
      <w:rPr>
        <w:rStyle w:val="a5"/>
      </w:rPr>
      <w:fldChar w:fldCharType="end"/>
    </w:r>
  </w:p>
  <w:p w:rsidR="00D53E23" w:rsidRDefault="00D53E2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284" w:rsidRDefault="008A5284">
      <w:pPr>
        <w:spacing w:after="0"/>
      </w:pPr>
      <w:r>
        <w:separator/>
      </w:r>
    </w:p>
  </w:footnote>
  <w:footnote w:type="continuationSeparator" w:id="0">
    <w:p w:rsidR="008A5284" w:rsidRDefault="008A52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BF7C31"/>
    <w:multiLevelType w:val="hybridMultilevel"/>
    <w:tmpl w:val="7266372C"/>
    <w:lvl w:ilvl="0" w:tplc="05CCBC56">
      <w:start w:val="1"/>
      <w:numFmt w:val="bullet"/>
      <w:lvlText w:val="•"/>
      <w:lvlJc w:val="left"/>
      <w:pPr>
        <w:tabs>
          <w:tab w:val="num" w:pos="720"/>
        </w:tabs>
        <w:ind w:left="720" w:hanging="360"/>
      </w:pPr>
      <w:rPr>
        <w:rFonts w:ascii="Arial" w:hAnsi="Arial" w:hint="default"/>
      </w:rPr>
    </w:lvl>
    <w:lvl w:ilvl="1" w:tplc="9DF66A46">
      <w:numFmt w:val="bullet"/>
      <w:lvlText w:val="•"/>
      <w:lvlJc w:val="left"/>
      <w:pPr>
        <w:tabs>
          <w:tab w:val="num" w:pos="1440"/>
        </w:tabs>
        <w:ind w:left="1440" w:hanging="360"/>
      </w:pPr>
      <w:rPr>
        <w:rFonts w:ascii="Arial" w:hAnsi="Arial" w:hint="default"/>
      </w:rPr>
    </w:lvl>
    <w:lvl w:ilvl="2" w:tplc="8544F1DC" w:tentative="1">
      <w:start w:val="1"/>
      <w:numFmt w:val="bullet"/>
      <w:lvlText w:val="•"/>
      <w:lvlJc w:val="left"/>
      <w:pPr>
        <w:tabs>
          <w:tab w:val="num" w:pos="2160"/>
        </w:tabs>
        <w:ind w:left="2160" w:hanging="360"/>
      </w:pPr>
      <w:rPr>
        <w:rFonts w:ascii="Arial" w:hAnsi="Arial" w:hint="default"/>
      </w:rPr>
    </w:lvl>
    <w:lvl w:ilvl="3" w:tplc="0B786E9A" w:tentative="1">
      <w:start w:val="1"/>
      <w:numFmt w:val="bullet"/>
      <w:lvlText w:val="•"/>
      <w:lvlJc w:val="left"/>
      <w:pPr>
        <w:tabs>
          <w:tab w:val="num" w:pos="2880"/>
        </w:tabs>
        <w:ind w:left="2880" w:hanging="360"/>
      </w:pPr>
      <w:rPr>
        <w:rFonts w:ascii="Arial" w:hAnsi="Arial" w:hint="default"/>
      </w:rPr>
    </w:lvl>
    <w:lvl w:ilvl="4" w:tplc="71A8CCF2" w:tentative="1">
      <w:start w:val="1"/>
      <w:numFmt w:val="bullet"/>
      <w:lvlText w:val="•"/>
      <w:lvlJc w:val="left"/>
      <w:pPr>
        <w:tabs>
          <w:tab w:val="num" w:pos="3600"/>
        </w:tabs>
        <w:ind w:left="3600" w:hanging="360"/>
      </w:pPr>
      <w:rPr>
        <w:rFonts w:ascii="Arial" w:hAnsi="Arial" w:hint="default"/>
      </w:rPr>
    </w:lvl>
    <w:lvl w:ilvl="5" w:tplc="0F348BF2" w:tentative="1">
      <w:start w:val="1"/>
      <w:numFmt w:val="bullet"/>
      <w:lvlText w:val="•"/>
      <w:lvlJc w:val="left"/>
      <w:pPr>
        <w:tabs>
          <w:tab w:val="num" w:pos="4320"/>
        </w:tabs>
        <w:ind w:left="4320" w:hanging="360"/>
      </w:pPr>
      <w:rPr>
        <w:rFonts w:ascii="Arial" w:hAnsi="Arial" w:hint="default"/>
      </w:rPr>
    </w:lvl>
    <w:lvl w:ilvl="6" w:tplc="5D7CB6C0" w:tentative="1">
      <w:start w:val="1"/>
      <w:numFmt w:val="bullet"/>
      <w:lvlText w:val="•"/>
      <w:lvlJc w:val="left"/>
      <w:pPr>
        <w:tabs>
          <w:tab w:val="num" w:pos="5040"/>
        </w:tabs>
        <w:ind w:left="5040" w:hanging="360"/>
      </w:pPr>
      <w:rPr>
        <w:rFonts w:ascii="Arial" w:hAnsi="Arial" w:hint="default"/>
      </w:rPr>
    </w:lvl>
    <w:lvl w:ilvl="7" w:tplc="72D012E2" w:tentative="1">
      <w:start w:val="1"/>
      <w:numFmt w:val="bullet"/>
      <w:lvlText w:val="•"/>
      <w:lvlJc w:val="left"/>
      <w:pPr>
        <w:tabs>
          <w:tab w:val="num" w:pos="5760"/>
        </w:tabs>
        <w:ind w:left="5760" w:hanging="360"/>
      </w:pPr>
      <w:rPr>
        <w:rFonts w:ascii="Arial" w:hAnsi="Arial" w:hint="default"/>
      </w:rPr>
    </w:lvl>
    <w:lvl w:ilvl="8" w:tplc="C2CC97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8B0186"/>
    <w:multiLevelType w:val="hybridMultilevel"/>
    <w:tmpl w:val="53740DCC"/>
    <w:lvl w:ilvl="0" w:tplc="BD3C2D6A">
      <w:start w:val="1"/>
      <w:numFmt w:val="bullet"/>
      <w:lvlText w:val="•"/>
      <w:lvlJc w:val="left"/>
      <w:pPr>
        <w:tabs>
          <w:tab w:val="num" w:pos="720"/>
        </w:tabs>
        <w:ind w:left="720" w:hanging="360"/>
      </w:pPr>
      <w:rPr>
        <w:rFonts w:ascii="Arial" w:hAnsi="Arial" w:hint="default"/>
      </w:rPr>
    </w:lvl>
    <w:lvl w:ilvl="1" w:tplc="C18CA5BC">
      <w:numFmt w:val="bullet"/>
      <w:lvlText w:val="•"/>
      <w:lvlJc w:val="left"/>
      <w:pPr>
        <w:tabs>
          <w:tab w:val="num" w:pos="1440"/>
        </w:tabs>
        <w:ind w:left="1440" w:hanging="360"/>
      </w:pPr>
      <w:rPr>
        <w:rFonts w:ascii="Arial" w:hAnsi="Arial" w:hint="default"/>
      </w:rPr>
    </w:lvl>
    <w:lvl w:ilvl="2" w:tplc="AA063330">
      <w:numFmt w:val="bullet"/>
      <w:lvlText w:val="•"/>
      <w:lvlJc w:val="left"/>
      <w:pPr>
        <w:tabs>
          <w:tab w:val="num" w:pos="2160"/>
        </w:tabs>
        <w:ind w:left="2160" w:hanging="360"/>
      </w:pPr>
      <w:rPr>
        <w:rFonts w:ascii="Arial" w:hAnsi="Arial" w:hint="default"/>
      </w:rPr>
    </w:lvl>
    <w:lvl w:ilvl="3" w:tplc="1444C942" w:tentative="1">
      <w:start w:val="1"/>
      <w:numFmt w:val="bullet"/>
      <w:lvlText w:val="•"/>
      <w:lvlJc w:val="left"/>
      <w:pPr>
        <w:tabs>
          <w:tab w:val="num" w:pos="2880"/>
        </w:tabs>
        <w:ind w:left="2880" w:hanging="360"/>
      </w:pPr>
      <w:rPr>
        <w:rFonts w:ascii="Arial" w:hAnsi="Arial" w:hint="default"/>
      </w:rPr>
    </w:lvl>
    <w:lvl w:ilvl="4" w:tplc="8FF4EB22" w:tentative="1">
      <w:start w:val="1"/>
      <w:numFmt w:val="bullet"/>
      <w:lvlText w:val="•"/>
      <w:lvlJc w:val="left"/>
      <w:pPr>
        <w:tabs>
          <w:tab w:val="num" w:pos="3600"/>
        </w:tabs>
        <w:ind w:left="3600" w:hanging="360"/>
      </w:pPr>
      <w:rPr>
        <w:rFonts w:ascii="Arial" w:hAnsi="Arial" w:hint="default"/>
      </w:rPr>
    </w:lvl>
    <w:lvl w:ilvl="5" w:tplc="1C6A7480" w:tentative="1">
      <w:start w:val="1"/>
      <w:numFmt w:val="bullet"/>
      <w:lvlText w:val="•"/>
      <w:lvlJc w:val="left"/>
      <w:pPr>
        <w:tabs>
          <w:tab w:val="num" w:pos="4320"/>
        </w:tabs>
        <w:ind w:left="4320" w:hanging="360"/>
      </w:pPr>
      <w:rPr>
        <w:rFonts w:ascii="Arial" w:hAnsi="Arial" w:hint="default"/>
      </w:rPr>
    </w:lvl>
    <w:lvl w:ilvl="6" w:tplc="DCE84F1A" w:tentative="1">
      <w:start w:val="1"/>
      <w:numFmt w:val="bullet"/>
      <w:lvlText w:val="•"/>
      <w:lvlJc w:val="left"/>
      <w:pPr>
        <w:tabs>
          <w:tab w:val="num" w:pos="5040"/>
        </w:tabs>
        <w:ind w:left="5040" w:hanging="360"/>
      </w:pPr>
      <w:rPr>
        <w:rFonts w:ascii="Arial" w:hAnsi="Arial" w:hint="default"/>
      </w:rPr>
    </w:lvl>
    <w:lvl w:ilvl="7" w:tplc="01B03D90" w:tentative="1">
      <w:start w:val="1"/>
      <w:numFmt w:val="bullet"/>
      <w:lvlText w:val="•"/>
      <w:lvlJc w:val="left"/>
      <w:pPr>
        <w:tabs>
          <w:tab w:val="num" w:pos="5760"/>
        </w:tabs>
        <w:ind w:left="5760" w:hanging="360"/>
      </w:pPr>
      <w:rPr>
        <w:rFonts w:ascii="Arial" w:hAnsi="Arial" w:hint="default"/>
      </w:rPr>
    </w:lvl>
    <w:lvl w:ilvl="8" w:tplc="3266E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4032BC"/>
    <w:multiLevelType w:val="hybridMultilevel"/>
    <w:tmpl w:val="493CFDF2"/>
    <w:lvl w:ilvl="0" w:tplc="CC30F88C">
      <w:start w:val="1"/>
      <w:numFmt w:val="bullet"/>
      <w:lvlText w:val="•"/>
      <w:lvlJc w:val="left"/>
      <w:pPr>
        <w:tabs>
          <w:tab w:val="num" w:pos="720"/>
        </w:tabs>
        <w:ind w:left="720" w:hanging="360"/>
      </w:pPr>
      <w:rPr>
        <w:rFonts w:ascii="Arial" w:hAnsi="Arial" w:hint="default"/>
      </w:rPr>
    </w:lvl>
    <w:lvl w:ilvl="1" w:tplc="B2FAB682">
      <w:numFmt w:val="bullet"/>
      <w:lvlText w:val="•"/>
      <w:lvlJc w:val="left"/>
      <w:pPr>
        <w:tabs>
          <w:tab w:val="num" w:pos="1440"/>
        </w:tabs>
        <w:ind w:left="1440" w:hanging="360"/>
      </w:pPr>
      <w:rPr>
        <w:rFonts w:ascii="Arial" w:hAnsi="Arial" w:hint="default"/>
      </w:rPr>
    </w:lvl>
    <w:lvl w:ilvl="2" w:tplc="48A071A8" w:tentative="1">
      <w:start w:val="1"/>
      <w:numFmt w:val="bullet"/>
      <w:lvlText w:val="•"/>
      <w:lvlJc w:val="left"/>
      <w:pPr>
        <w:tabs>
          <w:tab w:val="num" w:pos="2160"/>
        </w:tabs>
        <w:ind w:left="2160" w:hanging="360"/>
      </w:pPr>
      <w:rPr>
        <w:rFonts w:ascii="Arial" w:hAnsi="Arial" w:hint="default"/>
      </w:rPr>
    </w:lvl>
    <w:lvl w:ilvl="3" w:tplc="B24C7DFC" w:tentative="1">
      <w:start w:val="1"/>
      <w:numFmt w:val="bullet"/>
      <w:lvlText w:val="•"/>
      <w:lvlJc w:val="left"/>
      <w:pPr>
        <w:tabs>
          <w:tab w:val="num" w:pos="2880"/>
        </w:tabs>
        <w:ind w:left="2880" w:hanging="360"/>
      </w:pPr>
      <w:rPr>
        <w:rFonts w:ascii="Arial" w:hAnsi="Arial" w:hint="default"/>
      </w:rPr>
    </w:lvl>
    <w:lvl w:ilvl="4" w:tplc="C070FC74" w:tentative="1">
      <w:start w:val="1"/>
      <w:numFmt w:val="bullet"/>
      <w:lvlText w:val="•"/>
      <w:lvlJc w:val="left"/>
      <w:pPr>
        <w:tabs>
          <w:tab w:val="num" w:pos="3600"/>
        </w:tabs>
        <w:ind w:left="3600" w:hanging="360"/>
      </w:pPr>
      <w:rPr>
        <w:rFonts w:ascii="Arial" w:hAnsi="Arial" w:hint="default"/>
      </w:rPr>
    </w:lvl>
    <w:lvl w:ilvl="5" w:tplc="AC8C213A" w:tentative="1">
      <w:start w:val="1"/>
      <w:numFmt w:val="bullet"/>
      <w:lvlText w:val="•"/>
      <w:lvlJc w:val="left"/>
      <w:pPr>
        <w:tabs>
          <w:tab w:val="num" w:pos="4320"/>
        </w:tabs>
        <w:ind w:left="4320" w:hanging="360"/>
      </w:pPr>
      <w:rPr>
        <w:rFonts w:ascii="Arial" w:hAnsi="Arial" w:hint="default"/>
      </w:rPr>
    </w:lvl>
    <w:lvl w:ilvl="6" w:tplc="05527F4A" w:tentative="1">
      <w:start w:val="1"/>
      <w:numFmt w:val="bullet"/>
      <w:lvlText w:val="•"/>
      <w:lvlJc w:val="left"/>
      <w:pPr>
        <w:tabs>
          <w:tab w:val="num" w:pos="5040"/>
        </w:tabs>
        <w:ind w:left="5040" w:hanging="360"/>
      </w:pPr>
      <w:rPr>
        <w:rFonts w:ascii="Arial" w:hAnsi="Arial" w:hint="default"/>
      </w:rPr>
    </w:lvl>
    <w:lvl w:ilvl="7" w:tplc="AD0AF2B4" w:tentative="1">
      <w:start w:val="1"/>
      <w:numFmt w:val="bullet"/>
      <w:lvlText w:val="•"/>
      <w:lvlJc w:val="left"/>
      <w:pPr>
        <w:tabs>
          <w:tab w:val="num" w:pos="5760"/>
        </w:tabs>
        <w:ind w:left="5760" w:hanging="360"/>
      </w:pPr>
      <w:rPr>
        <w:rFonts w:ascii="Arial" w:hAnsi="Arial" w:hint="default"/>
      </w:rPr>
    </w:lvl>
    <w:lvl w:ilvl="8" w:tplc="73AAB9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30"/>
  </w:num>
  <w:num w:numId="4">
    <w:abstractNumId w:val="28"/>
  </w:num>
  <w:num w:numId="5">
    <w:abstractNumId w:val="1"/>
  </w:num>
  <w:num w:numId="6">
    <w:abstractNumId w:val="15"/>
  </w:num>
  <w:num w:numId="7">
    <w:abstractNumId w:val="8"/>
  </w:num>
  <w:num w:numId="8">
    <w:abstractNumId w:val="21"/>
  </w:num>
  <w:num w:numId="9">
    <w:abstractNumId w:val="22"/>
  </w:num>
  <w:num w:numId="10">
    <w:abstractNumId w:val="17"/>
  </w:num>
  <w:num w:numId="11">
    <w:abstractNumId w:val="20"/>
  </w:num>
  <w:num w:numId="12">
    <w:abstractNumId w:val="7"/>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6"/>
  </w:num>
  <w:num w:numId="17">
    <w:abstractNumId w:val="25"/>
  </w:num>
  <w:num w:numId="18">
    <w:abstractNumId w:val="13"/>
  </w:num>
  <w:num w:numId="19">
    <w:abstractNumId w:val="3"/>
  </w:num>
  <w:num w:numId="20">
    <w:abstractNumId w:val="10"/>
  </w:num>
  <w:num w:numId="21">
    <w:abstractNumId w:val="6"/>
  </w:num>
  <w:num w:numId="22">
    <w:abstractNumId w:val="9"/>
  </w:num>
  <w:num w:numId="23">
    <w:abstractNumId w:val="19"/>
  </w:num>
  <w:num w:numId="24">
    <w:abstractNumId w:val="0"/>
  </w:num>
  <w:num w:numId="25">
    <w:abstractNumId w:val="16"/>
  </w:num>
  <w:num w:numId="26">
    <w:abstractNumId w:val="5"/>
  </w:num>
  <w:num w:numId="27">
    <w:abstractNumId w:val="18"/>
  </w:num>
  <w:num w:numId="28">
    <w:abstractNumId w:val="2"/>
  </w:num>
  <w:num w:numId="29">
    <w:abstractNumId w:val="23"/>
  </w:num>
  <w:num w:numId="30">
    <w:abstractNumId w:val="12"/>
  </w:num>
  <w:num w:numId="31">
    <w:abstractNumId w:val="4"/>
  </w:num>
  <w:num w:numId="3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63AD"/>
    <w:rsid w:val="00025036"/>
    <w:rsid w:val="0004558E"/>
    <w:rsid w:val="0004716B"/>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6168"/>
    <w:rsid w:val="0017747E"/>
    <w:rsid w:val="0018314E"/>
    <w:rsid w:val="00184719"/>
    <w:rsid w:val="0018532E"/>
    <w:rsid w:val="00197964"/>
    <w:rsid w:val="001A1E7C"/>
    <w:rsid w:val="001C4240"/>
    <w:rsid w:val="001D3006"/>
    <w:rsid w:val="001E7174"/>
    <w:rsid w:val="0020033A"/>
    <w:rsid w:val="00210B1F"/>
    <w:rsid w:val="00216AAB"/>
    <w:rsid w:val="00217770"/>
    <w:rsid w:val="002221AC"/>
    <w:rsid w:val="00222A85"/>
    <w:rsid w:val="00222AF7"/>
    <w:rsid w:val="00232120"/>
    <w:rsid w:val="002328DD"/>
    <w:rsid w:val="00234AA1"/>
    <w:rsid w:val="002429BC"/>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210D"/>
    <w:rsid w:val="003158EC"/>
    <w:rsid w:val="0031695B"/>
    <w:rsid w:val="00321181"/>
    <w:rsid w:val="00323702"/>
    <w:rsid w:val="00336939"/>
    <w:rsid w:val="003422A4"/>
    <w:rsid w:val="00352697"/>
    <w:rsid w:val="00356FB6"/>
    <w:rsid w:val="003622B2"/>
    <w:rsid w:val="003664ED"/>
    <w:rsid w:val="00377D59"/>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D51"/>
    <w:rsid w:val="004E7966"/>
    <w:rsid w:val="004F0167"/>
    <w:rsid w:val="004F216B"/>
    <w:rsid w:val="004F344B"/>
    <w:rsid w:val="00502991"/>
    <w:rsid w:val="00514A5F"/>
    <w:rsid w:val="005235DB"/>
    <w:rsid w:val="00523E60"/>
    <w:rsid w:val="00530EB0"/>
    <w:rsid w:val="005375AA"/>
    <w:rsid w:val="005409B9"/>
    <w:rsid w:val="00540F80"/>
    <w:rsid w:val="00545EC2"/>
    <w:rsid w:val="0054734A"/>
    <w:rsid w:val="005546D8"/>
    <w:rsid w:val="00557527"/>
    <w:rsid w:val="005755A4"/>
    <w:rsid w:val="005763DF"/>
    <w:rsid w:val="00582652"/>
    <w:rsid w:val="005A2C70"/>
    <w:rsid w:val="005A456B"/>
    <w:rsid w:val="005B0D68"/>
    <w:rsid w:val="005B6053"/>
    <w:rsid w:val="005C337F"/>
    <w:rsid w:val="005C4F6E"/>
    <w:rsid w:val="005D15A2"/>
    <w:rsid w:val="005D231A"/>
    <w:rsid w:val="005D3DC0"/>
    <w:rsid w:val="005D6BEF"/>
    <w:rsid w:val="005E29AA"/>
    <w:rsid w:val="005E4CCD"/>
    <w:rsid w:val="005F5231"/>
    <w:rsid w:val="00603A4D"/>
    <w:rsid w:val="00604490"/>
    <w:rsid w:val="0060650F"/>
    <w:rsid w:val="00607CE8"/>
    <w:rsid w:val="0061679F"/>
    <w:rsid w:val="00637A49"/>
    <w:rsid w:val="0066186B"/>
    <w:rsid w:val="00672FCE"/>
    <w:rsid w:val="00681F59"/>
    <w:rsid w:val="006A68E5"/>
    <w:rsid w:val="006C4BDB"/>
    <w:rsid w:val="006D43CD"/>
    <w:rsid w:val="006D7325"/>
    <w:rsid w:val="006F1BAF"/>
    <w:rsid w:val="006F27CD"/>
    <w:rsid w:val="006F526B"/>
    <w:rsid w:val="006F5874"/>
    <w:rsid w:val="00701598"/>
    <w:rsid w:val="00702FA5"/>
    <w:rsid w:val="00712608"/>
    <w:rsid w:val="00714064"/>
    <w:rsid w:val="007200C7"/>
    <w:rsid w:val="00723883"/>
    <w:rsid w:val="00732D90"/>
    <w:rsid w:val="007334B6"/>
    <w:rsid w:val="00734B34"/>
    <w:rsid w:val="00736D84"/>
    <w:rsid w:val="007511FF"/>
    <w:rsid w:val="00763EF7"/>
    <w:rsid w:val="00766048"/>
    <w:rsid w:val="0077159B"/>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35A2"/>
    <w:rsid w:val="007C5B24"/>
    <w:rsid w:val="007D0DF7"/>
    <w:rsid w:val="007D3409"/>
    <w:rsid w:val="007D58F5"/>
    <w:rsid w:val="007E2057"/>
    <w:rsid w:val="007E2E8A"/>
    <w:rsid w:val="007E431D"/>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5284"/>
    <w:rsid w:val="008A60E4"/>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50D8"/>
    <w:rsid w:val="00946379"/>
    <w:rsid w:val="00957098"/>
    <w:rsid w:val="009635F1"/>
    <w:rsid w:val="009708D0"/>
    <w:rsid w:val="00972D26"/>
    <w:rsid w:val="00973C4C"/>
    <w:rsid w:val="009814D6"/>
    <w:rsid w:val="0099102E"/>
    <w:rsid w:val="00991889"/>
    <w:rsid w:val="009968CF"/>
    <w:rsid w:val="009A3787"/>
    <w:rsid w:val="009A3829"/>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66E4B"/>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0864"/>
    <w:rsid w:val="00BA21A5"/>
    <w:rsid w:val="00BA4C0A"/>
    <w:rsid w:val="00BB2A32"/>
    <w:rsid w:val="00BB6484"/>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4810"/>
    <w:rsid w:val="00CA7429"/>
    <w:rsid w:val="00CB6216"/>
    <w:rsid w:val="00CC4578"/>
    <w:rsid w:val="00CD0284"/>
    <w:rsid w:val="00CD160F"/>
    <w:rsid w:val="00CE0DA0"/>
    <w:rsid w:val="00CE6C56"/>
    <w:rsid w:val="00CF030B"/>
    <w:rsid w:val="00CF1DFC"/>
    <w:rsid w:val="00CF2856"/>
    <w:rsid w:val="00CF5CE7"/>
    <w:rsid w:val="00CF5EF5"/>
    <w:rsid w:val="00CF7481"/>
    <w:rsid w:val="00CF7EE3"/>
    <w:rsid w:val="00D13FC8"/>
    <w:rsid w:val="00D322FE"/>
    <w:rsid w:val="00D3442D"/>
    <w:rsid w:val="00D34F1B"/>
    <w:rsid w:val="00D41D2D"/>
    <w:rsid w:val="00D463A3"/>
    <w:rsid w:val="00D51833"/>
    <w:rsid w:val="00D53E23"/>
    <w:rsid w:val="00D73373"/>
    <w:rsid w:val="00D828E1"/>
    <w:rsid w:val="00D94E39"/>
    <w:rsid w:val="00DA7EF4"/>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2484"/>
    <w:rsid w:val="00E470EC"/>
    <w:rsid w:val="00E52DB2"/>
    <w:rsid w:val="00E5666B"/>
    <w:rsid w:val="00E577DD"/>
    <w:rsid w:val="00E72064"/>
    <w:rsid w:val="00E76A71"/>
    <w:rsid w:val="00E85BF2"/>
    <w:rsid w:val="00E90FFA"/>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1FA7"/>
    <w:rsid w:val="00F34526"/>
    <w:rsid w:val="00F413E7"/>
    <w:rsid w:val="00F42BFC"/>
    <w:rsid w:val="00F52FE8"/>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iPriority w:val="99"/>
    <w:unhideWhenUsed/>
    <w:qFormat/>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uiPriority w:val="99"/>
    <w:qFormat/>
    <w:rsid w:val="000F04C6"/>
    <w:rPr>
      <w:rFonts w:ascii="Times New Roman" w:eastAsia="宋体" w:hAnsi="Times New Roman" w:cs="Times New Roman"/>
      <w:kern w:val="0"/>
      <w:sz w:val="20"/>
      <w:szCs w:val="20"/>
      <w:lang w:val="en-GB" w:eastAsia="en-GB"/>
    </w:rPr>
  </w:style>
  <w:style w:type="character" w:styleId="ac">
    <w:name w:val="annotation reference"/>
    <w:uiPriority w:val="99"/>
    <w:unhideWhenUsed/>
    <w:qFormat/>
    <w:rsid w:val="000F04C6"/>
    <w:rPr>
      <w:sz w:val="16"/>
      <w:szCs w:val="16"/>
    </w:rPr>
  </w:style>
  <w:style w:type="paragraph" w:customStyle="1" w:styleId="B2">
    <w:name w:val="B2"/>
    <w:basedOn w:val="20"/>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0">
    <w:name w:val="List 2"/>
    <w:basedOn w:val="a"/>
    <w:uiPriority w:val="99"/>
    <w:semiHidden/>
    <w:unhideWhenUsed/>
    <w:rsid w:val="00BD649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5493538">
      <w:bodyDiv w:val="1"/>
      <w:marLeft w:val="0"/>
      <w:marRight w:val="0"/>
      <w:marTop w:val="0"/>
      <w:marBottom w:val="0"/>
      <w:divBdr>
        <w:top w:val="none" w:sz="0" w:space="0" w:color="auto"/>
        <w:left w:val="none" w:sz="0" w:space="0" w:color="auto"/>
        <w:bottom w:val="none" w:sz="0" w:space="0" w:color="auto"/>
        <w:right w:val="none" w:sz="0" w:space="0" w:color="auto"/>
      </w:divBdr>
      <w:divsChild>
        <w:div w:id="673193005">
          <w:marLeft w:val="360"/>
          <w:marRight w:val="0"/>
          <w:marTop w:val="200"/>
          <w:marBottom w:val="0"/>
          <w:divBdr>
            <w:top w:val="none" w:sz="0" w:space="0" w:color="auto"/>
            <w:left w:val="none" w:sz="0" w:space="0" w:color="auto"/>
            <w:bottom w:val="none" w:sz="0" w:space="0" w:color="auto"/>
            <w:right w:val="none" w:sz="0" w:space="0" w:color="auto"/>
          </w:divBdr>
        </w:div>
        <w:div w:id="645623599">
          <w:marLeft w:val="1080"/>
          <w:marRight w:val="0"/>
          <w:marTop w:val="100"/>
          <w:marBottom w:val="0"/>
          <w:divBdr>
            <w:top w:val="none" w:sz="0" w:space="0" w:color="auto"/>
            <w:left w:val="none" w:sz="0" w:space="0" w:color="auto"/>
            <w:bottom w:val="none" w:sz="0" w:space="0" w:color="auto"/>
            <w:right w:val="none" w:sz="0" w:space="0" w:color="auto"/>
          </w:divBdr>
        </w:div>
        <w:div w:id="2076585740">
          <w:marLeft w:val="1800"/>
          <w:marRight w:val="0"/>
          <w:marTop w:val="100"/>
          <w:marBottom w:val="0"/>
          <w:divBdr>
            <w:top w:val="none" w:sz="0" w:space="0" w:color="auto"/>
            <w:left w:val="none" w:sz="0" w:space="0" w:color="auto"/>
            <w:bottom w:val="none" w:sz="0" w:space="0" w:color="auto"/>
            <w:right w:val="none" w:sz="0" w:space="0" w:color="auto"/>
          </w:divBdr>
        </w:div>
        <w:div w:id="48304558">
          <w:marLeft w:val="1800"/>
          <w:marRight w:val="0"/>
          <w:marTop w:val="100"/>
          <w:marBottom w:val="0"/>
          <w:divBdr>
            <w:top w:val="none" w:sz="0" w:space="0" w:color="auto"/>
            <w:left w:val="none" w:sz="0" w:space="0" w:color="auto"/>
            <w:bottom w:val="none" w:sz="0" w:space="0" w:color="auto"/>
            <w:right w:val="none" w:sz="0" w:space="0" w:color="auto"/>
          </w:divBdr>
        </w:div>
        <w:div w:id="1454329004">
          <w:marLeft w:val="1080"/>
          <w:marRight w:val="0"/>
          <w:marTop w:val="100"/>
          <w:marBottom w:val="0"/>
          <w:divBdr>
            <w:top w:val="none" w:sz="0" w:space="0" w:color="auto"/>
            <w:left w:val="none" w:sz="0" w:space="0" w:color="auto"/>
            <w:bottom w:val="none" w:sz="0" w:space="0" w:color="auto"/>
            <w:right w:val="none" w:sz="0" w:space="0" w:color="auto"/>
          </w:divBdr>
        </w:div>
        <w:div w:id="335158292">
          <w:marLeft w:val="1080"/>
          <w:marRight w:val="0"/>
          <w:marTop w:val="100"/>
          <w:marBottom w:val="0"/>
          <w:divBdr>
            <w:top w:val="none" w:sz="0" w:space="0" w:color="auto"/>
            <w:left w:val="none" w:sz="0" w:space="0" w:color="auto"/>
            <w:bottom w:val="none" w:sz="0" w:space="0" w:color="auto"/>
            <w:right w:val="none" w:sz="0" w:space="0" w:color="auto"/>
          </w:divBdr>
        </w:div>
        <w:div w:id="1030182885">
          <w:marLeft w:val="1080"/>
          <w:marRight w:val="0"/>
          <w:marTop w:val="100"/>
          <w:marBottom w:val="0"/>
          <w:divBdr>
            <w:top w:val="none" w:sz="0" w:space="0" w:color="auto"/>
            <w:left w:val="none" w:sz="0" w:space="0" w:color="auto"/>
            <w:bottom w:val="none" w:sz="0" w:space="0" w:color="auto"/>
            <w:right w:val="none" w:sz="0" w:space="0" w:color="auto"/>
          </w:divBdr>
        </w:div>
        <w:div w:id="1099714896">
          <w:marLeft w:val="1800"/>
          <w:marRight w:val="0"/>
          <w:marTop w:val="100"/>
          <w:marBottom w:val="0"/>
          <w:divBdr>
            <w:top w:val="none" w:sz="0" w:space="0" w:color="auto"/>
            <w:left w:val="none" w:sz="0" w:space="0" w:color="auto"/>
            <w:bottom w:val="none" w:sz="0" w:space="0" w:color="auto"/>
            <w:right w:val="none" w:sz="0" w:space="0" w:color="auto"/>
          </w:divBdr>
        </w:div>
        <w:div w:id="933512153">
          <w:marLeft w:val="360"/>
          <w:marRight w:val="0"/>
          <w:marTop w:val="200"/>
          <w:marBottom w:val="0"/>
          <w:divBdr>
            <w:top w:val="none" w:sz="0" w:space="0" w:color="auto"/>
            <w:left w:val="none" w:sz="0" w:space="0" w:color="auto"/>
            <w:bottom w:val="none" w:sz="0" w:space="0" w:color="auto"/>
            <w:right w:val="none" w:sz="0" w:space="0" w:color="auto"/>
          </w:divBdr>
        </w:div>
        <w:div w:id="595789298">
          <w:marLeft w:val="1080"/>
          <w:marRight w:val="0"/>
          <w:marTop w:val="100"/>
          <w:marBottom w:val="0"/>
          <w:divBdr>
            <w:top w:val="none" w:sz="0" w:space="0" w:color="auto"/>
            <w:left w:val="none" w:sz="0" w:space="0" w:color="auto"/>
            <w:bottom w:val="none" w:sz="0" w:space="0" w:color="auto"/>
            <w:right w:val="none" w:sz="0" w:space="0" w:color="auto"/>
          </w:divBdr>
        </w:div>
        <w:div w:id="1821533334">
          <w:marLeft w:val="1080"/>
          <w:marRight w:val="0"/>
          <w:marTop w:val="100"/>
          <w:marBottom w:val="0"/>
          <w:divBdr>
            <w:top w:val="none" w:sz="0" w:space="0" w:color="auto"/>
            <w:left w:val="none" w:sz="0" w:space="0" w:color="auto"/>
            <w:bottom w:val="none" w:sz="0" w:space="0" w:color="auto"/>
            <w:right w:val="none" w:sz="0" w:space="0" w:color="auto"/>
          </w:divBdr>
        </w:div>
        <w:div w:id="603196414">
          <w:marLeft w:val="360"/>
          <w:marRight w:val="0"/>
          <w:marTop w:val="200"/>
          <w:marBottom w:val="0"/>
          <w:divBdr>
            <w:top w:val="none" w:sz="0" w:space="0" w:color="auto"/>
            <w:left w:val="none" w:sz="0" w:space="0" w:color="auto"/>
            <w:bottom w:val="none" w:sz="0" w:space="0" w:color="auto"/>
            <w:right w:val="none" w:sz="0" w:space="0" w:color="auto"/>
          </w:divBdr>
        </w:div>
      </w:divsChild>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2095362">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4031889">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61230703">
      <w:bodyDiv w:val="1"/>
      <w:marLeft w:val="0"/>
      <w:marRight w:val="0"/>
      <w:marTop w:val="0"/>
      <w:marBottom w:val="0"/>
      <w:divBdr>
        <w:top w:val="none" w:sz="0" w:space="0" w:color="auto"/>
        <w:left w:val="none" w:sz="0" w:space="0" w:color="auto"/>
        <w:bottom w:val="none" w:sz="0" w:space="0" w:color="auto"/>
        <w:right w:val="none" w:sz="0" w:space="0" w:color="auto"/>
      </w:divBdr>
      <w:divsChild>
        <w:div w:id="1984042420">
          <w:marLeft w:val="360"/>
          <w:marRight w:val="0"/>
          <w:marTop w:val="200"/>
          <w:marBottom w:val="0"/>
          <w:divBdr>
            <w:top w:val="none" w:sz="0" w:space="0" w:color="auto"/>
            <w:left w:val="none" w:sz="0" w:space="0" w:color="auto"/>
            <w:bottom w:val="none" w:sz="0" w:space="0" w:color="auto"/>
            <w:right w:val="none" w:sz="0" w:space="0" w:color="auto"/>
          </w:divBdr>
        </w:div>
        <w:div w:id="1786776619">
          <w:marLeft w:val="1080"/>
          <w:marRight w:val="0"/>
          <w:marTop w:val="100"/>
          <w:marBottom w:val="0"/>
          <w:divBdr>
            <w:top w:val="none" w:sz="0" w:space="0" w:color="auto"/>
            <w:left w:val="none" w:sz="0" w:space="0" w:color="auto"/>
            <w:bottom w:val="none" w:sz="0" w:space="0" w:color="auto"/>
            <w:right w:val="none" w:sz="0" w:space="0" w:color="auto"/>
          </w:divBdr>
        </w:div>
      </w:divsChild>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7278702">
      <w:bodyDiv w:val="1"/>
      <w:marLeft w:val="0"/>
      <w:marRight w:val="0"/>
      <w:marTop w:val="0"/>
      <w:marBottom w:val="0"/>
      <w:divBdr>
        <w:top w:val="none" w:sz="0" w:space="0" w:color="auto"/>
        <w:left w:val="none" w:sz="0" w:space="0" w:color="auto"/>
        <w:bottom w:val="none" w:sz="0" w:space="0" w:color="auto"/>
        <w:right w:val="none" w:sz="0" w:space="0" w:color="auto"/>
      </w:divBdr>
      <w:divsChild>
        <w:div w:id="359361328">
          <w:marLeft w:val="360"/>
          <w:marRight w:val="0"/>
          <w:marTop w:val="200"/>
          <w:marBottom w:val="0"/>
          <w:divBdr>
            <w:top w:val="none" w:sz="0" w:space="0" w:color="auto"/>
            <w:left w:val="none" w:sz="0" w:space="0" w:color="auto"/>
            <w:bottom w:val="none" w:sz="0" w:space="0" w:color="auto"/>
            <w:right w:val="none" w:sz="0" w:space="0" w:color="auto"/>
          </w:divBdr>
        </w:div>
        <w:div w:id="976299155">
          <w:marLeft w:val="360"/>
          <w:marRight w:val="0"/>
          <w:marTop w:val="200"/>
          <w:marBottom w:val="0"/>
          <w:divBdr>
            <w:top w:val="none" w:sz="0" w:space="0" w:color="auto"/>
            <w:left w:val="none" w:sz="0" w:space="0" w:color="auto"/>
            <w:bottom w:val="none" w:sz="0" w:space="0" w:color="auto"/>
            <w:right w:val="none" w:sz="0" w:space="0" w:color="auto"/>
          </w:divBdr>
        </w:div>
        <w:div w:id="2104447695">
          <w:marLeft w:val="1080"/>
          <w:marRight w:val="0"/>
          <w:marTop w:val="100"/>
          <w:marBottom w:val="0"/>
          <w:divBdr>
            <w:top w:val="none" w:sz="0" w:space="0" w:color="auto"/>
            <w:left w:val="none" w:sz="0" w:space="0" w:color="auto"/>
            <w:bottom w:val="none" w:sz="0" w:space="0" w:color="auto"/>
            <w:right w:val="none" w:sz="0" w:space="0" w:color="auto"/>
          </w:divBdr>
        </w:div>
        <w:div w:id="443614297">
          <w:marLeft w:val="1080"/>
          <w:marRight w:val="0"/>
          <w:marTop w:val="100"/>
          <w:marBottom w:val="0"/>
          <w:divBdr>
            <w:top w:val="none" w:sz="0" w:space="0" w:color="auto"/>
            <w:left w:val="none" w:sz="0" w:space="0" w:color="auto"/>
            <w:bottom w:val="none" w:sz="0" w:space="0" w:color="auto"/>
            <w:right w:val="none" w:sz="0" w:space="0" w:color="auto"/>
          </w:divBdr>
        </w:div>
        <w:div w:id="1551528777">
          <w:marLeft w:val="1080"/>
          <w:marRight w:val="0"/>
          <w:marTop w:val="100"/>
          <w:marBottom w:val="0"/>
          <w:divBdr>
            <w:top w:val="none" w:sz="0" w:space="0" w:color="auto"/>
            <w:left w:val="none" w:sz="0" w:space="0" w:color="auto"/>
            <w:bottom w:val="none" w:sz="0" w:space="0" w:color="auto"/>
            <w:right w:val="none" w:sz="0" w:space="0" w:color="auto"/>
          </w:divBdr>
        </w:div>
        <w:div w:id="917790105">
          <w:marLeft w:val="360"/>
          <w:marRight w:val="0"/>
          <w:marTop w:val="200"/>
          <w:marBottom w:val="0"/>
          <w:divBdr>
            <w:top w:val="none" w:sz="0" w:space="0" w:color="auto"/>
            <w:left w:val="none" w:sz="0" w:space="0" w:color="auto"/>
            <w:bottom w:val="none" w:sz="0" w:space="0" w:color="auto"/>
            <w:right w:val="none" w:sz="0" w:space="0" w:color="auto"/>
          </w:divBdr>
        </w:div>
        <w:div w:id="288753307">
          <w:marLeft w:val="1080"/>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0401751">
      <w:bodyDiv w:val="1"/>
      <w:marLeft w:val="0"/>
      <w:marRight w:val="0"/>
      <w:marTop w:val="0"/>
      <w:marBottom w:val="0"/>
      <w:divBdr>
        <w:top w:val="none" w:sz="0" w:space="0" w:color="auto"/>
        <w:left w:val="none" w:sz="0" w:space="0" w:color="auto"/>
        <w:bottom w:val="none" w:sz="0" w:space="0" w:color="auto"/>
        <w:right w:val="none" w:sz="0" w:space="0" w:color="auto"/>
      </w:divBdr>
      <w:divsChild>
        <w:div w:id="532576587">
          <w:marLeft w:val="360"/>
          <w:marRight w:val="0"/>
          <w:marTop w:val="200"/>
          <w:marBottom w:val="0"/>
          <w:divBdr>
            <w:top w:val="none" w:sz="0" w:space="0" w:color="auto"/>
            <w:left w:val="none" w:sz="0" w:space="0" w:color="auto"/>
            <w:bottom w:val="none" w:sz="0" w:space="0" w:color="auto"/>
            <w:right w:val="none" w:sz="0" w:space="0" w:color="auto"/>
          </w:divBdr>
        </w:div>
        <w:div w:id="883836322">
          <w:marLeft w:val="360"/>
          <w:marRight w:val="0"/>
          <w:marTop w:val="200"/>
          <w:marBottom w:val="0"/>
          <w:divBdr>
            <w:top w:val="none" w:sz="0" w:space="0" w:color="auto"/>
            <w:left w:val="none" w:sz="0" w:space="0" w:color="auto"/>
            <w:bottom w:val="none" w:sz="0" w:space="0" w:color="auto"/>
            <w:right w:val="none" w:sz="0" w:space="0" w:color="auto"/>
          </w:divBdr>
        </w:div>
        <w:div w:id="770323687">
          <w:marLeft w:val="1080"/>
          <w:marRight w:val="0"/>
          <w:marTop w:val="100"/>
          <w:marBottom w:val="0"/>
          <w:divBdr>
            <w:top w:val="none" w:sz="0" w:space="0" w:color="auto"/>
            <w:left w:val="none" w:sz="0" w:space="0" w:color="auto"/>
            <w:bottom w:val="none" w:sz="0" w:space="0" w:color="auto"/>
            <w:right w:val="none" w:sz="0" w:space="0" w:color="auto"/>
          </w:divBdr>
        </w:div>
        <w:div w:id="1492255844">
          <w:marLeft w:val="1080"/>
          <w:marRight w:val="0"/>
          <w:marTop w:val="100"/>
          <w:marBottom w:val="0"/>
          <w:divBdr>
            <w:top w:val="none" w:sz="0" w:space="0" w:color="auto"/>
            <w:left w:val="none" w:sz="0" w:space="0" w:color="auto"/>
            <w:bottom w:val="none" w:sz="0" w:space="0" w:color="auto"/>
            <w:right w:val="none" w:sz="0" w:space="0" w:color="auto"/>
          </w:divBdr>
        </w:div>
        <w:div w:id="1844779803">
          <w:marLeft w:val="1080"/>
          <w:marRight w:val="0"/>
          <w:marTop w:val="100"/>
          <w:marBottom w:val="0"/>
          <w:divBdr>
            <w:top w:val="none" w:sz="0" w:space="0" w:color="auto"/>
            <w:left w:val="none" w:sz="0" w:space="0" w:color="auto"/>
            <w:bottom w:val="none" w:sz="0" w:space="0" w:color="auto"/>
            <w:right w:val="none" w:sz="0" w:space="0" w:color="auto"/>
          </w:divBdr>
        </w:div>
        <w:div w:id="1787192911">
          <w:marLeft w:val="360"/>
          <w:marRight w:val="0"/>
          <w:marTop w:val="200"/>
          <w:marBottom w:val="0"/>
          <w:divBdr>
            <w:top w:val="none" w:sz="0" w:space="0" w:color="auto"/>
            <w:left w:val="none" w:sz="0" w:space="0" w:color="auto"/>
            <w:bottom w:val="none" w:sz="0" w:space="0" w:color="auto"/>
            <w:right w:val="none" w:sz="0" w:space="0" w:color="auto"/>
          </w:divBdr>
        </w:div>
        <w:div w:id="1926065079">
          <w:marLeft w:val="1080"/>
          <w:marRight w:val="0"/>
          <w:marTop w:val="1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C43BC-2D41-498E-905E-FFA9480D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9775</TotalTime>
  <Pages>1</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165</cp:revision>
  <dcterms:created xsi:type="dcterms:W3CDTF">2019-09-18T02:52:00Z</dcterms:created>
  <dcterms:modified xsi:type="dcterms:W3CDTF">2021-08-06T15:56:00Z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(3)hkCQ56P4CjuJ1znYWBv8/nHBZECJ8XK8ykDBMuf6jqLnNoSkZ4H0d5CthQSvpbHcdkPD2Lr4
ESzIUOZi5ABPwmf1hS3miGVZKS3Zj97gkUaRXkWdXVVrgkGlvPS/x6TDG2dEnm14y+FlGFPm
nmw7bShxHW9gqzQBXLHZv41IxqIUqwRv0vkidTYNbv/mXbNR4xhi0POiEaODd4BQ7/utYo7z
vk9dKxLaR5moYaUAaA</vt:lpwstr>
  </property>
  <property fmtid="{D5CDD505-2E9C-101B-9397-08002B2CF9AE}" pid="3" name="_2015_ms_pID_7253431">
    <vt:lpwstr>xvdpWW7Ewc1bAYNMgkQnRgeFGrB14/NH2Zl0NiJ1DaQm/sMvWkySxn
To7KXnDhSrTED5jAI4qZoCsTH1VAbJT0A9OChw3YWklw4l9CsEXIaj9XrsHJcfA+ahOPFJ8n
ps4t/Dvh/yQNTzr/3L99GY8MWul9C7yagX/q32EK7dPdu5ZU826ci5HkUpN2AqYB3OI6RQdJ
ffn37yDoRRhU4K1K3MVljYOgPjnQ6GgqB7ds</vt:lpwstr>
  </property>
  <property fmtid="{D5CDD505-2E9C-101B-9397-08002B2CF9AE}" pid="4" name="_2015_ms_pID_7253432">
    <vt:lpwstr>xZKn8/eWOUY074EySgoWOko=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