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48EA2734" w:rsidR="00156999" w:rsidRPr="00156A6E" w:rsidRDefault="00156999" w:rsidP="007864E4">
      <w:pPr>
        <w:pStyle w:val="Header"/>
        <w:keepLines/>
        <w:tabs>
          <w:tab w:val="clear" w:pos="9072"/>
          <w:tab w:val="right" w:pos="9627"/>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156A6E">
        <w:rPr>
          <w:rFonts w:ascii="Arial" w:hAnsi="Arial" w:cs="Arial"/>
          <w:b/>
          <w:sz w:val="24"/>
          <w:szCs w:val="24"/>
        </w:rPr>
        <w:t>3GPP TSG-RAN WG4 Meeting #</w:t>
      </w:r>
      <w:r w:rsidR="00A82954" w:rsidRPr="00156A6E">
        <w:rPr>
          <w:rFonts w:ascii="Arial" w:hAnsi="Arial" w:cs="Arial"/>
          <w:b/>
          <w:sz w:val="24"/>
          <w:szCs w:val="24"/>
        </w:rPr>
        <w:t>100</w:t>
      </w:r>
      <w:r w:rsidRPr="00156A6E">
        <w:rPr>
          <w:rFonts w:ascii="Arial" w:hAnsi="Arial" w:cs="Arial"/>
          <w:b/>
          <w:sz w:val="24"/>
          <w:szCs w:val="24"/>
        </w:rPr>
        <w:t xml:space="preserve">-e </w:t>
      </w:r>
      <w:r w:rsidRPr="00156A6E">
        <w:rPr>
          <w:rFonts w:ascii="Arial" w:hAnsi="Arial" w:cs="Arial"/>
          <w:b/>
          <w:sz w:val="24"/>
          <w:szCs w:val="24"/>
        </w:rPr>
        <w:tab/>
      </w:r>
      <w:r w:rsidR="007864E4" w:rsidRPr="00156A6E">
        <w:rPr>
          <w:rFonts w:ascii="Arial" w:hAnsi="Arial" w:cs="Arial"/>
          <w:b/>
          <w:sz w:val="24"/>
          <w:szCs w:val="24"/>
        </w:rPr>
        <w:tab/>
      </w:r>
      <w:r w:rsidR="00151313" w:rsidRPr="00151313">
        <w:rPr>
          <w:rFonts w:ascii="Arial" w:hAnsi="Arial" w:cs="Arial"/>
          <w:b/>
          <w:sz w:val="24"/>
          <w:szCs w:val="24"/>
        </w:rPr>
        <w:t>R4-211407</w:t>
      </w:r>
      <w:r w:rsidR="0094504A">
        <w:rPr>
          <w:rFonts w:ascii="Arial" w:hAnsi="Arial" w:cs="Arial"/>
          <w:b/>
          <w:sz w:val="24"/>
          <w:szCs w:val="24"/>
        </w:rPr>
        <w:t>6</w:t>
      </w:r>
    </w:p>
    <w:p w14:paraId="4CA146F7" w14:textId="165B02D5" w:rsidR="00156999" w:rsidRPr="00156A6E" w:rsidRDefault="00156999" w:rsidP="00156999">
      <w:pPr>
        <w:pStyle w:val="Header"/>
        <w:tabs>
          <w:tab w:val="right" w:pos="9781"/>
          <w:tab w:val="right" w:pos="13323"/>
        </w:tabs>
        <w:outlineLvl w:val="0"/>
        <w:rPr>
          <w:rFonts w:ascii="Arial" w:eastAsia="SimSun" w:hAnsi="Arial" w:cs="Times New Roman"/>
          <w:b/>
          <w:sz w:val="24"/>
          <w:szCs w:val="24"/>
          <w:lang w:eastAsia="zh-CN"/>
        </w:rPr>
      </w:pPr>
      <w:r w:rsidRPr="00156A6E">
        <w:rPr>
          <w:rFonts w:ascii="Arial" w:eastAsia="SimSun" w:hAnsi="Arial"/>
          <w:b/>
          <w:sz w:val="24"/>
          <w:szCs w:val="24"/>
          <w:lang w:eastAsia="zh-CN"/>
        </w:rPr>
        <w:t xml:space="preserve">Electronic Meeting, </w:t>
      </w:r>
      <w:r w:rsidR="00A82954" w:rsidRPr="00156A6E">
        <w:rPr>
          <w:rFonts w:ascii="Arial" w:eastAsia="SimSun" w:hAnsi="Arial"/>
          <w:b/>
          <w:sz w:val="24"/>
          <w:szCs w:val="24"/>
          <w:lang w:eastAsia="zh-CN"/>
        </w:rPr>
        <w:t>August 16-27</w:t>
      </w:r>
      <w:r w:rsidRPr="00156A6E">
        <w:rPr>
          <w:rFonts w:ascii="Arial" w:eastAsia="SimSun" w:hAnsi="Arial"/>
          <w:b/>
          <w:sz w:val="24"/>
          <w:szCs w:val="24"/>
          <w:lang w:eastAsia="zh-CN"/>
        </w:rPr>
        <w:t>, 2021</w:t>
      </w:r>
    </w:p>
    <w:p w14:paraId="14D63011" w14:textId="77777777" w:rsidR="00841BCD" w:rsidRPr="00156A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156A6E" w:rsidRDefault="00841BCD" w:rsidP="00841BCD">
      <w:pPr>
        <w:tabs>
          <w:tab w:val="left" w:pos="1985"/>
        </w:tabs>
        <w:ind w:left="1985" w:hanging="1985"/>
        <w:rPr>
          <w:rFonts w:ascii="Arial" w:eastAsia="Calibri" w:hAnsi="Arial" w:cs="Arial"/>
          <w:b/>
          <w:bCs/>
          <w:sz w:val="24"/>
        </w:rPr>
      </w:pPr>
      <w:r w:rsidRPr="00156A6E">
        <w:rPr>
          <w:rFonts w:ascii="Arial" w:eastAsia="Calibri" w:hAnsi="Arial" w:cs="Arial"/>
          <w:b/>
          <w:bCs/>
          <w:sz w:val="24"/>
        </w:rPr>
        <w:t>Source:</w:t>
      </w:r>
      <w:r w:rsidRPr="00156A6E">
        <w:rPr>
          <w:rFonts w:ascii="Arial" w:eastAsia="Calibri" w:hAnsi="Arial" w:cs="Arial"/>
          <w:b/>
          <w:bCs/>
          <w:sz w:val="24"/>
        </w:rPr>
        <w:tab/>
        <w:t xml:space="preserve">Nokia, </w:t>
      </w:r>
      <w:r w:rsidR="0043750A" w:rsidRPr="00156A6E">
        <w:rPr>
          <w:rFonts w:ascii="Arial" w:eastAsia="Calibri" w:hAnsi="Arial" w:cs="Arial"/>
          <w:b/>
          <w:bCs/>
          <w:sz w:val="24"/>
        </w:rPr>
        <w:t>Nokia</w:t>
      </w:r>
      <w:r w:rsidRPr="00156A6E">
        <w:rPr>
          <w:rFonts w:ascii="Arial" w:eastAsia="Calibri" w:hAnsi="Arial" w:cs="Arial"/>
          <w:b/>
          <w:bCs/>
          <w:sz w:val="24"/>
        </w:rPr>
        <w:t xml:space="preserve"> Shanghai Bell</w:t>
      </w:r>
      <w:r w:rsidRPr="00156A6E" w:rsidDel="00636277">
        <w:rPr>
          <w:rFonts w:ascii="Arial" w:eastAsia="Calibri" w:hAnsi="Arial" w:cs="Arial"/>
          <w:b/>
          <w:bCs/>
          <w:sz w:val="24"/>
        </w:rPr>
        <w:t xml:space="preserve"> </w:t>
      </w:r>
    </w:p>
    <w:p w14:paraId="0293D51A" w14:textId="6905D687" w:rsidR="00841BCD" w:rsidRPr="00156A6E" w:rsidRDefault="00841BCD" w:rsidP="00841BCD">
      <w:pPr>
        <w:ind w:left="1985" w:hanging="1985"/>
        <w:rPr>
          <w:rFonts w:ascii="Arial" w:eastAsia="Calibri" w:hAnsi="Arial" w:cs="Arial"/>
          <w:b/>
          <w:bCs/>
          <w:sz w:val="24"/>
        </w:rPr>
      </w:pPr>
      <w:r w:rsidRPr="00156A6E">
        <w:rPr>
          <w:rFonts w:ascii="Arial" w:eastAsia="Calibri" w:hAnsi="Arial" w:cs="Arial"/>
          <w:b/>
          <w:bCs/>
          <w:sz w:val="24"/>
        </w:rPr>
        <w:t>Title:</w:t>
      </w:r>
      <w:r w:rsidRPr="00156A6E">
        <w:rPr>
          <w:rFonts w:ascii="Arial" w:eastAsia="Calibri" w:hAnsi="Arial" w:cs="Arial"/>
          <w:b/>
          <w:bCs/>
          <w:sz w:val="24"/>
        </w:rPr>
        <w:tab/>
      </w:r>
      <w:r w:rsidR="00660333" w:rsidRPr="00156A6E">
        <w:rPr>
          <w:rFonts w:ascii="Arial" w:eastAsia="Calibri" w:hAnsi="Arial" w:cs="Arial"/>
          <w:b/>
          <w:bCs/>
          <w:sz w:val="24"/>
        </w:rPr>
        <w:t xml:space="preserve">Discussion on FR2 </w:t>
      </w:r>
      <w:proofErr w:type="spellStart"/>
      <w:r w:rsidR="00A82954" w:rsidRPr="00156A6E">
        <w:rPr>
          <w:rFonts w:ascii="Arial" w:eastAsia="Calibri" w:hAnsi="Arial" w:cs="Arial"/>
          <w:b/>
          <w:bCs/>
          <w:sz w:val="24"/>
        </w:rPr>
        <w:t>RedCap</w:t>
      </w:r>
      <w:proofErr w:type="spellEnd"/>
      <w:r w:rsidR="00A82954" w:rsidRPr="00156A6E">
        <w:rPr>
          <w:rFonts w:ascii="Arial" w:eastAsia="Calibri" w:hAnsi="Arial" w:cs="Arial"/>
          <w:b/>
          <w:bCs/>
          <w:sz w:val="24"/>
        </w:rPr>
        <w:t xml:space="preserve"> UE</w:t>
      </w:r>
    </w:p>
    <w:p w14:paraId="7C62E756" w14:textId="4F4D87CC" w:rsidR="00841BCD" w:rsidRPr="00156A6E" w:rsidRDefault="00841BCD" w:rsidP="00841BCD">
      <w:pPr>
        <w:tabs>
          <w:tab w:val="left" w:pos="1985"/>
        </w:tabs>
        <w:spacing w:after="120" w:line="240" w:lineRule="auto"/>
        <w:rPr>
          <w:rFonts w:ascii="Arial" w:eastAsia="MS Mincho" w:hAnsi="Arial" w:cs="Arial"/>
          <w:b/>
          <w:bCs/>
          <w:sz w:val="24"/>
          <w:szCs w:val="20"/>
        </w:rPr>
      </w:pPr>
      <w:r w:rsidRPr="00156A6E">
        <w:rPr>
          <w:rFonts w:ascii="Arial" w:eastAsia="MS Mincho" w:hAnsi="Arial" w:cs="Arial"/>
          <w:b/>
          <w:bCs/>
          <w:sz w:val="24"/>
          <w:szCs w:val="20"/>
        </w:rPr>
        <w:t>Agenda item:</w:t>
      </w:r>
      <w:r w:rsidRPr="00156A6E">
        <w:rPr>
          <w:rFonts w:ascii="Arial" w:eastAsia="MS Mincho" w:hAnsi="Arial" w:cs="Arial"/>
          <w:b/>
          <w:bCs/>
          <w:sz w:val="24"/>
          <w:szCs w:val="20"/>
        </w:rPr>
        <w:tab/>
      </w:r>
      <w:r w:rsidR="0016147B" w:rsidRPr="00156A6E">
        <w:rPr>
          <w:rFonts w:ascii="Arial" w:eastAsia="MS Mincho" w:hAnsi="Arial" w:cs="Arial"/>
          <w:b/>
          <w:bCs/>
          <w:sz w:val="24"/>
          <w:szCs w:val="20"/>
        </w:rPr>
        <w:t>9.</w:t>
      </w:r>
      <w:r w:rsidR="00A82954" w:rsidRPr="00156A6E">
        <w:rPr>
          <w:rFonts w:ascii="Arial" w:eastAsia="MS Mincho" w:hAnsi="Arial" w:cs="Arial"/>
          <w:b/>
          <w:bCs/>
          <w:sz w:val="24"/>
          <w:szCs w:val="20"/>
        </w:rPr>
        <w:t>20</w:t>
      </w:r>
      <w:r w:rsidR="0016147B" w:rsidRPr="00156A6E">
        <w:rPr>
          <w:rFonts w:ascii="Arial" w:eastAsia="MS Mincho" w:hAnsi="Arial" w:cs="Arial"/>
          <w:b/>
          <w:bCs/>
          <w:sz w:val="24"/>
          <w:szCs w:val="20"/>
        </w:rPr>
        <w:t>.</w:t>
      </w:r>
      <w:r w:rsidR="00A82954" w:rsidRPr="00156A6E">
        <w:rPr>
          <w:rFonts w:ascii="Arial" w:eastAsia="MS Mincho" w:hAnsi="Arial" w:cs="Arial"/>
          <w:b/>
          <w:bCs/>
          <w:sz w:val="24"/>
          <w:szCs w:val="20"/>
        </w:rPr>
        <w:t>2.</w:t>
      </w:r>
      <w:r w:rsidR="00660333" w:rsidRPr="00156A6E">
        <w:rPr>
          <w:rFonts w:ascii="Arial" w:eastAsia="MS Mincho" w:hAnsi="Arial" w:cs="Arial"/>
          <w:b/>
          <w:bCs/>
          <w:sz w:val="24"/>
          <w:szCs w:val="20"/>
        </w:rPr>
        <w:t>4</w:t>
      </w:r>
    </w:p>
    <w:p w14:paraId="7951C47A" w14:textId="0CEE9EDE" w:rsidR="00841BCD" w:rsidRPr="00156A6E" w:rsidRDefault="00841BCD" w:rsidP="00841BCD">
      <w:pPr>
        <w:tabs>
          <w:tab w:val="left" w:pos="1985"/>
        </w:tabs>
        <w:rPr>
          <w:rFonts w:ascii="Arial" w:eastAsia="Calibri" w:hAnsi="Arial" w:cs="Arial"/>
          <w:b/>
          <w:bCs/>
          <w:sz w:val="24"/>
        </w:rPr>
      </w:pPr>
      <w:r w:rsidRPr="00156A6E">
        <w:rPr>
          <w:rFonts w:ascii="Arial" w:eastAsia="Calibri" w:hAnsi="Arial" w:cs="Arial"/>
          <w:b/>
          <w:bCs/>
          <w:sz w:val="24"/>
        </w:rPr>
        <w:t>Document for:</w:t>
      </w:r>
      <w:r w:rsidRPr="00156A6E">
        <w:rPr>
          <w:rFonts w:ascii="Arial" w:eastAsia="Calibri" w:hAnsi="Arial" w:cs="Arial"/>
          <w:b/>
          <w:bCs/>
          <w:sz w:val="24"/>
        </w:rPr>
        <w:tab/>
      </w:r>
      <w:r w:rsidR="007657EE" w:rsidRPr="00156A6E">
        <w:rPr>
          <w:rFonts w:ascii="Arial" w:eastAsia="Calibri" w:hAnsi="Arial" w:cs="Arial"/>
          <w:b/>
          <w:bCs/>
          <w:sz w:val="24"/>
        </w:rPr>
        <w:t>Discussion</w:t>
      </w:r>
    </w:p>
    <w:p w14:paraId="50EB855D" w14:textId="77777777" w:rsidR="00841BCD" w:rsidRPr="00156A6E" w:rsidRDefault="00841BCD" w:rsidP="00553849">
      <w:pPr>
        <w:pStyle w:val="RAN4H1"/>
        <w:numPr>
          <w:ilvl w:val="0"/>
          <w:numId w:val="54"/>
        </w:numPr>
        <w:rPr>
          <w:lang w:val="en-US"/>
        </w:rPr>
      </w:pPr>
      <w:r w:rsidRPr="00156A6E">
        <w:rPr>
          <w:lang w:val="en-US"/>
        </w:rPr>
        <w:t>Introduction</w:t>
      </w:r>
    </w:p>
    <w:p w14:paraId="3E27EE85" w14:textId="2BDEF11E" w:rsidR="006E2F2E" w:rsidRPr="00156A6E" w:rsidRDefault="002A4E9B" w:rsidP="008442FE">
      <w:pPr>
        <w:ind w:right="-22"/>
      </w:pPr>
      <w:r w:rsidRPr="00156A6E">
        <w:t>In the revised WID for specifying reduced capability NR (</w:t>
      </w:r>
      <w:proofErr w:type="spellStart"/>
      <w:r w:rsidRPr="00156A6E">
        <w:t>RedCap</w:t>
      </w:r>
      <w:proofErr w:type="spellEnd"/>
      <w:r w:rsidRPr="00156A6E">
        <w:t xml:space="preserve">) devices, the following objectives </w:t>
      </w:r>
      <w:r w:rsidR="007B146E" w:rsidRPr="00156A6E">
        <w:t xml:space="preserve">are expected to have RAN4 RF impact </w:t>
      </w:r>
      <w:r w:rsidRPr="00156A6E">
        <w:fldChar w:fldCharType="begin"/>
      </w:r>
      <w:r w:rsidRPr="00156A6E">
        <w:instrText xml:space="preserve"> REF _Ref71179628 \r \h </w:instrText>
      </w:r>
      <w:r w:rsidRPr="00156A6E">
        <w:fldChar w:fldCharType="separate"/>
      </w:r>
      <w:r w:rsidRPr="00156A6E">
        <w:t>[1]</w:t>
      </w:r>
      <w:r w:rsidRPr="00156A6E">
        <w:fldChar w:fldCharType="end"/>
      </w:r>
      <w:r w:rsidRPr="00156A6E">
        <w:t>.</w:t>
      </w:r>
    </w:p>
    <w:tbl>
      <w:tblPr>
        <w:tblStyle w:val="TableGrid"/>
        <w:tblW w:w="0" w:type="auto"/>
        <w:tblLook w:val="04A0" w:firstRow="1" w:lastRow="0" w:firstColumn="1" w:lastColumn="0" w:noHBand="0" w:noVBand="1"/>
      </w:tblPr>
      <w:tblGrid>
        <w:gridCol w:w="9617"/>
      </w:tblGrid>
      <w:tr w:rsidR="006E2F2E" w:rsidRPr="00156A6E" w14:paraId="6352ECBD" w14:textId="77777777" w:rsidTr="006E2F2E">
        <w:tc>
          <w:tcPr>
            <w:tcW w:w="9617" w:type="dxa"/>
          </w:tcPr>
          <w:p w14:paraId="66CB4925" w14:textId="77777777" w:rsidR="002A4E9B" w:rsidRPr="00156A6E" w:rsidRDefault="002A4E9B" w:rsidP="002A4E9B">
            <w:pPr>
              <w:pStyle w:val="B1"/>
              <w:numPr>
                <w:ilvl w:val="0"/>
                <w:numId w:val="41"/>
              </w:numPr>
              <w:jc w:val="both"/>
              <w:textAlignment w:val="auto"/>
              <w:rPr>
                <w:rFonts w:eastAsia="SimSun"/>
                <w:lang w:val="en-US" w:eastAsia="ja-JP"/>
              </w:rPr>
            </w:pPr>
            <w:r w:rsidRPr="00156A6E">
              <w:rPr>
                <w:rFonts w:eastAsia="SimSun"/>
                <w:lang w:val="en-US" w:eastAsia="ja-JP"/>
              </w:rPr>
              <w:t>Specify support for the following UE complexity reduction features [RAN1, RAN4]:</w:t>
            </w:r>
          </w:p>
          <w:p w14:paraId="1FC209D4"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Reduced maximum UE bandwidth:</w:t>
            </w:r>
          </w:p>
          <w:p w14:paraId="71FFC761"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Maximum bandwidth of an FR1 </w:t>
            </w:r>
            <w:proofErr w:type="spellStart"/>
            <w:r w:rsidRPr="00156A6E">
              <w:rPr>
                <w:bCs/>
                <w:i w:val="0"/>
                <w:iCs/>
              </w:rPr>
              <w:t>RedCap</w:t>
            </w:r>
            <w:proofErr w:type="spellEnd"/>
            <w:r w:rsidRPr="00156A6E">
              <w:rPr>
                <w:bCs/>
                <w:i w:val="0"/>
                <w:iCs/>
              </w:rPr>
              <w:t xml:space="preserve"> UE during and after initial access is 20 </w:t>
            </w:r>
            <w:proofErr w:type="spellStart"/>
            <w:r w:rsidRPr="00156A6E">
              <w:rPr>
                <w:bCs/>
                <w:i w:val="0"/>
                <w:iCs/>
              </w:rPr>
              <w:t>MHz</w:t>
            </w:r>
            <w:proofErr w:type="gramStart"/>
            <w:r w:rsidRPr="00156A6E">
              <w:rPr>
                <w:bCs/>
                <w:i w:val="0"/>
                <w:iCs/>
              </w:rPr>
              <w:t>.</w:t>
            </w:r>
            <w:proofErr w:type="spellEnd"/>
            <w:r w:rsidRPr="00156A6E">
              <w:rPr>
                <w:bCs/>
                <w:i w:val="0"/>
                <w:iCs/>
              </w:rPr>
              <w:t xml:space="preserve"> .</w:t>
            </w:r>
            <w:proofErr w:type="gramEnd"/>
          </w:p>
          <w:p w14:paraId="7C90CB5F"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Maximum bandwidth of an FR2 </w:t>
            </w:r>
            <w:proofErr w:type="spellStart"/>
            <w:r w:rsidRPr="00156A6E">
              <w:rPr>
                <w:bCs/>
                <w:i w:val="0"/>
                <w:iCs/>
              </w:rPr>
              <w:t>RedCap</w:t>
            </w:r>
            <w:proofErr w:type="spellEnd"/>
            <w:r w:rsidRPr="00156A6E">
              <w:rPr>
                <w:bCs/>
                <w:i w:val="0"/>
                <w:iCs/>
              </w:rPr>
              <w:t xml:space="preserve"> UE during and after initial access is 100 </w:t>
            </w:r>
            <w:proofErr w:type="spellStart"/>
            <w:r w:rsidRPr="00156A6E">
              <w:rPr>
                <w:bCs/>
                <w:i w:val="0"/>
                <w:iCs/>
              </w:rPr>
              <w:t>MHz.</w:t>
            </w:r>
            <w:proofErr w:type="spellEnd"/>
          </w:p>
          <w:p w14:paraId="59D6F485" w14:textId="77777777" w:rsidR="002A4E9B" w:rsidRPr="00156A6E" w:rsidRDefault="002A4E9B" w:rsidP="002A4E9B">
            <w:pPr>
              <w:pStyle w:val="BodyText"/>
              <w:widowControl/>
              <w:numPr>
                <w:ilvl w:val="1"/>
                <w:numId w:val="41"/>
              </w:numPr>
              <w:autoSpaceDE/>
              <w:adjustRightInd/>
              <w:spacing w:after="120"/>
              <w:jc w:val="both"/>
              <w:rPr>
                <w:b/>
                <w:i w:val="0"/>
                <w:iCs/>
              </w:rPr>
            </w:pPr>
            <w:r w:rsidRPr="00156A6E">
              <w:rPr>
                <w:i w:val="0"/>
                <w:iCs/>
              </w:rPr>
              <w:t>Reduced minimum number of Rx branches:</w:t>
            </w:r>
          </w:p>
          <w:p w14:paraId="266F79A5" w14:textId="77777777" w:rsidR="002A4E9B" w:rsidRPr="00156A6E" w:rsidRDefault="002A4E9B" w:rsidP="002A4E9B">
            <w:pPr>
              <w:pStyle w:val="BodyText"/>
              <w:widowControl/>
              <w:numPr>
                <w:ilvl w:val="2"/>
                <w:numId w:val="41"/>
              </w:numPr>
              <w:autoSpaceDE/>
              <w:adjustRightInd/>
              <w:spacing w:after="120"/>
              <w:jc w:val="both"/>
              <w:rPr>
                <w:b/>
                <w:i w:val="0"/>
                <w:iCs/>
              </w:rPr>
            </w:pPr>
            <w:r w:rsidRPr="00156A6E">
              <w:rPr>
                <w:i w:val="0"/>
                <w:iCs/>
              </w:rPr>
              <w:t xml:space="preserve">For frequency bands where a legacy NR UE is required to be equipped with a minimum of 2 Rx antenna ports, the minimum number of Rx branches supported by specification for a </w:t>
            </w:r>
            <w:proofErr w:type="spellStart"/>
            <w:r w:rsidRPr="00156A6E">
              <w:rPr>
                <w:i w:val="0"/>
                <w:iCs/>
              </w:rPr>
              <w:t>RedCap</w:t>
            </w:r>
            <w:proofErr w:type="spellEnd"/>
            <w:r w:rsidRPr="00156A6E">
              <w:rPr>
                <w:i w:val="0"/>
                <w:iCs/>
              </w:rPr>
              <w:t xml:space="preserve"> UE is 1. The specification also supports 2 Rx branches for a </w:t>
            </w:r>
            <w:proofErr w:type="spellStart"/>
            <w:r w:rsidRPr="00156A6E">
              <w:rPr>
                <w:i w:val="0"/>
                <w:iCs/>
              </w:rPr>
              <w:t>RedCap</w:t>
            </w:r>
            <w:proofErr w:type="spellEnd"/>
            <w:r w:rsidRPr="00156A6E">
              <w:rPr>
                <w:i w:val="0"/>
                <w:iCs/>
              </w:rPr>
              <w:t xml:space="preserve"> UE in these bands.</w:t>
            </w:r>
          </w:p>
          <w:p w14:paraId="1D9A74ED" w14:textId="77777777" w:rsidR="002A4E9B" w:rsidRPr="00156A6E" w:rsidRDefault="002A4E9B" w:rsidP="002A4E9B">
            <w:pPr>
              <w:pStyle w:val="BodyText"/>
              <w:widowControl/>
              <w:numPr>
                <w:ilvl w:val="2"/>
                <w:numId w:val="41"/>
              </w:numPr>
              <w:autoSpaceDE/>
              <w:adjustRightInd/>
              <w:spacing w:after="120"/>
              <w:jc w:val="both"/>
              <w:rPr>
                <w:i w:val="0"/>
                <w:iCs/>
              </w:rPr>
            </w:pPr>
            <w:bookmarkStart w:id="2" w:name="_Hlk58502022"/>
            <w:r w:rsidRPr="00156A6E">
              <w:rPr>
                <w:i w:val="0"/>
                <w:iCs/>
              </w:rPr>
              <w:t xml:space="preserve">For frequency bands where a legacy NR UE (other than 2-Rx vehicular UE) is required to be equipped with a minimum of 4 Rx </w:t>
            </w:r>
            <w:bookmarkEnd w:id="2"/>
            <w:r w:rsidRPr="00156A6E">
              <w:rPr>
                <w:i w:val="0"/>
                <w:iCs/>
              </w:rPr>
              <w:t xml:space="preserve">antenna ports, the minimum number of Rx </w:t>
            </w:r>
            <w:bookmarkStart w:id="3" w:name="_Hlk58574559"/>
            <w:r w:rsidRPr="00156A6E">
              <w:rPr>
                <w:i w:val="0"/>
                <w:iCs/>
              </w:rPr>
              <w:t xml:space="preserve">branches </w:t>
            </w:r>
            <w:bookmarkEnd w:id="3"/>
            <w:r w:rsidRPr="00156A6E">
              <w:rPr>
                <w:i w:val="0"/>
                <w:iCs/>
              </w:rPr>
              <w:t xml:space="preserve">supported by specification for a </w:t>
            </w:r>
            <w:proofErr w:type="spellStart"/>
            <w:r w:rsidRPr="00156A6E">
              <w:rPr>
                <w:i w:val="0"/>
                <w:iCs/>
              </w:rPr>
              <w:t>RedCap</w:t>
            </w:r>
            <w:proofErr w:type="spellEnd"/>
            <w:r w:rsidRPr="00156A6E">
              <w:rPr>
                <w:i w:val="0"/>
                <w:iCs/>
              </w:rPr>
              <w:t xml:space="preserve"> UE is 1. The specification also supports 2 Rx branches for a </w:t>
            </w:r>
            <w:proofErr w:type="spellStart"/>
            <w:r w:rsidRPr="00156A6E">
              <w:rPr>
                <w:i w:val="0"/>
                <w:iCs/>
              </w:rPr>
              <w:t>RedCap</w:t>
            </w:r>
            <w:proofErr w:type="spellEnd"/>
            <w:r w:rsidRPr="00156A6E">
              <w:rPr>
                <w:i w:val="0"/>
                <w:iCs/>
              </w:rPr>
              <w:t xml:space="preserve"> UE in these bands.</w:t>
            </w:r>
          </w:p>
          <w:p w14:paraId="49847499" w14:textId="77777777" w:rsidR="002A4E9B" w:rsidRPr="00156A6E" w:rsidRDefault="002A4E9B" w:rsidP="002A4E9B">
            <w:pPr>
              <w:pStyle w:val="BodyText"/>
              <w:widowControl/>
              <w:numPr>
                <w:ilvl w:val="2"/>
                <w:numId w:val="41"/>
              </w:numPr>
              <w:autoSpaceDE/>
              <w:adjustRightInd/>
              <w:spacing w:after="120"/>
              <w:jc w:val="both"/>
              <w:rPr>
                <w:b/>
                <w:i w:val="0"/>
                <w:iCs/>
              </w:rPr>
            </w:pPr>
            <w:r w:rsidRPr="00156A6E">
              <w:rPr>
                <w:i w:val="0"/>
                <w:iCs/>
              </w:rPr>
              <w:t xml:space="preserve">A means shall be specified by which the </w:t>
            </w:r>
            <w:proofErr w:type="spellStart"/>
            <w:r w:rsidRPr="00156A6E">
              <w:rPr>
                <w:i w:val="0"/>
                <w:iCs/>
              </w:rPr>
              <w:t>gNB</w:t>
            </w:r>
            <w:proofErr w:type="spellEnd"/>
            <w:r w:rsidRPr="00156A6E">
              <w:rPr>
                <w:i w:val="0"/>
                <w:iCs/>
              </w:rPr>
              <w:t xml:space="preserve"> can know the number of Rx branches of the UE.</w:t>
            </w:r>
          </w:p>
          <w:p w14:paraId="7979FCE0"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Maximum number of DL MIMO layers:</w:t>
            </w:r>
          </w:p>
          <w:p w14:paraId="57E721C6"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For a </w:t>
            </w:r>
            <w:proofErr w:type="spellStart"/>
            <w:r w:rsidRPr="00156A6E">
              <w:rPr>
                <w:bCs/>
                <w:i w:val="0"/>
                <w:iCs/>
              </w:rPr>
              <w:t>RedCap</w:t>
            </w:r>
            <w:proofErr w:type="spellEnd"/>
            <w:r w:rsidRPr="00156A6E">
              <w:rPr>
                <w:bCs/>
                <w:i w:val="0"/>
                <w:iCs/>
              </w:rPr>
              <w:t xml:space="preserve"> UE with 1 Rx </w:t>
            </w:r>
            <w:r w:rsidRPr="00156A6E">
              <w:rPr>
                <w:i w:val="0"/>
                <w:iCs/>
              </w:rPr>
              <w:t>branch</w:t>
            </w:r>
            <w:r w:rsidRPr="00156A6E">
              <w:rPr>
                <w:bCs/>
                <w:i w:val="0"/>
                <w:iCs/>
              </w:rPr>
              <w:t>, 1 DL MIMO layer is supported.</w:t>
            </w:r>
          </w:p>
          <w:p w14:paraId="59078145"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For a </w:t>
            </w:r>
            <w:proofErr w:type="spellStart"/>
            <w:r w:rsidRPr="00156A6E">
              <w:rPr>
                <w:bCs/>
                <w:i w:val="0"/>
                <w:iCs/>
              </w:rPr>
              <w:t>RedCap</w:t>
            </w:r>
            <w:proofErr w:type="spellEnd"/>
            <w:r w:rsidRPr="00156A6E">
              <w:rPr>
                <w:bCs/>
                <w:i w:val="0"/>
                <w:iCs/>
              </w:rPr>
              <w:t xml:space="preserve"> UE with 2 Rx </w:t>
            </w:r>
            <w:r w:rsidRPr="00156A6E">
              <w:rPr>
                <w:i w:val="0"/>
                <w:iCs/>
              </w:rPr>
              <w:t>branches</w:t>
            </w:r>
            <w:r w:rsidRPr="00156A6E">
              <w:rPr>
                <w:bCs/>
                <w:i w:val="0"/>
                <w:iCs/>
              </w:rPr>
              <w:t>, 2 DL MIMO layers are supported.</w:t>
            </w:r>
          </w:p>
          <w:p w14:paraId="0FF713D4"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Relaxed maximum modulation order:</w:t>
            </w:r>
          </w:p>
          <w:p w14:paraId="14C064BD"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Support of 256QAM in DL is optional (instead of mandatory) for an FR1 </w:t>
            </w:r>
            <w:proofErr w:type="spellStart"/>
            <w:r w:rsidRPr="00156A6E">
              <w:rPr>
                <w:bCs/>
                <w:i w:val="0"/>
                <w:iCs/>
              </w:rPr>
              <w:t>RedCap</w:t>
            </w:r>
            <w:proofErr w:type="spellEnd"/>
            <w:r w:rsidRPr="00156A6E">
              <w:rPr>
                <w:bCs/>
                <w:i w:val="0"/>
                <w:iCs/>
              </w:rPr>
              <w:t xml:space="preserve"> UE.</w:t>
            </w:r>
          </w:p>
          <w:p w14:paraId="33E56D65" w14:textId="77777777" w:rsidR="002A4E9B" w:rsidRPr="00156A6E" w:rsidRDefault="002A4E9B" w:rsidP="002A4E9B">
            <w:pPr>
              <w:pStyle w:val="BodyText"/>
              <w:widowControl/>
              <w:numPr>
                <w:ilvl w:val="2"/>
                <w:numId w:val="41"/>
              </w:numPr>
              <w:autoSpaceDE/>
              <w:adjustRightInd/>
              <w:spacing w:after="120"/>
              <w:jc w:val="both"/>
              <w:rPr>
                <w:bCs/>
                <w:i w:val="0"/>
                <w:iCs/>
              </w:rPr>
            </w:pPr>
            <w:r w:rsidRPr="00156A6E">
              <w:rPr>
                <w:bCs/>
                <w:i w:val="0"/>
                <w:iCs/>
              </w:rPr>
              <w:t xml:space="preserve">No other relaxations of maximum modulation order are specified for a </w:t>
            </w:r>
            <w:proofErr w:type="spellStart"/>
            <w:r w:rsidRPr="00156A6E">
              <w:rPr>
                <w:bCs/>
                <w:i w:val="0"/>
                <w:iCs/>
              </w:rPr>
              <w:t>RedCap</w:t>
            </w:r>
            <w:proofErr w:type="spellEnd"/>
            <w:r w:rsidRPr="00156A6E">
              <w:rPr>
                <w:bCs/>
                <w:i w:val="0"/>
                <w:iCs/>
              </w:rPr>
              <w:t xml:space="preserve"> UE.</w:t>
            </w:r>
          </w:p>
          <w:p w14:paraId="03A28127" w14:textId="77777777" w:rsidR="002A4E9B" w:rsidRPr="00156A6E" w:rsidRDefault="002A4E9B" w:rsidP="002A4E9B">
            <w:pPr>
              <w:pStyle w:val="BodyText"/>
              <w:widowControl/>
              <w:numPr>
                <w:ilvl w:val="1"/>
                <w:numId w:val="41"/>
              </w:numPr>
              <w:autoSpaceDE/>
              <w:adjustRightInd/>
              <w:spacing w:after="120"/>
              <w:jc w:val="both"/>
              <w:rPr>
                <w:bCs/>
                <w:i w:val="0"/>
                <w:iCs/>
              </w:rPr>
            </w:pPr>
            <w:r w:rsidRPr="00156A6E">
              <w:rPr>
                <w:bCs/>
                <w:i w:val="0"/>
                <w:iCs/>
              </w:rPr>
              <w:t>Duplex operation:</w:t>
            </w:r>
          </w:p>
          <w:p w14:paraId="44B8098B" w14:textId="79EE42A1" w:rsidR="000C42ED" w:rsidRPr="00156A6E" w:rsidRDefault="002A4E9B" w:rsidP="007B146E">
            <w:pPr>
              <w:pStyle w:val="BodyText"/>
              <w:widowControl/>
              <w:numPr>
                <w:ilvl w:val="2"/>
                <w:numId w:val="41"/>
              </w:numPr>
              <w:autoSpaceDE/>
              <w:adjustRightInd/>
              <w:spacing w:after="120"/>
              <w:jc w:val="both"/>
              <w:rPr>
                <w:bCs/>
                <w:i w:val="0"/>
                <w:iCs/>
              </w:rPr>
            </w:pPr>
            <w:r w:rsidRPr="00156A6E">
              <w:rPr>
                <w:bCs/>
                <w:i w:val="0"/>
                <w:iCs/>
              </w:rPr>
              <w:t>HD-FDD type A with the minimum specification impact (Note that FD-FDD and TDD are also supported.)</w:t>
            </w:r>
          </w:p>
        </w:tc>
      </w:tr>
    </w:tbl>
    <w:p w14:paraId="4C05BEBA" w14:textId="2F1613B0" w:rsidR="000C42ED" w:rsidRPr="00156A6E" w:rsidRDefault="000C42ED" w:rsidP="00C96209">
      <w:pPr>
        <w:ind w:right="-22"/>
        <w:jc w:val="both"/>
        <w:rPr>
          <w:rFonts w:eastAsia="Calibri" w:cs="Times New Roman"/>
          <w:szCs w:val="20"/>
        </w:rPr>
      </w:pPr>
    </w:p>
    <w:p w14:paraId="7CFE2438" w14:textId="0448A439" w:rsidR="007B146E" w:rsidRPr="00156A6E" w:rsidRDefault="007B146E" w:rsidP="00C96209">
      <w:pPr>
        <w:ind w:right="-22"/>
        <w:jc w:val="both"/>
        <w:rPr>
          <w:rFonts w:eastAsia="Calibri" w:cs="Times New Roman"/>
          <w:szCs w:val="20"/>
        </w:rPr>
      </w:pPr>
      <w:r w:rsidRPr="00156A6E">
        <w:rPr>
          <w:rFonts w:eastAsia="Calibri" w:cs="Times New Roman"/>
          <w:szCs w:val="20"/>
        </w:rPr>
        <w:t xml:space="preserve">The following WF was approved in RAN4 #99-e </w:t>
      </w:r>
      <w:r w:rsidRPr="00156A6E">
        <w:rPr>
          <w:rFonts w:eastAsia="Calibri" w:cs="Times New Roman"/>
          <w:szCs w:val="20"/>
        </w:rPr>
        <w:fldChar w:fldCharType="begin"/>
      </w:r>
      <w:r w:rsidRPr="00156A6E">
        <w:rPr>
          <w:rFonts w:eastAsia="Calibri" w:cs="Times New Roman"/>
          <w:szCs w:val="20"/>
        </w:rPr>
        <w:instrText xml:space="preserve"> REF _Ref78797957 \r \h </w:instrText>
      </w:r>
      <w:r w:rsidRPr="00156A6E">
        <w:rPr>
          <w:rFonts w:eastAsia="Calibri" w:cs="Times New Roman"/>
          <w:szCs w:val="20"/>
        </w:rPr>
      </w:r>
      <w:r w:rsidRPr="00156A6E">
        <w:rPr>
          <w:rFonts w:eastAsia="Calibri" w:cs="Times New Roman"/>
          <w:szCs w:val="20"/>
        </w:rPr>
        <w:fldChar w:fldCharType="separate"/>
      </w:r>
      <w:r w:rsidRPr="00156A6E">
        <w:rPr>
          <w:rFonts w:eastAsia="Calibri" w:cs="Times New Roman"/>
          <w:szCs w:val="20"/>
        </w:rPr>
        <w:t>[2]</w:t>
      </w:r>
      <w:r w:rsidRPr="00156A6E">
        <w:rPr>
          <w:rFonts w:eastAsia="Calibri" w:cs="Times New Roman"/>
          <w:szCs w:val="20"/>
        </w:rPr>
        <w:fldChar w:fldCharType="end"/>
      </w:r>
      <w:r w:rsidRPr="00156A6E">
        <w:rPr>
          <w:rFonts w:eastAsia="Calibri" w:cs="Times New Roman"/>
          <w:szCs w:val="20"/>
        </w:rPr>
        <w:t>.</w:t>
      </w:r>
    </w:p>
    <w:tbl>
      <w:tblPr>
        <w:tblStyle w:val="TableGrid"/>
        <w:tblW w:w="0" w:type="auto"/>
        <w:tblLook w:val="04A0" w:firstRow="1" w:lastRow="0" w:firstColumn="1" w:lastColumn="0" w:noHBand="0" w:noVBand="1"/>
      </w:tblPr>
      <w:tblGrid>
        <w:gridCol w:w="9617"/>
      </w:tblGrid>
      <w:tr w:rsidR="007B146E" w:rsidRPr="00156A6E" w14:paraId="46A8D99C" w14:textId="77777777" w:rsidTr="007B146E">
        <w:tc>
          <w:tcPr>
            <w:tcW w:w="9617" w:type="dxa"/>
          </w:tcPr>
          <w:p w14:paraId="5FD85B57" w14:textId="0B6FB558" w:rsidR="007B146E" w:rsidRPr="00156A6E" w:rsidRDefault="007B146E" w:rsidP="00C96209">
            <w:pPr>
              <w:ind w:right="-22"/>
              <w:jc w:val="both"/>
              <w:rPr>
                <w:rFonts w:eastAsia="Calibri" w:cs="Times New Roman"/>
                <w:szCs w:val="20"/>
                <w:u w:val="single"/>
              </w:rPr>
            </w:pPr>
            <w:proofErr w:type="spellStart"/>
            <w:r w:rsidRPr="00156A6E">
              <w:rPr>
                <w:rFonts w:eastAsia="Calibri" w:cs="Times New Roman"/>
                <w:szCs w:val="20"/>
                <w:u w:val="single"/>
              </w:rPr>
              <w:t>RedCap</w:t>
            </w:r>
            <w:proofErr w:type="spellEnd"/>
            <w:r w:rsidRPr="00156A6E">
              <w:rPr>
                <w:rFonts w:eastAsia="Calibri" w:cs="Times New Roman"/>
                <w:szCs w:val="20"/>
                <w:u w:val="single"/>
              </w:rPr>
              <w:t xml:space="preserve">: Rx branch for </w:t>
            </w:r>
            <w:proofErr w:type="spellStart"/>
            <w:r w:rsidRPr="00156A6E">
              <w:rPr>
                <w:rFonts w:eastAsia="Calibri" w:cs="Times New Roman"/>
                <w:szCs w:val="20"/>
                <w:u w:val="single"/>
              </w:rPr>
              <w:t>RedCap</w:t>
            </w:r>
            <w:proofErr w:type="spellEnd"/>
            <w:r w:rsidRPr="00156A6E">
              <w:rPr>
                <w:rFonts w:eastAsia="Calibri" w:cs="Times New Roman"/>
                <w:szCs w:val="20"/>
                <w:u w:val="single"/>
              </w:rPr>
              <w:t xml:space="preserve"> UE</w:t>
            </w:r>
          </w:p>
          <w:p w14:paraId="16422CB1"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FR1</w:t>
            </w:r>
          </w:p>
          <w:p w14:paraId="03B94404"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Minimum # of Rx branch to be specified: 1</w:t>
            </w:r>
          </w:p>
          <w:p w14:paraId="75730C64"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Additional # of Rx branch to be specified: 2</w:t>
            </w:r>
          </w:p>
          <w:p w14:paraId="4D4DF74E" w14:textId="77777777" w:rsidR="00194380" w:rsidRPr="00194380" w:rsidRDefault="00194380" w:rsidP="00194380">
            <w:pPr>
              <w:numPr>
                <w:ilvl w:val="0"/>
                <w:numId w:val="63"/>
              </w:numPr>
              <w:ind w:right="-22"/>
              <w:jc w:val="both"/>
              <w:rPr>
                <w:rFonts w:eastAsia="Calibri" w:cs="Times New Roman"/>
                <w:szCs w:val="20"/>
              </w:rPr>
            </w:pPr>
            <w:r w:rsidRPr="00194380">
              <w:rPr>
                <w:rFonts w:eastAsia="Calibri" w:cs="Times New Roman"/>
                <w:szCs w:val="20"/>
              </w:rPr>
              <w:t>FR2:</w:t>
            </w:r>
          </w:p>
          <w:p w14:paraId="4315561C" w14:textId="77777777" w:rsidR="00194380" w:rsidRPr="00194380" w:rsidRDefault="00194380" w:rsidP="00194380">
            <w:pPr>
              <w:numPr>
                <w:ilvl w:val="1"/>
                <w:numId w:val="63"/>
              </w:numPr>
              <w:ind w:right="-22"/>
              <w:jc w:val="both"/>
              <w:rPr>
                <w:rFonts w:eastAsia="Calibri" w:cs="Times New Roman"/>
                <w:szCs w:val="20"/>
              </w:rPr>
            </w:pPr>
            <w:r w:rsidRPr="00194380">
              <w:rPr>
                <w:rFonts w:eastAsia="Calibri" w:cs="Times New Roman"/>
                <w:szCs w:val="20"/>
              </w:rPr>
              <w:t>FFS</w:t>
            </w:r>
          </w:p>
          <w:p w14:paraId="249543CB" w14:textId="77777777" w:rsidR="00194380" w:rsidRPr="00194380" w:rsidRDefault="00194380" w:rsidP="00194380">
            <w:pPr>
              <w:numPr>
                <w:ilvl w:val="2"/>
                <w:numId w:val="63"/>
              </w:numPr>
              <w:ind w:right="-22"/>
              <w:jc w:val="both"/>
              <w:rPr>
                <w:rFonts w:eastAsia="Calibri" w:cs="Times New Roman"/>
                <w:szCs w:val="20"/>
              </w:rPr>
            </w:pPr>
            <w:r w:rsidRPr="00194380">
              <w:rPr>
                <w:rFonts w:eastAsia="Calibri" w:cs="Times New Roman"/>
                <w:szCs w:val="20"/>
              </w:rPr>
              <w:t xml:space="preserve">Operators are encouraged to provide feedback on use case of </w:t>
            </w:r>
            <w:proofErr w:type="spellStart"/>
            <w:r w:rsidRPr="00194380">
              <w:rPr>
                <w:rFonts w:eastAsia="Calibri" w:cs="Times New Roman"/>
                <w:szCs w:val="20"/>
              </w:rPr>
              <w:t>RedCap</w:t>
            </w:r>
            <w:proofErr w:type="spellEnd"/>
            <w:r w:rsidRPr="00194380">
              <w:rPr>
                <w:rFonts w:eastAsia="Calibri" w:cs="Times New Roman"/>
                <w:szCs w:val="20"/>
              </w:rPr>
              <w:t xml:space="preserve"> UE in FR2 for next meeting, </w:t>
            </w:r>
            <w:proofErr w:type="spellStart"/>
            <w:proofErr w:type="gramStart"/>
            <w:r w:rsidRPr="00194380">
              <w:rPr>
                <w:rFonts w:eastAsia="Calibri" w:cs="Times New Roman"/>
                <w:szCs w:val="20"/>
              </w:rPr>
              <w:t>e,g</w:t>
            </w:r>
            <w:proofErr w:type="spellEnd"/>
            <w:proofErr w:type="gramEnd"/>
            <w:r w:rsidRPr="00194380">
              <w:rPr>
                <w:rFonts w:eastAsia="Calibri" w:cs="Times New Roman"/>
                <w:szCs w:val="20"/>
              </w:rPr>
              <w:t xml:space="preserve"> Power class, frequency band etc.</w:t>
            </w:r>
          </w:p>
          <w:p w14:paraId="38108DAE" w14:textId="77777777" w:rsidR="007B146E" w:rsidRPr="00156A6E" w:rsidRDefault="007B146E" w:rsidP="00C96209">
            <w:pPr>
              <w:ind w:right="-22"/>
              <w:jc w:val="both"/>
              <w:rPr>
                <w:rFonts w:eastAsia="Calibri" w:cs="Times New Roman"/>
                <w:szCs w:val="20"/>
              </w:rPr>
            </w:pPr>
          </w:p>
          <w:p w14:paraId="001C4F07" w14:textId="77777777" w:rsidR="007B146E" w:rsidRPr="00156A6E" w:rsidRDefault="007B146E" w:rsidP="00C96209">
            <w:pPr>
              <w:ind w:right="-22"/>
              <w:jc w:val="both"/>
              <w:rPr>
                <w:rFonts w:eastAsia="Calibri" w:cs="Times New Roman"/>
                <w:szCs w:val="20"/>
                <w:u w:val="single"/>
              </w:rPr>
            </w:pPr>
            <w:proofErr w:type="spellStart"/>
            <w:r w:rsidRPr="00156A6E">
              <w:rPr>
                <w:rFonts w:eastAsia="Calibri" w:cs="Times New Roman"/>
                <w:szCs w:val="20"/>
                <w:u w:val="single"/>
              </w:rPr>
              <w:t>RedCap</w:t>
            </w:r>
            <w:proofErr w:type="spellEnd"/>
            <w:r w:rsidRPr="00156A6E">
              <w:rPr>
                <w:rFonts w:eastAsia="Calibri" w:cs="Times New Roman"/>
                <w:szCs w:val="20"/>
                <w:u w:val="single"/>
              </w:rPr>
              <w:t>: FR1 UE Tx-Rx and Rx-Tx switching time</w:t>
            </w:r>
          </w:p>
          <w:p w14:paraId="0AACDA9D"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Tx-Rx switching time: 13 µs</w:t>
            </w:r>
          </w:p>
          <w:p w14:paraId="244B6445"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Rx-Tx switching time: FFS</w:t>
            </w:r>
          </w:p>
          <w:p w14:paraId="7B527D7C"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Companies are encouraged to provide their analysis justifying any longer switching time than 13 µs</w:t>
            </w:r>
          </w:p>
          <w:p w14:paraId="26A4F6C2"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Study network performance impact and trade-off with UE power savings</w:t>
            </w:r>
          </w:p>
          <w:p w14:paraId="5C2C39E8" w14:textId="77777777" w:rsidR="007B146E" w:rsidRPr="00156A6E" w:rsidRDefault="007B146E" w:rsidP="00C96209">
            <w:pPr>
              <w:ind w:right="-22"/>
              <w:jc w:val="both"/>
              <w:rPr>
                <w:rFonts w:eastAsia="Calibri" w:cs="Times New Roman"/>
                <w:szCs w:val="20"/>
              </w:rPr>
            </w:pPr>
          </w:p>
          <w:p w14:paraId="1B2660D6" w14:textId="2418EC38" w:rsidR="007B146E" w:rsidRPr="00156A6E" w:rsidRDefault="007B146E" w:rsidP="00C96209">
            <w:pPr>
              <w:ind w:right="-22"/>
              <w:jc w:val="both"/>
              <w:rPr>
                <w:rFonts w:eastAsia="Calibri" w:cs="Times New Roman"/>
                <w:szCs w:val="20"/>
                <w:u w:val="single"/>
              </w:rPr>
            </w:pPr>
            <w:proofErr w:type="spellStart"/>
            <w:r w:rsidRPr="00156A6E">
              <w:rPr>
                <w:rFonts w:eastAsia="Calibri" w:cs="Times New Roman"/>
                <w:szCs w:val="20"/>
                <w:u w:val="single"/>
              </w:rPr>
              <w:t>RedCap</w:t>
            </w:r>
            <w:proofErr w:type="spellEnd"/>
            <w:r w:rsidRPr="00156A6E">
              <w:rPr>
                <w:rFonts w:eastAsia="Calibri" w:cs="Times New Roman"/>
                <w:szCs w:val="20"/>
                <w:u w:val="single"/>
              </w:rPr>
              <w:t>: UE RF impact</w:t>
            </w:r>
          </w:p>
          <w:p w14:paraId="5045E5CA"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Tx requirements</w:t>
            </w:r>
          </w:p>
          <w:p w14:paraId="248D656E"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 xml:space="preserve">NR UE Tx requirements could be reused for </w:t>
            </w:r>
            <w:proofErr w:type="spellStart"/>
            <w:r w:rsidRPr="007B146E">
              <w:rPr>
                <w:rFonts w:eastAsia="Calibri" w:cs="Times New Roman"/>
                <w:szCs w:val="20"/>
              </w:rPr>
              <w:t>RedCap</w:t>
            </w:r>
            <w:proofErr w:type="spellEnd"/>
            <w:r w:rsidRPr="007B146E">
              <w:rPr>
                <w:rFonts w:eastAsia="Calibri" w:cs="Times New Roman"/>
                <w:szCs w:val="20"/>
              </w:rPr>
              <w:t xml:space="preserve"> (except the UE transmit power in FR1 and FR2)</w:t>
            </w:r>
          </w:p>
          <w:p w14:paraId="5F78E7C7"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 xml:space="preserve">Transmit power in FR1 and FR2: depend on the </w:t>
            </w:r>
            <w:proofErr w:type="spellStart"/>
            <w:r w:rsidRPr="007B146E">
              <w:rPr>
                <w:rFonts w:eastAsia="Calibri" w:cs="Times New Roman"/>
                <w:szCs w:val="20"/>
              </w:rPr>
              <w:t>RedCap</w:t>
            </w:r>
            <w:proofErr w:type="spellEnd"/>
            <w:r w:rsidRPr="007B146E">
              <w:rPr>
                <w:rFonts w:eastAsia="Calibri" w:cs="Times New Roman"/>
                <w:szCs w:val="20"/>
              </w:rPr>
              <w:t xml:space="preserve"> PC and frequency band.</w:t>
            </w:r>
          </w:p>
          <w:p w14:paraId="3C60ADB0"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Rx requirements:</w:t>
            </w:r>
          </w:p>
          <w:p w14:paraId="63F3FE18"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Specify REFSENS:</w:t>
            </w:r>
          </w:p>
          <w:p w14:paraId="2267D1A9"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For one Rx branch.</w:t>
            </w:r>
          </w:p>
          <w:p w14:paraId="03E30C4D"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For 2 Rx branches for bands where legacy NR UE is required with 4 Rx antenna ports.</w:t>
            </w:r>
          </w:p>
          <w:p w14:paraId="385B9986"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re-use existing single carrier requirement for 2 Rx branches, FFS on HD-FDD mode.</w:t>
            </w:r>
          </w:p>
          <w:p w14:paraId="2D1D8252"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Other requirements: FFS</w:t>
            </w:r>
          </w:p>
          <w:p w14:paraId="601D590E"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Specification structure:</w:t>
            </w:r>
          </w:p>
          <w:p w14:paraId="6B2AE460" w14:textId="181D18A4" w:rsidR="007B146E" w:rsidRPr="00B4779A" w:rsidRDefault="007B146E" w:rsidP="00C96209">
            <w:pPr>
              <w:numPr>
                <w:ilvl w:val="1"/>
                <w:numId w:val="63"/>
              </w:numPr>
              <w:ind w:right="-22"/>
              <w:jc w:val="both"/>
              <w:rPr>
                <w:rFonts w:eastAsia="Calibri" w:cs="Times New Roman"/>
                <w:szCs w:val="20"/>
              </w:rPr>
            </w:pPr>
            <w:r w:rsidRPr="007B146E">
              <w:rPr>
                <w:rFonts w:eastAsia="Calibri" w:cs="Times New Roman"/>
                <w:szCs w:val="20"/>
              </w:rPr>
              <w:t xml:space="preserve">Define new suffix for </w:t>
            </w:r>
            <w:proofErr w:type="spellStart"/>
            <w:r w:rsidRPr="007B146E">
              <w:rPr>
                <w:rFonts w:eastAsia="Calibri" w:cs="Times New Roman"/>
                <w:szCs w:val="20"/>
              </w:rPr>
              <w:t>RedCap</w:t>
            </w:r>
            <w:proofErr w:type="spellEnd"/>
            <w:r w:rsidRPr="007B146E">
              <w:rPr>
                <w:rFonts w:eastAsia="Calibri" w:cs="Times New Roman"/>
                <w:szCs w:val="20"/>
              </w:rPr>
              <w:t xml:space="preserve"> UE RF requirement at least in TS 38.101-1.</w:t>
            </w:r>
          </w:p>
          <w:p w14:paraId="28650621" w14:textId="27B663FB" w:rsidR="007B146E" w:rsidRPr="00156A6E" w:rsidRDefault="007B146E" w:rsidP="00C96209">
            <w:pPr>
              <w:ind w:right="-22"/>
              <w:jc w:val="both"/>
              <w:rPr>
                <w:rFonts w:eastAsia="Calibri" w:cs="Times New Roman"/>
                <w:szCs w:val="20"/>
              </w:rPr>
            </w:pPr>
          </w:p>
        </w:tc>
      </w:tr>
    </w:tbl>
    <w:p w14:paraId="71D0C285" w14:textId="77777777" w:rsidR="007B146E" w:rsidRPr="00156A6E" w:rsidRDefault="007B146E" w:rsidP="00C96209">
      <w:pPr>
        <w:ind w:right="-22"/>
        <w:jc w:val="both"/>
        <w:rPr>
          <w:rFonts w:eastAsia="Calibri" w:cs="Times New Roman"/>
          <w:szCs w:val="20"/>
        </w:rPr>
      </w:pPr>
    </w:p>
    <w:p w14:paraId="1419EF0F" w14:textId="59EED4E6" w:rsidR="006F28AC" w:rsidRPr="00156A6E" w:rsidRDefault="00F231E7" w:rsidP="00C96209">
      <w:pPr>
        <w:ind w:right="-22"/>
        <w:jc w:val="both"/>
        <w:rPr>
          <w:rFonts w:eastAsia="Calibri" w:cs="Times New Roman"/>
          <w:szCs w:val="20"/>
        </w:rPr>
      </w:pPr>
      <w:r w:rsidRPr="00156A6E">
        <w:rPr>
          <w:rFonts w:eastAsia="Calibri" w:cs="Times New Roman"/>
          <w:szCs w:val="20"/>
        </w:rPr>
        <w:t xml:space="preserve">This contribution </w:t>
      </w:r>
      <w:r w:rsidR="002A4E9B" w:rsidRPr="00156A6E">
        <w:rPr>
          <w:rFonts w:eastAsia="Calibri" w:cs="Times New Roman"/>
          <w:szCs w:val="20"/>
        </w:rPr>
        <w:t xml:space="preserve">discusses </w:t>
      </w:r>
      <w:r w:rsidR="00156A6E">
        <w:rPr>
          <w:rFonts w:eastAsia="Calibri" w:cs="Times New Roman"/>
          <w:szCs w:val="20"/>
        </w:rPr>
        <w:t xml:space="preserve">aspects related to FR2 </w:t>
      </w:r>
      <w:proofErr w:type="spellStart"/>
      <w:r w:rsidR="00156A6E">
        <w:rPr>
          <w:rFonts w:eastAsia="Calibri" w:cs="Times New Roman"/>
          <w:szCs w:val="20"/>
        </w:rPr>
        <w:t>RedCap</w:t>
      </w:r>
      <w:proofErr w:type="spellEnd"/>
      <w:r w:rsidR="00156A6E">
        <w:rPr>
          <w:rFonts w:eastAsia="Calibri" w:cs="Times New Roman"/>
          <w:szCs w:val="20"/>
        </w:rPr>
        <w:t xml:space="preserve"> UE</w:t>
      </w:r>
      <w:r w:rsidR="00FF78E1" w:rsidRPr="00156A6E">
        <w:rPr>
          <w:rFonts w:eastAsia="Calibri" w:cs="Times New Roman"/>
          <w:szCs w:val="20"/>
        </w:rPr>
        <w:t>.</w:t>
      </w:r>
    </w:p>
    <w:p w14:paraId="41F4BC09" w14:textId="69EDE368" w:rsidR="002C2D19" w:rsidRPr="00156A6E" w:rsidRDefault="00942E0D" w:rsidP="00553849">
      <w:pPr>
        <w:pStyle w:val="RAN4H1"/>
        <w:numPr>
          <w:ilvl w:val="0"/>
          <w:numId w:val="54"/>
        </w:numPr>
        <w:rPr>
          <w:lang w:val="en-US"/>
        </w:rPr>
      </w:pPr>
      <w:r w:rsidRPr="00156A6E">
        <w:rPr>
          <w:lang w:val="en-US"/>
        </w:rPr>
        <w:t>Discussion</w:t>
      </w:r>
    </w:p>
    <w:p w14:paraId="1C546255" w14:textId="62DCD7B3" w:rsidR="00D6467D" w:rsidRDefault="007B6F10" w:rsidP="00D6467D">
      <w:pPr>
        <w:jc w:val="both"/>
        <w:rPr>
          <w:rFonts w:eastAsia="Calibri" w:cs="Times New Roman"/>
          <w:szCs w:val="20"/>
        </w:rPr>
      </w:pPr>
      <w:r>
        <w:rPr>
          <w:lang w:eastAsia="en-GB"/>
        </w:rPr>
        <w:t>Unlike at FR1</w:t>
      </w:r>
      <w:r w:rsidR="00910363">
        <w:rPr>
          <w:lang w:eastAsia="en-GB"/>
        </w:rPr>
        <w:t>,</w:t>
      </w:r>
      <w:r>
        <w:rPr>
          <w:lang w:eastAsia="en-GB"/>
        </w:rPr>
        <w:t xml:space="preserve"> where </w:t>
      </w:r>
      <w:r>
        <w:rPr>
          <w:rFonts w:cs="v5.0.0"/>
        </w:rPr>
        <w:t>the receiver characteristics are specified at the antenna connectors of the UE</w:t>
      </w:r>
      <w:r w:rsidR="00910363">
        <w:rPr>
          <w:rFonts w:cs="v5.0.0"/>
        </w:rPr>
        <w:t>, a</w:t>
      </w:r>
      <w:r w:rsidR="0027071A">
        <w:rPr>
          <w:lang w:eastAsia="en-GB"/>
        </w:rPr>
        <w:t xml:space="preserve">t FR2, </w:t>
      </w:r>
      <w:r>
        <w:rPr>
          <w:lang w:eastAsia="en-GB"/>
        </w:rPr>
        <w:t xml:space="preserve">receiver characteristics </w:t>
      </w:r>
      <w:r>
        <w:t>are specified over the air</w:t>
      </w:r>
      <w:r>
        <w:rPr>
          <w:lang w:eastAsia="en-GB"/>
        </w:rPr>
        <w:t>.</w:t>
      </w:r>
      <w:r w:rsidR="00D6467D">
        <w:rPr>
          <w:lang w:eastAsia="en-GB"/>
        </w:rPr>
        <w:t xml:space="preserve"> Furthermore, there is no reference to the number of antenna ports for receiver characteristics at FR2. In particular, t</w:t>
      </w:r>
      <w:r w:rsidR="00D6467D">
        <w:rPr>
          <w:rFonts w:eastAsia="Calibri" w:cs="Times New Roman"/>
          <w:szCs w:val="20"/>
        </w:rPr>
        <w:t xml:space="preserve">he following is specified under diversity characteristics </w:t>
      </w:r>
      <w:r w:rsidR="00D6467D">
        <w:rPr>
          <w:lang w:eastAsia="en-GB"/>
        </w:rPr>
        <w:fldChar w:fldCharType="begin"/>
      </w:r>
      <w:r w:rsidR="00D6467D">
        <w:rPr>
          <w:lang w:eastAsia="en-GB"/>
        </w:rPr>
        <w:instrText xml:space="preserve"> REF _Ref78881344 \r \h </w:instrText>
      </w:r>
      <w:r w:rsidR="00D6467D">
        <w:rPr>
          <w:lang w:eastAsia="en-GB"/>
        </w:rPr>
      </w:r>
      <w:r w:rsidR="00D6467D">
        <w:rPr>
          <w:lang w:eastAsia="en-GB"/>
        </w:rPr>
        <w:fldChar w:fldCharType="separate"/>
      </w:r>
      <w:r w:rsidR="00D6467D">
        <w:rPr>
          <w:lang w:eastAsia="en-GB"/>
        </w:rPr>
        <w:t>[3]</w:t>
      </w:r>
      <w:r w:rsidR="00D6467D">
        <w:rPr>
          <w:lang w:eastAsia="en-GB"/>
        </w:rPr>
        <w:fldChar w:fldCharType="end"/>
      </w:r>
      <w:r w:rsidR="00D6467D">
        <w:rPr>
          <w:rFonts w:eastAsia="Calibri" w:cs="Times New Roman"/>
          <w:szCs w:val="20"/>
        </w:rPr>
        <w:t>.</w:t>
      </w:r>
    </w:p>
    <w:p w14:paraId="6C4D18E3" w14:textId="77777777" w:rsidR="00D6467D" w:rsidRDefault="00D6467D" w:rsidP="00D6467D">
      <w:pPr>
        <w:ind w:left="360"/>
      </w:pPr>
      <w:r>
        <w:t>The minimum requirements on effective isotropic sensitivity (EIS) apply to two measurements, corresponding to DL signals in orthogonal polarizations.</w:t>
      </w:r>
    </w:p>
    <w:p w14:paraId="22030A3D" w14:textId="3C3F8904" w:rsidR="003A6C69" w:rsidRPr="00963B15" w:rsidRDefault="00D6467D" w:rsidP="003A6C69">
      <w:pPr>
        <w:jc w:val="both"/>
        <w:rPr>
          <w:lang w:eastAsia="en-GB"/>
        </w:rPr>
      </w:pPr>
      <w:r>
        <w:rPr>
          <w:lang w:eastAsia="en-GB"/>
        </w:rPr>
        <w:t>Thus, the requirements correspond to reception on two orthogonal polarizations.</w:t>
      </w:r>
      <w:r w:rsidR="00963B15">
        <w:rPr>
          <w:lang w:eastAsia="en-GB"/>
        </w:rPr>
        <w:t xml:space="preserve"> T</w:t>
      </w:r>
      <w:r w:rsidR="0027071A">
        <w:rPr>
          <w:lang w:eastAsia="en-GB"/>
        </w:rPr>
        <w:t>he reference sensitivity power level is defined as follows</w:t>
      </w:r>
      <w:r w:rsidR="00BE0B94" w:rsidRPr="00156A6E">
        <w:rPr>
          <w:rFonts w:eastAsia="Calibri" w:cs="Times New Roman"/>
          <w:szCs w:val="20"/>
        </w:rPr>
        <w:t>.</w:t>
      </w:r>
    </w:p>
    <w:p w14:paraId="101A9D7C" w14:textId="12039CBF" w:rsidR="0027071A" w:rsidRDefault="0027071A" w:rsidP="0027071A">
      <w:pPr>
        <w:ind w:left="360"/>
        <w:jc w:val="both"/>
        <w:rPr>
          <w:rFonts w:eastAsia="Calibri" w:cs="Times New Roman"/>
          <w:szCs w:val="20"/>
        </w:rPr>
      </w:pPr>
      <w:r w:rsidRPr="0027071A">
        <w:t xml:space="preserve">The reference sensitivity power level REFSENS is defined as the EIS level at the </w:t>
      </w:r>
      <w:proofErr w:type="spellStart"/>
      <w:r w:rsidRPr="0027071A">
        <w:t>centre</w:t>
      </w:r>
      <w:proofErr w:type="spellEnd"/>
      <w:r w:rsidRPr="0027071A">
        <w:t xml:space="preserve"> of the quiet zone in the RX beam peak direction, at which the throughput shall meet or exceed the requirements for the specified reference measurement channel.</w:t>
      </w:r>
    </w:p>
    <w:p w14:paraId="5C5098B1" w14:textId="3A6A61AF" w:rsidR="00963B15" w:rsidRDefault="00C64096" w:rsidP="003A6C69">
      <w:pPr>
        <w:jc w:val="both"/>
        <w:rPr>
          <w:lang w:eastAsia="en-GB"/>
        </w:rPr>
      </w:pPr>
      <w:r w:rsidRPr="0027071A">
        <w:t xml:space="preserve">The reference sensitivity power level </w:t>
      </w:r>
      <w:r>
        <w:t xml:space="preserve">is defined such that the throughput shall be ≥ 95 % of the maximum throughput of the reference measurement channels, where the reference measurement channels are specified in Annexes A.2.3.2 and A.3.3.2 of </w:t>
      </w:r>
      <w:r>
        <w:fldChar w:fldCharType="begin"/>
      </w:r>
      <w:r>
        <w:instrText xml:space="preserve"> REF _Ref78881344 \r \h </w:instrText>
      </w:r>
      <w:r>
        <w:fldChar w:fldCharType="separate"/>
      </w:r>
      <w:r>
        <w:t>[3]</w:t>
      </w:r>
      <w:r>
        <w:fldChar w:fldCharType="end"/>
      </w:r>
      <w:r>
        <w:t xml:space="preserve">. </w:t>
      </w:r>
      <w:r>
        <w:rPr>
          <w:lang w:eastAsia="en-GB"/>
        </w:rPr>
        <w:t>From the above</w:t>
      </w:r>
      <w:r w:rsidR="00963B15">
        <w:rPr>
          <w:lang w:eastAsia="en-GB"/>
        </w:rPr>
        <w:t xml:space="preserve">, it can be understood that the receiver sensitivity requirements are specified with the assumption of measurements on two orthogonal polarizations, each of which can correspond to an antenna port. The requirements are not based on any assumptions with respect to the number of </w:t>
      </w:r>
      <w:r w:rsidR="001111FA">
        <w:rPr>
          <w:lang w:eastAsia="en-GB"/>
        </w:rPr>
        <w:t xml:space="preserve">antenna </w:t>
      </w:r>
      <w:r w:rsidR="00963B15">
        <w:rPr>
          <w:lang w:eastAsia="en-GB"/>
        </w:rPr>
        <w:t>panels.</w:t>
      </w:r>
      <w:r w:rsidR="001111FA">
        <w:rPr>
          <w:lang w:eastAsia="en-GB"/>
        </w:rPr>
        <w:t xml:space="preserve"> As a result, the reception of two orthogonal polarizations can be either on a single panel or two panels.</w:t>
      </w:r>
      <w:r w:rsidR="00C37D0D">
        <w:rPr>
          <w:lang w:eastAsia="en-GB"/>
        </w:rPr>
        <w:t xml:space="preserve"> In other words, a UE may receive two orthogonal polarizations on either the same panel or two different panels.</w:t>
      </w:r>
    </w:p>
    <w:p w14:paraId="5C4D0083" w14:textId="345073FF" w:rsidR="00A95A3F" w:rsidRPr="00A95A3F" w:rsidRDefault="00A95A3F" w:rsidP="003A6C69">
      <w:pPr>
        <w:jc w:val="both"/>
        <w:rPr>
          <w:b/>
          <w:bCs/>
          <w:lang w:eastAsia="en-GB"/>
        </w:rPr>
      </w:pPr>
      <w:r w:rsidRPr="00A95A3F">
        <w:rPr>
          <w:b/>
          <w:bCs/>
          <w:lang w:eastAsia="en-GB"/>
        </w:rPr>
        <w:t>Observation 1: The NR reference sensitivity power level requirements are based on reception with two orthogonal polarizations.</w:t>
      </w:r>
    </w:p>
    <w:p w14:paraId="0D7EC186" w14:textId="1C2F9A82" w:rsidR="00A95A3F" w:rsidRPr="00A95A3F" w:rsidRDefault="00A95A3F" w:rsidP="003A6C69">
      <w:pPr>
        <w:jc w:val="both"/>
        <w:rPr>
          <w:b/>
          <w:bCs/>
          <w:lang w:eastAsia="en-GB"/>
        </w:rPr>
      </w:pPr>
      <w:r w:rsidRPr="00A95A3F">
        <w:rPr>
          <w:b/>
          <w:bCs/>
          <w:lang w:eastAsia="en-GB"/>
        </w:rPr>
        <w:t>Observation 2: The NR reference sensitivity power level requirements are agnostic to the number of antenna panels.</w:t>
      </w:r>
    </w:p>
    <w:p w14:paraId="0866AE92" w14:textId="0002DACE" w:rsidR="0027071A" w:rsidRDefault="00A95A3F" w:rsidP="003A6C69">
      <w:pPr>
        <w:jc w:val="both"/>
        <w:rPr>
          <w:rFonts w:eastAsia="Calibri" w:cs="Times New Roman"/>
          <w:szCs w:val="20"/>
        </w:rPr>
      </w:pPr>
      <w:r>
        <w:rPr>
          <w:rFonts w:eastAsia="Calibri" w:cs="Times New Roman"/>
          <w:szCs w:val="20"/>
        </w:rPr>
        <w:t xml:space="preserve">In RAN4 #99-e, the minimum number of Rx branches to be specified for </w:t>
      </w:r>
      <w:proofErr w:type="spellStart"/>
      <w:r>
        <w:rPr>
          <w:rFonts w:eastAsia="Calibri" w:cs="Times New Roman"/>
          <w:szCs w:val="20"/>
        </w:rPr>
        <w:t>RedCap</w:t>
      </w:r>
      <w:proofErr w:type="spellEnd"/>
      <w:r>
        <w:rPr>
          <w:rFonts w:eastAsia="Calibri" w:cs="Times New Roman"/>
          <w:szCs w:val="20"/>
        </w:rPr>
        <w:t xml:space="preserve"> UE at FR2 was discussed but remains FFS since there was no consensus. In our view, </w:t>
      </w:r>
      <w:r w:rsidR="002A7C64">
        <w:rPr>
          <w:rFonts w:eastAsia="Calibri" w:cs="Times New Roman"/>
          <w:szCs w:val="20"/>
        </w:rPr>
        <w:t>the scope of the WID includes reducing the number of branches to 1</w:t>
      </w:r>
      <w:r w:rsidR="00C37D0D">
        <w:rPr>
          <w:rFonts w:eastAsia="Calibri" w:cs="Times New Roman"/>
          <w:szCs w:val="20"/>
        </w:rPr>
        <w:t xml:space="preserve"> not only for FR1 but also FR2</w:t>
      </w:r>
      <w:r w:rsidR="002A7C64">
        <w:rPr>
          <w:rFonts w:eastAsia="Calibri" w:cs="Times New Roman"/>
          <w:szCs w:val="20"/>
        </w:rPr>
        <w:t xml:space="preserve">, which was based on the conclusions from the Rel-17 SI </w:t>
      </w:r>
      <w:r w:rsidR="00C37D0D">
        <w:rPr>
          <w:rFonts w:eastAsia="Calibri" w:cs="Times New Roman"/>
          <w:szCs w:val="20"/>
        </w:rPr>
        <w:fldChar w:fldCharType="begin"/>
      </w:r>
      <w:r w:rsidR="00C37D0D">
        <w:rPr>
          <w:rFonts w:eastAsia="Calibri" w:cs="Times New Roman"/>
          <w:szCs w:val="20"/>
        </w:rPr>
        <w:instrText xml:space="preserve"> REF _Ref60669550 \r \h </w:instrText>
      </w:r>
      <w:r w:rsidR="00C37D0D">
        <w:rPr>
          <w:rFonts w:eastAsia="Calibri" w:cs="Times New Roman"/>
          <w:szCs w:val="20"/>
        </w:rPr>
      </w:r>
      <w:r w:rsidR="00C37D0D">
        <w:rPr>
          <w:rFonts w:eastAsia="Calibri" w:cs="Times New Roman"/>
          <w:szCs w:val="20"/>
        </w:rPr>
        <w:fldChar w:fldCharType="separate"/>
      </w:r>
      <w:r w:rsidR="00C37D0D">
        <w:rPr>
          <w:rFonts w:eastAsia="Calibri" w:cs="Times New Roman"/>
          <w:szCs w:val="20"/>
        </w:rPr>
        <w:t>[4]</w:t>
      </w:r>
      <w:r w:rsidR="00C37D0D">
        <w:rPr>
          <w:rFonts w:eastAsia="Calibri" w:cs="Times New Roman"/>
          <w:szCs w:val="20"/>
        </w:rPr>
        <w:fldChar w:fldCharType="end"/>
      </w:r>
      <w:r w:rsidR="002A7C64">
        <w:rPr>
          <w:rFonts w:eastAsia="Calibri" w:cs="Times New Roman"/>
          <w:szCs w:val="20"/>
        </w:rPr>
        <w:t xml:space="preserve">. </w:t>
      </w:r>
      <w:r w:rsidR="00C37D0D">
        <w:rPr>
          <w:rFonts w:eastAsia="Calibri" w:cs="Times New Roman"/>
          <w:szCs w:val="20"/>
        </w:rPr>
        <w:t xml:space="preserve">When translating this to reduction in the number of antenna ports, in our view this implies </w:t>
      </w:r>
      <w:r w:rsidR="002D1612">
        <w:rPr>
          <w:rFonts w:eastAsia="Calibri" w:cs="Times New Roman"/>
          <w:szCs w:val="20"/>
        </w:rPr>
        <w:t xml:space="preserve">ability for </w:t>
      </w:r>
      <w:r w:rsidR="00C37D0D">
        <w:rPr>
          <w:rFonts w:eastAsia="Calibri" w:cs="Times New Roman"/>
          <w:szCs w:val="20"/>
        </w:rPr>
        <w:t>reception of only one antenna polarization</w:t>
      </w:r>
      <w:r w:rsidR="003A3C3B">
        <w:rPr>
          <w:rFonts w:eastAsia="Calibri" w:cs="Times New Roman"/>
          <w:szCs w:val="20"/>
        </w:rPr>
        <w:t>, which would then correspond to a single antenna panel</w:t>
      </w:r>
      <w:r w:rsidR="00C37D0D">
        <w:rPr>
          <w:rFonts w:eastAsia="Calibri" w:cs="Times New Roman"/>
          <w:szCs w:val="20"/>
        </w:rPr>
        <w:t>.</w:t>
      </w:r>
    </w:p>
    <w:p w14:paraId="35229AE8" w14:textId="792662DF" w:rsidR="003A3C3B" w:rsidRPr="00A12A06" w:rsidRDefault="003A3C3B" w:rsidP="003A6C69">
      <w:pPr>
        <w:jc w:val="both"/>
        <w:rPr>
          <w:rFonts w:eastAsia="Calibri" w:cs="Times New Roman"/>
          <w:b/>
          <w:bCs/>
          <w:szCs w:val="20"/>
        </w:rPr>
      </w:pPr>
      <w:r w:rsidRPr="00A12A06">
        <w:rPr>
          <w:rFonts w:eastAsia="Calibri" w:cs="Times New Roman"/>
          <w:b/>
          <w:bCs/>
          <w:szCs w:val="20"/>
        </w:rPr>
        <w:lastRenderedPageBreak/>
        <w:t xml:space="preserve">Observation 3: Reducing the minimum number of Rx branches to 1 </w:t>
      </w:r>
      <w:r w:rsidR="00A12A06" w:rsidRPr="00A12A06">
        <w:rPr>
          <w:rFonts w:eastAsia="Calibri" w:cs="Times New Roman"/>
          <w:b/>
          <w:bCs/>
          <w:szCs w:val="20"/>
        </w:rPr>
        <w:t xml:space="preserve">for </w:t>
      </w:r>
      <w:proofErr w:type="spellStart"/>
      <w:r w:rsidR="00A12A06" w:rsidRPr="00A12A06">
        <w:rPr>
          <w:rFonts w:eastAsia="Calibri" w:cs="Times New Roman"/>
          <w:b/>
          <w:bCs/>
          <w:szCs w:val="20"/>
        </w:rPr>
        <w:t>RedCap</w:t>
      </w:r>
      <w:proofErr w:type="spellEnd"/>
      <w:r w:rsidR="00A12A06" w:rsidRPr="00A12A06">
        <w:rPr>
          <w:rFonts w:eastAsia="Calibri" w:cs="Times New Roman"/>
          <w:b/>
          <w:bCs/>
          <w:szCs w:val="20"/>
        </w:rPr>
        <w:t xml:space="preserve"> UE </w:t>
      </w:r>
      <w:r w:rsidRPr="00A12A06">
        <w:rPr>
          <w:rFonts w:eastAsia="Calibri" w:cs="Times New Roman"/>
          <w:b/>
          <w:bCs/>
          <w:szCs w:val="20"/>
        </w:rPr>
        <w:t>at FR2 correspond</w:t>
      </w:r>
      <w:r w:rsidR="00A12A06">
        <w:rPr>
          <w:rFonts w:eastAsia="Calibri" w:cs="Times New Roman"/>
          <w:b/>
          <w:bCs/>
          <w:szCs w:val="20"/>
        </w:rPr>
        <w:t>s</w:t>
      </w:r>
      <w:r w:rsidRPr="00A12A06">
        <w:rPr>
          <w:rFonts w:eastAsia="Calibri" w:cs="Times New Roman"/>
          <w:b/>
          <w:bCs/>
          <w:szCs w:val="20"/>
        </w:rPr>
        <w:t xml:space="preserve"> to a</w:t>
      </w:r>
      <w:r w:rsidR="00A12A06" w:rsidRPr="00A12A06">
        <w:rPr>
          <w:rFonts w:eastAsia="Calibri" w:cs="Times New Roman"/>
          <w:b/>
          <w:bCs/>
          <w:szCs w:val="20"/>
        </w:rPr>
        <w:t xml:space="preserve"> single antenna panel.</w:t>
      </w:r>
    </w:p>
    <w:p w14:paraId="738B72DD" w14:textId="60A951CE" w:rsidR="00C37D0D" w:rsidRPr="002D1612" w:rsidRDefault="00C37D0D" w:rsidP="003A6C69">
      <w:pPr>
        <w:jc w:val="both"/>
        <w:rPr>
          <w:rFonts w:eastAsia="Calibri" w:cs="Times New Roman"/>
          <w:b/>
          <w:bCs/>
          <w:szCs w:val="20"/>
        </w:rPr>
      </w:pPr>
      <w:r w:rsidRPr="002D1612">
        <w:rPr>
          <w:rFonts w:eastAsia="Calibri" w:cs="Times New Roman"/>
          <w:b/>
          <w:bCs/>
          <w:szCs w:val="20"/>
        </w:rPr>
        <w:t xml:space="preserve">Proposal 1: </w:t>
      </w:r>
      <w:r w:rsidR="002D1612" w:rsidRPr="002D1612">
        <w:rPr>
          <w:rFonts w:eastAsia="Calibri" w:cs="Times New Roman"/>
          <w:b/>
          <w:bCs/>
          <w:szCs w:val="20"/>
        </w:rPr>
        <w:t>Reducing the minimum number of Rx branches to 1 at FR2 is interpreted as reception with a single polarization.</w:t>
      </w:r>
    </w:p>
    <w:p w14:paraId="5AB42B98" w14:textId="2DCB139C" w:rsidR="002D1612" w:rsidRDefault="002D1612" w:rsidP="003A6C69">
      <w:pPr>
        <w:jc w:val="both"/>
        <w:rPr>
          <w:rFonts w:eastAsia="Calibri" w:cs="Times New Roman"/>
          <w:szCs w:val="20"/>
        </w:rPr>
      </w:pPr>
      <w:proofErr w:type="gramStart"/>
      <w:r>
        <w:rPr>
          <w:rFonts w:eastAsia="Calibri" w:cs="Times New Roman"/>
          <w:szCs w:val="20"/>
        </w:rPr>
        <w:t>It is clear that with</w:t>
      </w:r>
      <w:proofErr w:type="gramEnd"/>
      <w:r>
        <w:rPr>
          <w:rFonts w:eastAsia="Calibri" w:cs="Times New Roman"/>
          <w:szCs w:val="20"/>
        </w:rPr>
        <w:t xml:space="preserve"> this reduced complexity feature, </w:t>
      </w:r>
      <w:r w:rsidR="003A3C3B">
        <w:rPr>
          <w:rFonts w:eastAsia="Calibri" w:cs="Times New Roman"/>
          <w:szCs w:val="20"/>
        </w:rPr>
        <w:t xml:space="preserve">there is RF impact. While new receiver characteristics may need to be defined, the above interpretation </w:t>
      </w:r>
      <w:proofErr w:type="gramStart"/>
      <w:r w:rsidR="003A3C3B">
        <w:rPr>
          <w:rFonts w:eastAsia="Calibri" w:cs="Times New Roman"/>
          <w:szCs w:val="20"/>
        </w:rPr>
        <w:t>suggests also</w:t>
      </w:r>
      <w:proofErr w:type="gramEnd"/>
      <w:r w:rsidR="003A3C3B">
        <w:rPr>
          <w:rFonts w:eastAsia="Calibri" w:cs="Times New Roman"/>
          <w:szCs w:val="20"/>
        </w:rPr>
        <w:t xml:space="preserve"> a limit on the number of antenna panels, which may impact transmitter characteristics as well.</w:t>
      </w:r>
    </w:p>
    <w:p w14:paraId="31935AD0" w14:textId="1483C321" w:rsidR="003A3C3B" w:rsidRPr="003A3C3B" w:rsidRDefault="003A3C3B" w:rsidP="003A6C69">
      <w:pPr>
        <w:jc w:val="both"/>
        <w:rPr>
          <w:rFonts w:eastAsia="Calibri" w:cs="Times New Roman"/>
          <w:b/>
          <w:bCs/>
          <w:szCs w:val="20"/>
        </w:rPr>
      </w:pPr>
      <w:r w:rsidRPr="003A3C3B">
        <w:rPr>
          <w:rFonts w:eastAsia="Calibri" w:cs="Times New Roman"/>
          <w:b/>
          <w:bCs/>
          <w:szCs w:val="20"/>
        </w:rPr>
        <w:t xml:space="preserve">Observation </w:t>
      </w:r>
      <w:r w:rsidR="00A12A06">
        <w:rPr>
          <w:rFonts w:eastAsia="Calibri" w:cs="Times New Roman"/>
          <w:b/>
          <w:bCs/>
          <w:szCs w:val="20"/>
        </w:rPr>
        <w:t>4</w:t>
      </w:r>
      <w:r w:rsidRPr="003A3C3B">
        <w:rPr>
          <w:rFonts w:eastAsia="Calibri" w:cs="Times New Roman"/>
          <w:b/>
          <w:bCs/>
          <w:szCs w:val="20"/>
        </w:rPr>
        <w:t xml:space="preserve">: Reducing the minimum number of Rx branches to 1 </w:t>
      </w:r>
      <w:r w:rsidR="00A12A06">
        <w:rPr>
          <w:rFonts w:eastAsia="Calibri" w:cs="Times New Roman"/>
          <w:b/>
          <w:bCs/>
          <w:szCs w:val="20"/>
        </w:rPr>
        <w:t xml:space="preserve">for </w:t>
      </w:r>
      <w:proofErr w:type="spellStart"/>
      <w:r w:rsidR="00A12A06">
        <w:rPr>
          <w:rFonts w:eastAsia="Calibri" w:cs="Times New Roman"/>
          <w:b/>
          <w:bCs/>
          <w:szCs w:val="20"/>
        </w:rPr>
        <w:t>RedCap</w:t>
      </w:r>
      <w:proofErr w:type="spellEnd"/>
      <w:r w:rsidR="00A12A06">
        <w:rPr>
          <w:rFonts w:eastAsia="Calibri" w:cs="Times New Roman"/>
          <w:b/>
          <w:bCs/>
          <w:szCs w:val="20"/>
        </w:rPr>
        <w:t xml:space="preserve"> UE </w:t>
      </w:r>
      <w:r w:rsidRPr="003A3C3B">
        <w:rPr>
          <w:rFonts w:eastAsia="Calibri" w:cs="Times New Roman"/>
          <w:b/>
          <w:bCs/>
          <w:szCs w:val="20"/>
        </w:rPr>
        <w:t xml:space="preserve">at FR2 may have impact on both transmitter and receiver </w:t>
      </w:r>
      <w:r w:rsidR="00A12A06">
        <w:rPr>
          <w:rFonts w:eastAsia="Calibri" w:cs="Times New Roman"/>
          <w:b/>
          <w:bCs/>
          <w:szCs w:val="20"/>
        </w:rPr>
        <w:t xml:space="preserve">RF </w:t>
      </w:r>
      <w:r w:rsidRPr="003A3C3B">
        <w:rPr>
          <w:rFonts w:eastAsia="Calibri" w:cs="Times New Roman"/>
          <w:b/>
          <w:bCs/>
          <w:szCs w:val="20"/>
        </w:rPr>
        <w:t>characteristics.</w:t>
      </w:r>
    </w:p>
    <w:p w14:paraId="1DFB959B" w14:textId="77777777" w:rsidR="008231C4" w:rsidRPr="00156A6E" w:rsidRDefault="008231C4" w:rsidP="00553849">
      <w:pPr>
        <w:pStyle w:val="RAN4H1"/>
        <w:numPr>
          <w:ilvl w:val="0"/>
          <w:numId w:val="54"/>
        </w:numPr>
        <w:rPr>
          <w:lang w:val="en-US"/>
        </w:rPr>
      </w:pPr>
      <w:r w:rsidRPr="00156A6E">
        <w:rPr>
          <w:lang w:val="en-US"/>
        </w:rPr>
        <w:t>Conclusion</w:t>
      </w:r>
    </w:p>
    <w:p w14:paraId="18BF49BD" w14:textId="1E324028" w:rsidR="009A7CB1" w:rsidRPr="00156A6E" w:rsidRDefault="008231C4" w:rsidP="00902291">
      <w:pPr>
        <w:ind w:right="-22"/>
        <w:jc w:val="both"/>
        <w:rPr>
          <w:color w:val="000000" w:themeColor="text1"/>
          <w:szCs w:val="20"/>
        </w:rPr>
      </w:pPr>
      <w:r w:rsidRPr="00156A6E">
        <w:rPr>
          <w:color w:val="000000" w:themeColor="text1"/>
        </w:rPr>
        <w:t>This contribution</w:t>
      </w:r>
      <w:r w:rsidR="00902291" w:rsidRPr="00156A6E">
        <w:rPr>
          <w:color w:val="000000" w:themeColor="text1"/>
        </w:rPr>
        <w:t xml:space="preserve"> discussed the </w:t>
      </w:r>
      <w:r w:rsidR="00A12A06">
        <w:rPr>
          <w:rFonts w:eastAsia="Calibri" w:cs="Times New Roman"/>
          <w:szCs w:val="20"/>
        </w:rPr>
        <w:t xml:space="preserve">aspects related to FR2 </w:t>
      </w:r>
      <w:proofErr w:type="spellStart"/>
      <w:r w:rsidR="00A12A06">
        <w:rPr>
          <w:rFonts w:eastAsia="Calibri" w:cs="Times New Roman"/>
          <w:szCs w:val="20"/>
        </w:rPr>
        <w:t>RedCap</w:t>
      </w:r>
      <w:proofErr w:type="spellEnd"/>
      <w:r w:rsidR="00A12A06">
        <w:rPr>
          <w:rFonts w:eastAsia="Calibri" w:cs="Times New Roman"/>
          <w:szCs w:val="20"/>
        </w:rPr>
        <w:t xml:space="preserve"> UE</w:t>
      </w:r>
      <w:r w:rsidR="00902291" w:rsidRPr="00156A6E">
        <w:rPr>
          <w:color w:val="000000" w:themeColor="text1"/>
        </w:rPr>
        <w:t xml:space="preserve">. The following </w:t>
      </w:r>
      <w:r w:rsidR="00A12A06">
        <w:rPr>
          <w:color w:val="000000" w:themeColor="text1"/>
        </w:rPr>
        <w:t xml:space="preserve">observations and </w:t>
      </w:r>
      <w:r w:rsidR="007D3C34" w:rsidRPr="00156A6E">
        <w:rPr>
          <w:color w:val="000000" w:themeColor="text1"/>
        </w:rPr>
        <w:t>proposal</w:t>
      </w:r>
      <w:r w:rsidR="00902291" w:rsidRPr="00156A6E">
        <w:rPr>
          <w:color w:val="000000" w:themeColor="text1"/>
        </w:rPr>
        <w:t xml:space="preserve"> were made.</w:t>
      </w:r>
    </w:p>
    <w:p w14:paraId="0A11C84C" w14:textId="77777777" w:rsidR="000A4675" w:rsidRPr="00B1646A" w:rsidRDefault="000A4675" w:rsidP="00B1646A">
      <w:pPr>
        <w:jc w:val="both"/>
        <w:rPr>
          <w:b/>
          <w:bCs/>
          <w:lang w:eastAsia="en-GB"/>
        </w:rPr>
      </w:pPr>
      <w:r w:rsidRPr="00B1646A">
        <w:rPr>
          <w:b/>
          <w:bCs/>
          <w:lang w:eastAsia="en-GB"/>
        </w:rPr>
        <w:t>Observation 1: The NR reference sensitivity power level requirements are based on reception with two orthogonal polarizations.</w:t>
      </w:r>
    </w:p>
    <w:p w14:paraId="673DBC29" w14:textId="77777777" w:rsidR="000A4675" w:rsidRPr="00B1646A" w:rsidRDefault="000A4675" w:rsidP="00B1646A">
      <w:pPr>
        <w:jc w:val="both"/>
        <w:rPr>
          <w:b/>
          <w:bCs/>
          <w:lang w:eastAsia="en-GB"/>
        </w:rPr>
      </w:pPr>
      <w:r w:rsidRPr="00B1646A">
        <w:rPr>
          <w:b/>
          <w:bCs/>
          <w:lang w:eastAsia="en-GB"/>
        </w:rPr>
        <w:t>Observation 2: The NR reference sensitivity power level requirements are agnostic to the number of antenna panels.</w:t>
      </w:r>
    </w:p>
    <w:p w14:paraId="2E12B16A" w14:textId="77777777" w:rsidR="000A4675" w:rsidRPr="00B1646A" w:rsidRDefault="000A4675" w:rsidP="00B1646A">
      <w:pPr>
        <w:jc w:val="both"/>
        <w:rPr>
          <w:rFonts w:eastAsia="Calibri" w:cs="Times New Roman"/>
          <w:b/>
          <w:bCs/>
          <w:szCs w:val="20"/>
        </w:rPr>
      </w:pPr>
      <w:r w:rsidRPr="00B1646A">
        <w:rPr>
          <w:rFonts w:eastAsia="Calibri" w:cs="Times New Roman"/>
          <w:b/>
          <w:bCs/>
          <w:szCs w:val="20"/>
        </w:rPr>
        <w:t xml:space="preserve">Observation 3: Reducing the minimum number of Rx branches to 1 for </w:t>
      </w:r>
      <w:proofErr w:type="spellStart"/>
      <w:r w:rsidRPr="00B1646A">
        <w:rPr>
          <w:rFonts w:eastAsia="Calibri" w:cs="Times New Roman"/>
          <w:b/>
          <w:bCs/>
          <w:szCs w:val="20"/>
        </w:rPr>
        <w:t>RedCap</w:t>
      </w:r>
      <w:proofErr w:type="spellEnd"/>
      <w:r w:rsidRPr="00B1646A">
        <w:rPr>
          <w:rFonts w:eastAsia="Calibri" w:cs="Times New Roman"/>
          <w:b/>
          <w:bCs/>
          <w:szCs w:val="20"/>
        </w:rPr>
        <w:t xml:space="preserve"> UE at FR2 corresponds to a single antenna panel.</w:t>
      </w:r>
    </w:p>
    <w:p w14:paraId="3939D305" w14:textId="77777777" w:rsidR="000A4675" w:rsidRPr="00B1646A" w:rsidRDefault="000A4675" w:rsidP="00B1646A">
      <w:pPr>
        <w:jc w:val="both"/>
        <w:rPr>
          <w:rFonts w:eastAsia="Calibri" w:cs="Times New Roman"/>
          <w:b/>
          <w:bCs/>
          <w:szCs w:val="20"/>
        </w:rPr>
      </w:pPr>
      <w:r w:rsidRPr="00B1646A">
        <w:rPr>
          <w:rFonts w:eastAsia="Calibri" w:cs="Times New Roman"/>
          <w:b/>
          <w:bCs/>
          <w:szCs w:val="20"/>
        </w:rPr>
        <w:t xml:space="preserve">Observation 4: Reducing the minimum number of Rx branches to 1 for </w:t>
      </w:r>
      <w:proofErr w:type="spellStart"/>
      <w:r w:rsidRPr="00B1646A">
        <w:rPr>
          <w:rFonts w:eastAsia="Calibri" w:cs="Times New Roman"/>
          <w:b/>
          <w:bCs/>
          <w:szCs w:val="20"/>
        </w:rPr>
        <w:t>RedCap</w:t>
      </w:r>
      <w:proofErr w:type="spellEnd"/>
      <w:r w:rsidRPr="00B1646A">
        <w:rPr>
          <w:rFonts w:eastAsia="Calibri" w:cs="Times New Roman"/>
          <w:b/>
          <w:bCs/>
          <w:szCs w:val="20"/>
        </w:rPr>
        <w:t xml:space="preserve"> UE at FR2 may have impact on both transmitter and receiver RF characteristics.</w:t>
      </w:r>
    </w:p>
    <w:p w14:paraId="2B3E3470" w14:textId="77777777" w:rsidR="000A4675" w:rsidRPr="00FF405A" w:rsidRDefault="000A4675" w:rsidP="000A4675">
      <w:pPr>
        <w:jc w:val="both"/>
        <w:rPr>
          <w:rFonts w:eastAsia="Calibri" w:cs="Times New Roman"/>
          <w:b/>
          <w:bCs/>
          <w:szCs w:val="20"/>
        </w:rPr>
      </w:pPr>
      <w:r w:rsidRPr="00FF405A">
        <w:rPr>
          <w:rFonts w:eastAsia="Calibri" w:cs="Times New Roman"/>
          <w:b/>
          <w:bCs/>
          <w:szCs w:val="20"/>
        </w:rPr>
        <w:t>Proposal 1: Reducing the minimum number of Rx branches to 1 at FR2 is interpreted as reception with a single polarization.</w:t>
      </w:r>
    </w:p>
    <w:p w14:paraId="5A027C9D" w14:textId="77777777" w:rsidR="008231C4" w:rsidRPr="00156A6E" w:rsidRDefault="008231C4" w:rsidP="00553849">
      <w:pPr>
        <w:pStyle w:val="RAN4H1"/>
        <w:numPr>
          <w:ilvl w:val="0"/>
          <w:numId w:val="54"/>
        </w:numPr>
        <w:rPr>
          <w:lang w:val="en-US"/>
        </w:rPr>
      </w:pPr>
      <w:r w:rsidRPr="00156A6E">
        <w:rPr>
          <w:lang w:val="en-US"/>
        </w:rPr>
        <w:t>References</w:t>
      </w:r>
    </w:p>
    <w:p w14:paraId="0373BF7C" w14:textId="5703C966" w:rsidR="003339B2" w:rsidRPr="00156A6E"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4" w:name="_Ref71179628"/>
      <w:r w:rsidRPr="00156A6E">
        <w:rPr>
          <w:rFonts w:eastAsia="MS Mincho"/>
          <w:color w:val="000000" w:themeColor="text1"/>
          <w:lang w:eastAsia="ja-JP"/>
        </w:rPr>
        <w:t>RP-21</w:t>
      </w:r>
      <w:r w:rsidR="007B146E" w:rsidRPr="00156A6E">
        <w:rPr>
          <w:rFonts w:eastAsia="MS Mincho"/>
          <w:color w:val="000000" w:themeColor="text1"/>
          <w:lang w:eastAsia="ja-JP"/>
        </w:rPr>
        <w:t>15574</w:t>
      </w:r>
      <w:r w:rsidRPr="00156A6E">
        <w:rPr>
          <w:rFonts w:eastAsia="MS Mincho"/>
          <w:lang w:eastAsia="ja-JP"/>
        </w:rPr>
        <w:t>, “</w:t>
      </w:r>
      <w:r w:rsidRPr="00156A6E">
        <w:rPr>
          <w:lang w:eastAsia="x-none"/>
        </w:rPr>
        <w:t>Revised WID on support of reduced capability NR devices,</w:t>
      </w:r>
      <w:r w:rsidRPr="00156A6E">
        <w:rPr>
          <w:rFonts w:eastAsia="MS Mincho"/>
          <w:lang w:eastAsia="ja-JP"/>
        </w:rPr>
        <w:t>” Nokia, Ericsson</w:t>
      </w:r>
      <w:r w:rsidRPr="00156A6E">
        <w:t>, RAN</w:t>
      </w:r>
      <w:r w:rsidR="0001498E" w:rsidRPr="00156A6E">
        <w:t xml:space="preserve"> </w:t>
      </w:r>
      <w:r w:rsidRPr="00156A6E">
        <w:t>#91-e</w:t>
      </w:r>
      <w:bookmarkEnd w:id="4"/>
      <w:r w:rsidR="007B146E" w:rsidRPr="00156A6E">
        <w:t>.</w:t>
      </w:r>
    </w:p>
    <w:p w14:paraId="744B8B68" w14:textId="3D70C46B" w:rsidR="007B146E" w:rsidRPr="00156A6E" w:rsidRDefault="007B146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5" w:name="_Ref78797957"/>
      <w:r w:rsidRPr="00156A6E">
        <w:rPr>
          <w:rFonts w:eastAsia="Times New Roman" w:cs="Times New Roman"/>
          <w:color w:val="000000" w:themeColor="text1"/>
          <w:szCs w:val="20"/>
        </w:rPr>
        <w:t xml:space="preserve">R4-2108005, “WF on </w:t>
      </w:r>
      <w:proofErr w:type="spellStart"/>
      <w:r w:rsidRPr="00156A6E">
        <w:rPr>
          <w:rFonts w:eastAsia="Times New Roman" w:cs="Times New Roman"/>
          <w:color w:val="000000" w:themeColor="text1"/>
          <w:szCs w:val="20"/>
        </w:rPr>
        <w:t>RedCap</w:t>
      </w:r>
      <w:proofErr w:type="spellEnd"/>
      <w:r w:rsidRPr="00156A6E">
        <w:rPr>
          <w:rFonts w:eastAsia="Times New Roman" w:cs="Times New Roman"/>
          <w:color w:val="000000" w:themeColor="text1"/>
          <w:szCs w:val="20"/>
        </w:rPr>
        <w:t>,” Ericsson, RAN4 #99-e.</w:t>
      </w:r>
      <w:bookmarkEnd w:id="5"/>
    </w:p>
    <w:p w14:paraId="1F3CFC53" w14:textId="13D58877" w:rsidR="007E7EEE" w:rsidRDefault="007D2B3B" w:rsidP="002C3AD1">
      <w:pPr>
        <w:pStyle w:val="ListParagraph"/>
        <w:numPr>
          <w:ilvl w:val="0"/>
          <w:numId w:val="1"/>
        </w:numPr>
        <w:spacing w:after="120"/>
        <w:contextualSpacing w:val="0"/>
        <w:rPr>
          <w:rFonts w:eastAsia="Times New Roman" w:cs="Times New Roman"/>
          <w:color w:val="000000" w:themeColor="text1"/>
          <w:szCs w:val="20"/>
        </w:rPr>
      </w:pPr>
      <w:bookmarkStart w:id="6" w:name="_Ref78805468"/>
      <w:bookmarkStart w:id="7" w:name="_Ref78881344"/>
      <w:r w:rsidRPr="00156A6E">
        <w:rPr>
          <w:rFonts w:eastAsia="Times New Roman" w:cs="Times New Roman"/>
          <w:color w:val="000000" w:themeColor="text1"/>
          <w:szCs w:val="20"/>
        </w:rPr>
        <w:t>3GPP TS 38.101</w:t>
      </w:r>
      <w:bookmarkEnd w:id="6"/>
      <w:r w:rsidRPr="00156A6E">
        <w:rPr>
          <w:rFonts w:eastAsia="Times New Roman" w:cs="Times New Roman"/>
          <w:color w:val="000000" w:themeColor="text1"/>
          <w:szCs w:val="20"/>
        </w:rPr>
        <w:t>-</w:t>
      </w:r>
      <w:r w:rsidR="0027071A">
        <w:rPr>
          <w:rFonts w:eastAsia="Times New Roman" w:cs="Times New Roman"/>
          <w:color w:val="000000" w:themeColor="text1"/>
          <w:szCs w:val="20"/>
        </w:rPr>
        <w:t>2</w:t>
      </w:r>
      <w:r w:rsidR="000C61E5" w:rsidRPr="00156A6E">
        <w:rPr>
          <w:rFonts w:eastAsia="Times New Roman" w:cs="Times New Roman"/>
          <w:color w:val="000000" w:themeColor="text1"/>
          <w:szCs w:val="20"/>
        </w:rPr>
        <w:t>, “User Equipment (UE) radio transmission and reception; Part 1: Range 1 Standalone,” v17.2.0.</w:t>
      </w:r>
      <w:bookmarkEnd w:id="7"/>
    </w:p>
    <w:p w14:paraId="01E0FC06" w14:textId="37741E48" w:rsidR="002A7C64" w:rsidRPr="002A7C64" w:rsidRDefault="002A7C64" w:rsidP="002A7C64">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eastAsia="ja-JP"/>
        </w:rPr>
      </w:pPr>
      <w:bookmarkStart w:id="8" w:name="_Ref60669550"/>
      <w:r w:rsidRPr="00A61753">
        <w:rPr>
          <w:rFonts w:eastAsia="MS Mincho"/>
          <w:lang w:eastAsia="ja-JP"/>
        </w:rPr>
        <w:t>3GPP TR 38.875, “Study on support of reduced capability NR devices,” v1.</w:t>
      </w:r>
      <w:r>
        <w:rPr>
          <w:rFonts w:eastAsia="MS Mincho"/>
          <w:lang w:eastAsia="ja-JP"/>
        </w:rPr>
        <w:t>1</w:t>
      </w:r>
      <w:r w:rsidRPr="00A61753">
        <w:rPr>
          <w:rFonts w:eastAsia="MS Mincho"/>
          <w:lang w:eastAsia="ja-JP"/>
        </w:rPr>
        <w:t>.0.</w:t>
      </w:r>
      <w:bookmarkEnd w:id="8"/>
    </w:p>
    <w:sectPr w:rsidR="002A7C64" w:rsidRPr="002A7C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A6651" w14:textId="77777777" w:rsidR="000114E9" w:rsidRDefault="000114E9" w:rsidP="00001C9B">
      <w:pPr>
        <w:spacing w:after="0" w:line="240" w:lineRule="auto"/>
      </w:pPr>
      <w:r>
        <w:separator/>
      </w:r>
    </w:p>
  </w:endnote>
  <w:endnote w:type="continuationSeparator" w:id="0">
    <w:p w14:paraId="322FB199" w14:textId="77777777" w:rsidR="000114E9" w:rsidRDefault="000114E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572F6" w14:textId="77777777" w:rsidR="000114E9" w:rsidRDefault="000114E9" w:rsidP="00001C9B">
      <w:pPr>
        <w:spacing w:after="0" w:line="240" w:lineRule="auto"/>
      </w:pPr>
      <w:r>
        <w:separator/>
      </w:r>
    </w:p>
  </w:footnote>
  <w:footnote w:type="continuationSeparator" w:id="0">
    <w:p w14:paraId="5EBA0358" w14:textId="77777777" w:rsidR="000114E9" w:rsidRDefault="000114E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762DC"/>
    <w:multiLevelType w:val="hybridMultilevel"/>
    <w:tmpl w:val="BEE01720"/>
    <w:lvl w:ilvl="0" w:tplc="923CAD3A">
      <w:start w:val="1"/>
      <w:numFmt w:val="bullet"/>
      <w:lvlText w:val="•"/>
      <w:lvlJc w:val="left"/>
      <w:pPr>
        <w:tabs>
          <w:tab w:val="num" w:pos="720"/>
        </w:tabs>
        <w:ind w:left="720" w:hanging="360"/>
      </w:pPr>
      <w:rPr>
        <w:rFonts w:ascii="Arial" w:hAnsi="Arial" w:hint="default"/>
      </w:rPr>
    </w:lvl>
    <w:lvl w:ilvl="1" w:tplc="2AECFE5A">
      <w:numFmt w:val="bullet"/>
      <w:lvlText w:val="•"/>
      <w:lvlJc w:val="left"/>
      <w:pPr>
        <w:tabs>
          <w:tab w:val="num" w:pos="1440"/>
        </w:tabs>
        <w:ind w:left="1440" w:hanging="360"/>
      </w:pPr>
      <w:rPr>
        <w:rFonts w:ascii="Arial" w:hAnsi="Arial" w:hint="default"/>
      </w:rPr>
    </w:lvl>
    <w:lvl w:ilvl="2" w:tplc="4B5EEAA6">
      <w:start w:val="1"/>
      <w:numFmt w:val="bullet"/>
      <w:lvlText w:val="•"/>
      <w:lvlJc w:val="left"/>
      <w:pPr>
        <w:tabs>
          <w:tab w:val="num" w:pos="2160"/>
        </w:tabs>
        <w:ind w:left="2160" w:hanging="360"/>
      </w:pPr>
      <w:rPr>
        <w:rFonts w:ascii="Arial" w:hAnsi="Arial" w:hint="default"/>
      </w:rPr>
    </w:lvl>
    <w:lvl w:ilvl="3" w:tplc="8F261944" w:tentative="1">
      <w:start w:val="1"/>
      <w:numFmt w:val="bullet"/>
      <w:lvlText w:val="•"/>
      <w:lvlJc w:val="left"/>
      <w:pPr>
        <w:tabs>
          <w:tab w:val="num" w:pos="2880"/>
        </w:tabs>
        <w:ind w:left="2880" w:hanging="360"/>
      </w:pPr>
      <w:rPr>
        <w:rFonts w:ascii="Arial" w:hAnsi="Arial" w:hint="default"/>
      </w:rPr>
    </w:lvl>
    <w:lvl w:ilvl="4" w:tplc="9D00AFFA" w:tentative="1">
      <w:start w:val="1"/>
      <w:numFmt w:val="bullet"/>
      <w:lvlText w:val="•"/>
      <w:lvlJc w:val="left"/>
      <w:pPr>
        <w:tabs>
          <w:tab w:val="num" w:pos="3600"/>
        </w:tabs>
        <w:ind w:left="3600" w:hanging="360"/>
      </w:pPr>
      <w:rPr>
        <w:rFonts w:ascii="Arial" w:hAnsi="Arial" w:hint="default"/>
      </w:rPr>
    </w:lvl>
    <w:lvl w:ilvl="5" w:tplc="AEBCF3A8" w:tentative="1">
      <w:start w:val="1"/>
      <w:numFmt w:val="bullet"/>
      <w:lvlText w:val="•"/>
      <w:lvlJc w:val="left"/>
      <w:pPr>
        <w:tabs>
          <w:tab w:val="num" w:pos="4320"/>
        </w:tabs>
        <w:ind w:left="4320" w:hanging="360"/>
      </w:pPr>
      <w:rPr>
        <w:rFonts w:ascii="Arial" w:hAnsi="Arial" w:hint="default"/>
      </w:rPr>
    </w:lvl>
    <w:lvl w:ilvl="6" w:tplc="3D380C8A" w:tentative="1">
      <w:start w:val="1"/>
      <w:numFmt w:val="bullet"/>
      <w:lvlText w:val="•"/>
      <w:lvlJc w:val="left"/>
      <w:pPr>
        <w:tabs>
          <w:tab w:val="num" w:pos="5040"/>
        </w:tabs>
        <w:ind w:left="5040" w:hanging="360"/>
      </w:pPr>
      <w:rPr>
        <w:rFonts w:ascii="Arial" w:hAnsi="Arial" w:hint="default"/>
      </w:rPr>
    </w:lvl>
    <w:lvl w:ilvl="7" w:tplc="55BCA0C2" w:tentative="1">
      <w:start w:val="1"/>
      <w:numFmt w:val="bullet"/>
      <w:lvlText w:val="•"/>
      <w:lvlJc w:val="left"/>
      <w:pPr>
        <w:tabs>
          <w:tab w:val="num" w:pos="5760"/>
        </w:tabs>
        <w:ind w:left="5760" w:hanging="360"/>
      </w:pPr>
      <w:rPr>
        <w:rFonts w:ascii="Arial" w:hAnsi="Arial" w:hint="default"/>
      </w:rPr>
    </w:lvl>
    <w:lvl w:ilvl="8" w:tplc="9E2A35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913E4"/>
    <w:multiLevelType w:val="hybridMultilevel"/>
    <w:tmpl w:val="ABCAEE98"/>
    <w:lvl w:ilvl="0" w:tplc="04B0327A">
      <w:start w:val="1"/>
      <w:numFmt w:val="bullet"/>
      <w:lvlText w:val="•"/>
      <w:lvlJc w:val="left"/>
      <w:pPr>
        <w:tabs>
          <w:tab w:val="num" w:pos="720"/>
        </w:tabs>
        <w:ind w:left="720" w:hanging="360"/>
      </w:pPr>
      <w:rPr>
        <w:rFonts w:ascii="Arial" w:hAnsi="Arial" w:hint="default"/>
      </w:rPr>
    </w:lvl>
    <w:lvl w:ilvl="1" w:tplc="F3DA819C">
      <w:numFmt w:val="bullet"/>
      <w:lvlText w:val="•"/>
      <w:lvlJc w:val="left"/>
      <w:pPr>
        <w:tabs>
          <w:tab w:val="num" w:pos="1440"/>
        </w:tabs>
        <w:ind w:left="1440" w:hanging="360"/>
      </w:pPr>
      <w:rPr>
        <w:rFonts w:ascii="Arial" w:hAnsi="Arial" w:hint="default"/>
      </w:rPr>
    </w:lvl>
    <w:lvl w:ilvl="2" w:tplc="B3BCB3DA">
      <w:numFmt w:val="bullet"/>
      <w:lvlText w:val="•"/>
      <w:lvlJc w:val="left"/>
      <w:pPr>
        <w:tabs>
          <w:tab w:val="num" w:pos="2160"/>
        </w:tabs>
        <w:ind w:left="2160" w:hanging="360"/>
      </w:pPr>
      <w:rPr>
        <w:rFonts w:ascii="Arial" w:hAnsi="Arial" w:hint="default"/>
      </w:rPr>
    </w:lvl>
    <w:lvl w:ilvl="3" w:tplc="1F184CE0">
      <w:start w:val="1"/>
      <w:numFmt w:val="bullet"/>
      <w:lvlText w:val="•"/>
      <w:lvlJc w:val="left"/>
      <w:pPr>
        <w:tabs>
          <w:tab w:val="num" w:pos="2880"/>
        </w:tabs>
        <w:ind w:left="2880" w:hanging="360"/>
      </w:pPr>
      <w:rPr>
        <w:rFonts w:ascii="Arial" w:hAnsi="Arial" w:hint="default"/>
      </w:rPr>
    </w:lvl>
    <w:lvl w:ilvl="4" w:tplc="82685218" w:tentative="1">
      <w:start w:val="1"/>
      <w:numFmt w:val="bullet"/>
      <w:lvlText w:val="•"/>
      <w:lvlJc w:val="left"/>
      <w:pPr>
        <w:tabs>
          <w:tab w:val="num" w:pos="3600"/>
        </w:tabs>
        <w:ind w:left="3600" w:hanging="360"/>
      </w:pPr>
      <w:rPr>
        <w:rFonts w:ascii="Arial" w:hAnsi="Arial" w:hint="default"/>
      </w:rPr>
    </w:lvl>
    <w:lvl w:ilvl="5" w:tplc="CD361184" w:tentative="1">
      <w:start w:val="1"/>
      <w:numFmt w:val="bullet"/>
      <w:lvlText w:val="•"/>
      <w:lvlJc w:val="left"/>
      <w:pPr>
        <w:tabs>
          <w:tab w:val="num" w:pos="4320"/>
        </w:tabs>
        <w:ind w:left="4320" w:hanging="360"/>
      </w:pPr>
      <w:rPr>
        <w:rFonts w:ascii="Arial" w:hAnsi="Arial" w:hint="default"/>
      </w:rPr>
    </w:lvl>
    <w:lvl w:ilvl="6" w:tplc="36FE342A" w:tentative="1">
      <w:start w:val="1"/>
      <w:numFmt w:val="bullet"/>
      <w:lvlText w:val="•"/>
      <w:lvlJc w:val="left"/>
      <w:pPr>
        <w:tabs>
          <w:tab w:val="num" w:pos="5040"/>
        </w:tabs>
        <w:ind w:left="5040" w:hanging="360"/>
      </w:pPr>
      <w:rPr>
        <w:rFonts w:ascii="Arial" w:hAnsi="Arial" w:hint="default"/>
      </w:rPr>
    </w:lvl>
    <w:lvl w:ilvl="7" w:tplc="B1D84F0C" w:tentative="1">
      <w:start w:val="1"/>
      <w:numFmt w:val="bullet"/>
      <w:lvlText w:val="•"/>
      <w:lvlJc w:val="left"/>
      <w:pPr>
        <w:tabs>
          <w:tab w:val="num" w:pos="5760"/>
        </w:tabs>
        <w:ind w:left="5760" w:hanging="360"/>
      </w:pPr>
      <w:rPr>
        <w:rFonts w:ascii="Arial" w:hAnsi="Arial" w:hint="default"/>
      </w:rPr>
    </w:lvl>
    <w:lvl w:ilvl="8" w:tplc="FAF40F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734613"/>
    <w:multiLevelType w:val="hybridMultilevel"/>
    <w:tmpl w:val="2D4E4E14"/>
    <w:lvl w:ilvl="0" w:tplc="EBB062CE">
      <w:start w:val="1"/>
      <w:numFmt w:val="bullet"/>
      <w:lvlText w:val="•"/>
      <w:lvlJc w:val="left"/>
      <w:pPr>
        <w:tabs>
          <w:tab w:val="num" w:pos="720"/>
        </w:tabs>
        <w:ind w:left="720" w:hanging="360"/>
      </w:pPr>
      <w:rPr>
        <w:rFonts w:ascii="Arial" w:hAnsi="Arial" w:hint="default"/>
      </w:rPr>
    </w:lvl>
    <w:lvl w:ilvl="1" w:tplc="D32AB384">
      <w:numFmt w:val="bullet"/>
      <w:lvlText w:val="•"/>
      <w:lvlJc w:val="left"/>
      <w:pPr>
        <w:tabs>
          <w:tab w:val="num" w:pos="1440"/>
        </w:tabs>
        <w:ind w:left="1440" w:hanging="360"/>
      </w:pPr>
      <w:rPr>
        <w:rFonts w:ascii="Arial" w:hAnsi="Arial" w:hint="default"/>
      </w:rPr>
    </w:lvl>
    <w:lvl w:ilvl="2" w:tplc="41D2A6DA" w:tentative="1">
      <w:start w:val="1"/>
      <w:numFmt w:val="bullet"/>
      <w:lvlText w:val="•"/>
      <w:lvlJc w:val="left"/>
      <w:pPr>
        <w:tabs>
          <w:tab w:val="num" w:pos="2160"/>
        </w:tabs>
        <w:ind w:left="2160" w:hanging="360"/>
      </w:pPr>
      <w:rPr>
        <w:rFonts w:ascii="Arial" w:hAnsi="Arial" w:hint="default"/>
      </w:rPr>
    </w:lvl>
    <w:lvl w:ilvl="3" w:tplc="903E36A4" w:tentative="1">
      <w:start w:val="1"/>
      <w:numFmt w:val="bullet"/>
      <w:lvlText w:val="•"/>
      <w:lvlJc w:val="left"/>
      <w:pPr>
        <w:tabs>
          <w:tab w:val="num" w:pos="2880"/>
        </w:tabs>
        <w:ind w:left="2880" w:hanging="360"/>
      </w:pPr>
      <w:rPr>
        <w:rFonts w:ascii="Arial" w:hAnsi="Arial" w:hint="default"/>
      </w:rPr>
    </w:lvl>
    <w:lvl w:ilvl="4" w:tplc="9CC4A0F2" w:tentative="1">
      <w:start w:val="1"/>
      <w:numFmt w:val="bullet"/>
      <w:lvlText w:val="•"/>
      <w:lvlJc w:val="left"/>
      <w:pPr>
        <w:tabs>
          <w:tab w:val="num" w:pos="3600"/>
        </w:tabs>
        <w:ind w:left="3600" w:hanging="360"/>
      </w:pPr>
      <w:rPr>
        <w:rFonts w:ascii="Arial" w:hAnsi="Arial" w:hint="default"/>
      </w:rPr>
    </w:lvl>
    <w:lvl w:ilvl="5" w:tplc="FF84064E" w:tentative="1">
      <w:start w:val="1"/>
      <w:numFmt w:val="bullet"/>
      <w:lvlText w:val="•"/>
      <w:lvlJc w:val="left"/>
      <w:pPr>
        <w:tabs>
          <w:tab w:val="num" w:pos="4320"/>
        </w:tabs>
        <w:ind w:left="4320" w:hanging="360"/>
      </w:pPr>
      <w:rPr>
        <w:rFonts w:ascii="Arial" w:hAnsi="Arial" w:hint="default"/>
      </w:rPr>
    </w:lvl>
    <w:lvl w:ilvl="6" w:tplc="5DA01B26" w:tentative="1">
      <w:start w:val="1"/>
      <w:numFmt w:val="bullet"/>
      <w:lvlText w:val="•"/>
      <w:lvlJc w:val="left"/>
      <w:pPr>
        <w:tabs>
          <w:tab w:val="num" w:pos="5040"/>
        </w:tabs>
        <w:ind w:left="5040" w:hanging="360"/>
      </w:pPr>
      <w:rPr>
        <w:rFonts w:ascii="Arial" w:hAnsi="Arial" w:hint="default"/>
      </w:rPr>
    </w:lvl>
    <w:lvl w:ilvl="7" w:tplc="C8364F3A" w:tentative="1">
      <w:start w:val="1"/>
      <w:numFmt w:val="bullet"/>
      <w:lvlText w:val="•"/>
      <w:lvlJc w:val="left"/>
      <w:pPr>
        <w:tabs>
          <w:tab w:val="num" w:pos="5760"/>
        </w:tabs>
        <w:ind w:left="5760" w:hanging="360"/>
      </w:pPr>
      <w:rPr>
        <w:rFonts w:ascii="Arial" w:hAnsi="Arial" w:hint="default"/>
      </w:rPr>
    </w:lvl>
    <w:lvl w:ilvl="8" w:tplc="B8727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9"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4245D17"/>
    <w:multiLevelType w:val="hybridMultilevel"/>
    <w:tmpl w:val="F38C02AE"/>
    <w:lvl w:ilvl="0" w:tplc="0982FC20">
      <w:start w:val="1"/>
      <w:numFmt w:val="bullet"/>
      <w:lvlText w:val="•"/>
      <w:lvlJc w:val="left"/>
      <w:pPr>
        <w:tabs>
          <w:tab w:val="num" w:pos="720"/>
        </w:tabs>
        <w:ind w:left="720" w:hanging="360"/>
      </w:pPr>
      <w:rPr>
        <w:rFonts w:ascii="Arial" w:hAnsi="Arial" w:hint="default"/>
      </w:rPr>
    </w:lvl>
    <w:lvl w:ilvl="1" w:tplc="EF009B50">
      <w:numFmt w:val="bullet"/>
      <w:lvlText w:val="•"/>
      <w:lvlJc w:val="left"/>
      <w:pPr>
        <w:tabs>
          <w:tab w:val="num" w:pos="1440"/>
        </w:tabs>
        <w:ind w:left="1440" w:hanging="360"/>
      </w:pPr>
      <w:rPr>
        <w:rFonts w:ascii="Arial" w:hAnsi="Arial" w:hint="default"/>
      </w:rPr>
    </w:lvl>
    <w:lvl w:ilvl="2" w:tplc="E8E6595C">
      <w:numFmt w:val="bullet"/>
      <w:lvlText w:val="•"/>
      <w:lvlJc w:val="left"/>
      <w:pPr>
        <w:tabs>
          <w:tab w:val="num" w:pos="2160"/>
        </w:tabs>
        <w:ind w:left="2160" w:hanging="360"/>
      </w:pPr>
      <w:rPr>
        <w:rFonts w:ascii="Arial" w:hAnsi="Arial" w:hint="default"/>
      </w:rPr>
    </w:lvl>
    <w:lvl w:ilvl="3" w:tplc="A3A8D7F6" w:tentative="1">
      <w:start w:val="1"/>
      <w:numFmt w:val="bullet"/>
      <w:lvlText w:val="•"/>
      <w:lvlJc w:val="left"/>
      <w:pPr>
        <w:tabs>
          <w:tab w:val="num" w:pos="2880"/>
        </w:tabs>
        <w:ind w:left="2880" w:hanging="360"/>
      </w:pPr>
      <w:rPr>
        <w:rFonts w:ascii="Arial" w:hAnsi="Arial" w:hint="default"/>
      </w:rPr>
    </w:lvl>
    <w:lvl w:ilvl="4" w:tplc="AA643B40" w:tentative="1">
      <w:start w:val="1"/>
      <w:numFmt w:val="bullet"/>
      <w:lvlText w:val="•"/>
      <w:lvlJc w:val="left"/>
      <w:pPr>
        <w:tabs>
          <w:tab w:val="num" w:pos="3600"/>
        </w:tabs>
        <w:ind w:left="3600" w:hanging="360"/>
      </w:pPr>
      <w:rPr>
        <w:rFonts w:ascii="Arial" w:hAnsi="Arial" w:hint="default"/>
      </w:rPr>
    </w:lvl>
    <w:lvl w:ilvl="5" w:tplc="8B8AAAE0" w:tentative="1">
      <w:start w:val="1"/>
      <w:numFmt w:val="bullet"/>
      <w:lvlText w:val="•"/>
      <w:lvlJc w:val="left"/>
      <w:pPr>
        <w:tabs>
          <w:tab w:val="num" w:pos="4320"/>
        </w:tabs>
        <w:ind w:left="4320" w:hanging="360"/>
      </w:pPr>
      <w:rPr>
        <w:rFonts w:ascii="Arial" w:hAnsi="Arial" w:hint="default"/>
      </w:rPr>
    </w:lvl>
    <w:lvl w:ilvl="6" w:tplc="E496DF96" w:tentative="1">
      <w:start w:val="1"/>
      <w:numFmt w:val="bullet"/>
      <w:lvlText w:val="•"/>
      <w:lvlJc w:val="left"/>
      <w:pPr>
        <w:tabs>
          <w:tab w:val="num" w:pos="5040"/>
        </w:tabs>
        <w:ind w:left="5040" w:hanging="360"/>
      </w:pPr>
      <w:rPr>
        <w:rFonts w:ascii="Arial" w:hAnsi="Arial" w:hint="default"/>
      </w:rPr>
    </w:lvl>
    <w:lvl w:ilvl="7" w:tplc="30E8ADA2" w:tentative="1">
      <w:start w:val="1"/>
      <w:numFmt w:val="bullet"/>
      <w:lvlText w:val="•"/>
      <w:lvlJc w:val="left"/>
      <w:pPr>
        <w:tabs>
          <w:tab w:val="num" w:pos="5760"/>
        </w:tabs>
        <w:ind w:left="5760" w:hanging="360"/>
      </w:pPr>
      <w:rPr>
        <w:rFonts w:ascii="Arial" w:hAnsi="Arial" w:hint="default"/>
      </w:rPr>
    </w:lvl>
    <w:lvl w:ilvl="8" w:tplc="C03A22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28"/>
  </w:num>
  <w:num w:numId="4">
    <w:abstractNumId w:val="11"/>
  </w:num>
  <w:num w:numId="5">
    <w:abstractNumId w:val="36"/>
  </w:num>
  <w:num w:numId="6">
    <w:abstractNumId w:val="26"/>
  </w:num>
  <w:num w:numId="7">
    <w:abstractNumId w:val="27"/>
  </w:num>
  <w:num w:numId="8">
    <w:abstractNumId w:val="27"/>
    <w:lvlOverride w:ilvl="0">
      <w:startOverride w:val="1"/>
    </w:lvlOverride>
  </w:num>
  <w:num w:numId="9">
    <w:abstractNumId w:val="27"/>
    <w:lvlOverride w:ilvl="0">
      <w:startOverride w:val="1"/>
    </w:lvlOverride>
  </w:num>
  <w:num w:numId="10">
    <w:abstractNumId w:val="27"/>
    <w:lvlOverride w:ilvl="0">
      <w:startOverride w:val="1"/>
    </w:lvlOverride>
  </w:num>
  <w:num w:numId="11">
    <w:abstractNumId w:val="26"/>
    <w:lvlOverride w:ilvl="0">
      <w:startOverride w:val="1"/>
    </w:lvlOverride>
  </w:num>
  <w:num w:numId="12">
    <w:abstractNumId w:val="27"/>
    <w:lvlOverride w:ilvl="0">
      <w:startOverride w:val="1"/>
    </w:lvlOverride>
  </w:num>
  <w:num w:numId="13">
    <w:abstractNumId w:val="26"/>
    <w:lvlOverride w:ilvl="0">
      <w:startOverride w:val="1"/>
    </w:lvlOverride>
  </w:num>
  <w:num w:numId="14">
    <w:abstractNumId w:val="27"/>
    <w:lvlOverride w:ilvl="0">
      <w:startOverride w:val="1"/>
    </w:lvlOverride>
  </w:num>
  <w:num w:numId="15">
    <w:abstractNumId w:val="47"/>
  </w:num>
  <w:num w:numId="16">
    <w:abstractNumId w:val="6"/>
  </w:num>
  <w:num w:numId="17">
    <w:abstractNumId w:val="34"/>
  </w:num>
  <w:num w:numId="18">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7"/>
    <w:lvlOverride w:ilvl="0">
      <w:startOverride w:val="1"/>
    </w:lvlOverride>
  </w:num>
  <w:num w:numId="22">
    <w:abstractNumId w:val="44"/>
  </w:num>
  <w:num w:numId="23">
    <w:abstractNumId w:val="20"/>
  </w:num>
  <w:num w:numId="24">
    <w:abstractNumId w:val="24"/>
  </w:num>
  <w:num w:numId="25">
    <w:abstractNumId w:val="0"/>
  </w:num>
  <w:num w:numId="26">
    <w:abstractNumId w:val="0"/>
  </w:num>
  <w:num w:numId="27">
    <w:abstractNumId w:val="31"/>
  </w:num>
  <w:num w:numId="28">
    <w:abstractNumId w:val="18"/>
  </w:num>
  <w:num w:numId="29">
    <w:abstractNumId w:val="5"/>
  </w:num>
  <w:num w:numId="30">
    <w:abstractNumId w:val="26"/>
    <w:lvlOverride w:ilvl="0">
      <w:startOverride w:val="1"/>
    </w:lvlOverride>
  </w:num>
  <w:num w:numId="31">
    <w:abstractNumId w:val="4"/>
  </w:num>
  <w:num w:numId="32">
    <w:abstractNumId w:val="19"/>
  </w:num>
  <w:num w:numId="33">
    <w:abstractNumId w:val="37"/>
  </w:num>
  <w:num w:numId="34">
    <w:abstractNumId w:val="3"/>
  </w:num>
  <w:num w:numId="35">
    <w:abstractNumId w:val="38"/>
  </w:num>
  <w:num w:numId="36">
    <w:abstractNumId w:val="1"/>
  </w:num>
  <w:num w:numId="37">
    <w:abstractNumId w:val="8"/>
  </w:num>
  <w:num w:numId="38">
    <w:abstractNumId w:val="41"/>
  </w:num>
  <w:num w:numId="39">
    <w:abstractNumId w:val="32"/>
  </w:num>
  <w:num w:numId="40">
    <w:abstractNumId w:val="22"/>
  </w:num>
  <w:num w:numId="41">
    <w:abstractNumId w:val="16"/>
  </w:num>
  <w:num w:numId="42">
    <w:abstractNumId w:val="35"/>
  </w:num>
  <w:num w:numId="43">
    <w:abstractNumId w:val="29"/>
  </w:num>
  <w:num w:numId="44">
    <w:abstractNumId w:val="39"/>
  </w:num>
  <w:num w:numId="45">
    <w:abstractNumId w:val="46"/>
  </w:num>
  <w:num w:numId="46">
    <w:abstractNumId w:val="14"/>
  </w:num>
  <w:num w:numId="47">
    <w:abstractNumId w:val="40"/>
  </w:num>
  <w:num w:numId="48">
    <w:abstractNumId w:val="33"/>
  </w:num>
  <w:num w:numId="49">
    <w:abstractNumId w:val="21"/>
  </w:num>
  <w:num w:numId="50">
    <w:abstractNumId w:val="9"/>
  </w:num>
  <w:num w:numId="51">
    <w:abstractNumId w:val="7"/>
  </w:num>
  <w:num w:numId="52">
    <w:abstractNumId w:val="34"/>
  </w:num>
  <w:num w:numId="53">
    <w:abstractNumId w:val="34"/>
  </w:num>
  <w:num w:numId="54">
    <w:abstractNumId w:val="30"/>
  </w:num>
  <w:num w:numId="55">
    <w:abstractNumId w:val="34"/>
  </w:num>
  <w:num w:numId="56">
    <w:abstractNumId w:val="34"/>
  </w:num>
  <w:num w:numId="57">
    <w:abstractNumId w:val="34"/>
  </w:num>
  <w:num w:numId="58">
    <w:abstractNumId w:val="45"/>
  </w:num>
  <w:num w:numId="59">
    <w:abstractNumId w:val="43"/>
  </w:num>
  <w:num w:numId="60">
    <w:abstractNumId w:val="15"/>
  </w:num>
  <w:num w:numId="61">
    <w:abstractNumId w:val="23"/>
  </w:num>
  <w:num w:numId="62">
    <w:abstractNumId w:val="16"/>
  </w:num>
  <w:num w:numId="63">
    <w:abstractNumId w:val="10"/>
  </w:num>
  <w:num w:numId="64">
    <w:abstractNumId w:val="17"/>
  </w:num>
  <w:num w:numId="65">
    <w:abstractNumId w:val="13"/>
  </w:num>
  <w:num w:numId="66">
    <w:abstractNumId w:val="4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14E9"/>
    <w:rsid w:val="0001498E"/>
    <w:rsid w:val="00023724"/>
    <w:rsid w:val="00030DF1"/>
    <w:rsid w:val="00031DF5"/>
    <w:rsid w:val="00034A70"/>
    <w:rsid w:val="00045978"/>
    <w:rsid w:val="000459D0"/>
    <w:rsid w:val="00053478"/>
    <w:rsid w:val="00062CF3"/>
    <w:rsid w:val="000638A1"/>
    <w:rsid w:val="00084BA3"/>
    <w:rsid w:val="0008612A"/>
    <w:rsid w:val="00091655"/>
    <w:rsid w:val="000A4675"/>
    <w:rsid w:val="000A5ED0"/>
    <w:rsid w:val="000A6BD1"/>
    <w:rsid w:val="000B0056"/>
    <w:rsid w:val="000B3D00"/>
    <w:rsid w:val="000C266A"/>
    <w:rsid w:val="000C42ED"/>
    <w:rsid w:val="000C61E5"/>
    <w:rsid w:val="000D7A43"/>
    <w:rsid w:val="000E0B6B"/>
    <w:rsid w:val="000F2046"/>
    <w:rsid w:val="000F27CC"/>
    <w:rsid w:val="000F478D"/>
    <w:rsid w:val="0010349B"/>
    <w:rsid w:val="001038F8"/>
    <w:rsid w:val="001062CE"/>
    <w:rsid w:val="001111FA"/>
    <w:rsid w:val="00142634"/>
    <w:rsid w:val="00151313"/>
    <w:rsid w:val="00156999"/>
    <w:rsid w:val="00156A6E"/>
    <w:rsid w:val="0016147B"/>
    <w:rsid w:val="00161971"/>
    <w:rsid w:val="001639F7"/>
    <w:rsid w:val="001745F8"/>
    <w:rsid w:val="00175157"/>
    <w:rsid w:val="00176671"/>
    <w:rsid w:val="0018224F"/>
    <w:rsid w:val="001838CF"/>
    <w:rsid w:val="00183BFF"/>
    <w:rsid w:val="001854FC"/>
    <w:rsid w:val="00185B8D"/>
    <w:rsid w:val="00194380"/>
    <w:rsid w:val="001B018F"/>
    <w:rsid w:val="001B3F6C"/>
    <w:rsid w:val="001C1168"/>
    <w:rsid w:val="001C2F6D"/>
    <w:rsid w:val="001C396C"/>
    <w:rsid w:val="001D5B59"/>
    <w:rsid w:val="001E30F6"/>
    <w:rsid w:val="001E4134"/>
    <w:rsid w:val="001E53C7"/>
    <w:rsid w:val="001F2163"/>
    <w:rsid w:val="001F5329"/>
    <w:rsid w:val="00201528"/>
    <w:rsid w:val="00210121"/>
    <w:rsid w:val="00213F01"/>
    <w:rsid w:val="002142CD"/>
    <w:rsid w:val="00231014"/>
    <w:rsid w:val="00231D20"/>
    <w:rsid w:val="002336B9"/>
    <w:rsid w:val="002342B3"/>
    <w:rsid w:val="002356C0"/>
    <w:rsid w:val="00235F5C"/>
    <w:rsid w:val="002437D4"/>
    <w:rsid w:val="002573B5"/>
    <w:rsid w:val="00261D6F"/>
    <w:rsid w:val="00270159"/>
    <w:rsid w:val="0027038C"/>
    <w:rsid w:val="0027071A"/>
    <w:rsid w:val="0029238A"/>
    <w:rsid w:val="002943F4"/>
    <w:rsid w:val="00295A66"/>
    <w:rsid w:val="00296109"/>
    <w:rsid w:val="002A0DEC"/>
    <w:rsid w:val="002A4E9B"/>
    <w:rsid w:val="002A7C64"/>
    <w:rsid w:val="002B4922"/>
    <w:rsid w:val="002C1837"/>
    <w:rsid w:val="002C2D19"/>
    <w:rsid w:val="002C3AD1"/>
    <w:rsid w:val="002D1080"/>
    <w:rsid w:val="002D10FA"/>
    <w:rsid w:val="002D1612"/>
    <w:rsid w:val="002D4C55"/>
    <w:rsid w:val="002E2420"/>
    <w:rsid w:val="002F0834"/>
    <w:rsid w:val="00302745"/>
    <w:rsid w:val="00302991"/>
    <w:rsid w:val="00303554"/>
    <w:rsid w:val="00306287"/>
    <w:rsid w:val="00307914"/>
    <w:rsid w:val="003109DF"/>
    <w:rsid w:val="003136ED"/>
    <w:rsid w:val="00314967"/>
    <w:rsid w:val="00326218"/>
    <w:rsid w:val="003339B2"/>
    <w:rsid w:val="0033542F"/>
    <w:rsid w:val="00336FBE"/>
    <w:rsid w:val="00341E39"/>
    <w:rsid w:val="00351CB5"/>
    <w:rsid w:val="00355535"/>
    <w:rsid w:val="0037172E"/>
    <w:rsid w:val="00374A68"/>
    <w:rsid w:val="003A1FAC"/>
    <w:rsid w:val="003A3C3B"/>
    <w:rsid w:val="003A6C69"/>
    <w:rsid w:val="003A783E"/>
    <w:rsid w:val="003B659E"/>
    <w:rsid w:val="003C5A4D"/>
    <w:rsid w:val="003C7452"/>
    <w:rsid w:val="003C78BD"/>
    <w:rsid w:val="003D4BE0"/>
    <w:rsid w:val="003F2C39"/>
    <w:rsid w:val="003F71E7"/>
    <w:rsid w:val="00402149"/>
    <w:rsid w:val="0040531F"/>
    <w:rsid w:val="00411250"/>
    <w:rsid w:val="00417AA0"/>
    <w:rsid w:val="00417C09"/>
    <w:rsid w:val="004226D8"/>
    <w:rsid w:val="00433683"/>
    <w:rsid w:val="0043750A"/>
    <w:rsid w:val="00443FE2"/>
    <w:rsid w:val="00452529"/>
    <w:rsid w:val="0046277A"/>
    <w:rsid w:val="00480EBB"/>
    <w:rsid w:val="00487CA3"/>
    <w:rsid w:val="00487EFE"/>
    <w:rsid w:val="0049229C"/>
    <w:rsid w:val="00492F8C"/>
    <w:rsid w:val="00494965"/>
    <w:rsid w:val="004A4C51"/>
    <w:rsid w:val="004B7B4A"/>
    <w:rsid w:val="004C04F4"/>
    <w:rsid w:val="004C6A66"/>
    <w:rsid w:val="004D0737"/>
    <w:rsid w:val="004D63FC"/>
    <w:rsid w:val="004E006D"/>
    <w:rsid w:val="004E09F7"/>
    <w:rsid w:val="004E10C1"/>
    <w:rsid w:val="004E5E66"/>
    <w:rsid w:val="004F35BC"/>
    <w:rsid w:val="00500579"/>
    <w:rsid w:val="00500A48"/>
    <w:rsid w:val="00503B4D"/>
    <w:rsid w:val="00504EE9"/>
    <w:rsid w:val="00506CEB"/>
    <w:rsid w:val="0051606A"/>
    <w:rsid w:val="005233BA"/>
    <w:rsid w:val="00523704"/>
    <w:rsid w:val="00532137"/>
    <w:rsid w:val="0054373D"/>
    <w:rsid w:val="0054442C"/>
    <w:rsid w:val="00544788"/>
    <w:rsid w:val="00547F6D"/>
    <w:rsid w:val="00550285"/>
    <w:rsid w:val="00553849"/>
    <w:rsid w:val="005836F8"/>
    <w:rsid w:val="0058499C"/>
    <w:rsid w:val="005909D8"/>
    <w:rsid w:val="005918FA"/>
    <w:rsid w:val="005A5248"/>
    <w:rsid w:val="005A6BB5"/>
    <w:rsid w:val="005C240E"/>
    <w:rsid w:val="005D4B8B"/>
    <w:rsid w:val="005D4F5B"/>
    <w:rsid w:val="005E61A8"/>
    <w:rsid w:val="005F6419"/>
    <w:rsid w:val="00607D3B"/>
    <w:rsid w:val="006118C2"/>
    <w:rsid w:val="00617400"/>
    <w:rsid w:val="00643C03"/>
    <w:rsid w:val="00650D75"/>
    <w:rsid w:val="006523F4"/>
    <w:rsid w:val="00652A49"/>
    <w:rsid w:val="0065745C"/>
    <w:rsid w:val="00660333"/>
    <w:rsid w:val="00664950"/>
    <w:rsid w:val="00670C32"/>
    <w:rsid w:val="006771EB"/>
    <w:rsid w:val="00683220"/>
    <w:rsid w:val="00687FA0"/>
    <w:rsid w:val="00690E30"/>
    <w:rsid w:val="006A05A0"/>
    <w:rsid w:val="006A4B3B"/>
    <w:rsid w:val="006A5C85"/>
    <w:rsid w:val="006B7010"/>
    <w:rsid w:val="006B7935"/>
    <w:rsid w:val="006C0E01"/>
    <w:rsid w:val="006D267D"/>
    <w:rsid w:val="006D3C2D"/>
    <w:rsid w:val="006D4F94"/>
    <w:rsid w:val="006E1D00"/>
    <w:rsid w:val="006E2F2E"/>
    <w:rsid w:val="006E44A0"/>
    <w:rsid w:val="006E76A6"/>
    <w:rsid w:val="006F1A77"/>
    <w:rsid w:val="006F28AC"/>
    <w:rsid w:val="00702310"/>
    <w:rsid w:val="00707969"/>
    <w:rsid w:val="007145FF"/>
    <w:rsid w:val="00735E10"/>
    <w:rsid w:val="007428C7"/>
    <w:rsid w:val="00742ACC"/>
    <w:rsid w:val="00750509"/>
    <w:rsid w:val="00751515"/>
    <w:rsid w:val="00752213"/>
    <w:rsid w:val="00756663"/>
    <w:rsid w:val="007657EE"/>
    <w:rsid w:val="0077687B"/>
    <w:rsid w:val="00785232"/>
    <w:rsid w:val="007864E4"/>
    <w:rsid w:val="007A0F79"/>
    <w:rsid w:val="007A106B"/>
    <w:rsid w:val="007B0928"/>
    <w:rsid w:val="007B146E"/>
    <w:rsid w:val="007B4107"/>
    <w:rsid w:val="007B4FEB"/>
    <w:rsid w:val="007B6F10"/>
    <w:rsid w:val="007C312C"/>
    <w:rsid w:val="007C3ED0"/>
    <w:rsid w:val="007C63EB"/>
    <w:rsid w:val="007D1762"/>
    <w:rsid w:val="007D2B3B"/>
    <w:rsid w:val="007D3C34"/>
    <w:rsid w:val="007D474F"/>
    <w:rsid w:val="007E027C"/>
    <w:rsid w:val="007E26F6"/>
    <w:rsid w:val="007E448E"/>
    <w:rsid w:val="007E7EEE"/>
    <w:rsid w:val="007F4295"/>
    <w:rsid w:val="00801E52"/>
    <w:rsid w:val="008050F6"/>
    <w:rsid w:val="00806A76"/>
    <w:rsid w:val="00810316"/>
    <w:rsid w:val="00811C9D"/>
    <w:rsid w:val="00816C80"/>
    <w:rsid w:val="00817C1D"/>
    <w:rsid w:val="008231C4"/>
    <w:rsid w:val="00824E9E"/>
    <w:rsid w:val="00831F79"/>
    <w:rsid w:val="0083294E"/>
    <w:rsid w:val="008337E2"/>
    <w:rsid w:val="00841BCD"/>
    <w:rsid w:val="008442FE"/>
    <w:rsid w:val="00863E0C"/>
    <w:rsid w:val="008826C1"/>
    <w:rsid w:val="00886A33"/>
    <w:rsid w:val="008A1A89"/>
    <w:rsid w:val="008A506A"/>
    <w:rsid w:val="008B58A8"/>
    <w:rsid w:val="008D0C8E"/>
    <w:rsid w:val="008D3111"/>
    <w:rsid w:val="008F0762"/>
    <w:rsid w:val="008F4FFA"/>
    <w:rsid w:val="00902291"/>
    <w:rsid w:val="009027D3"/>
    <w:rsid w:val="009042BD"/>
    <w:rsid w:val="00910363"/>
    <w:rsid w:val="00911E7F"/>
    <w:rsid w:val="00915D64"/>
    <w:rsid w:val="00916CCC"/>
    <w:rsid w:val="009273BA"/>
    <w:rsid w:val="00942E0D"/>
    <w:rsid w:val="0094504A"/>
    <w:rsid w:val="009475B6"/>
    <w:rsid w:val="0095560C"/>
    <w:rsid w:val="00956D22"/>
    <w:rsid w:val="00963B15"/>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06"/>
    <w:rsid w:val="00A12A9E"/>
    <w:rsid w:val="00A15183"/>
    <w:rsid w:val="00A168A9"/>
    <w:rsid w:val="00A20AD2"/>
    <w:rsid w:val="00A22B78"/>
    <w:rsid w:val="00A24290"/>
    <w:rsid w:val="00A25AE5"/>
    <w:rsid w:val="00A329FE"/>
    <w:rsid w:val="00A35C49"/>
    <w:rsid w:val="00A37002"/>
    <w:rsid w:val="00A507F7"/>
    <w:rsid w:val="00A5311A"/>
    <w:rsid w:val="00A7751D"/>
    <w:rsid w:val="00A82954"/>
    <w:rsid w:val="00A839E0"/>
    <w:rsid w:val="00A95A3F"/>
    <w:rsid w:val="00AA1B0E"/>
    <w:rsid w:val="00AB01C6"/>
    <w:rsid w:val="00AB06D5"/>
    <w:rsid w:val="00AC2955"/>
    <w:rsid w:val="00AC4ABE"/>
    <w:rsid w:val="00AC5CA7"/>
    <w:rsid w:val="00AD4EA8"/>
    <w:rsid w:val="00AD6560"/>
    <w:rsid w:val="00AE56B1"/>
    <w:rsid w:val="00AF1751"/>
    <w:rsid w:val="00B03C53"/>
    <w:rsid w:val="00B1646A"/>
    <w:rsid w:val="00B20B2E"/>
    <w:rsid w:val="00B231C1"/>
    <w:rsid w:val="00B262D6"/>
    <w:rsid w:val="00B2645D"/>
    <w:rsid w:val="00B419A4"/>
    <w:rsid w:val="00B4217C"/>
    <w:rsid w:val="00B4779A"/>
    <w:rsid w:val="00B50831"/>
    <w:rsid w:val="00B523AC"/>
    <w:rsid w:val="00B60F71"/>
    <w:rsid w:val="00B61FFA"/>
    <w:rsid w:val="00B73862"/>
    <w:rsid w:val="00B8273E"/>
    <w:rsid w:val="00B8281A"/>
    <w:rsid w:val="00BA080C"/>
    <w:rsid w:val="00BA3697"/>
    <w:rsid w:val="00BA3903"/>
    <w:rsid w:val="00BA49C7"/>
    <w:rsid w:val="00BA6E48"/>
    <w:rsid w:val="00BA724E"/>
    <w:rsid w:val="00BB3A1B"/>
    <w:rsid w:val="00BD4241"/>
    <w:rsid w:val="00BD6823"/>
    <w:rsid w:val="00BE0B94"/>
    <w:rsid w:val="00BE119A"/>
    <w:rsid w:val="00BE4EE4"/>
    <w:rsid w:val="00BF2218"/>
    <w:rsid w:val="00C00812"/>
    <w:rsid w:val="00C1194F"/>
    <w:rsid w:val="00C130C2"/>
    <w:rsid w:val="00C150C5"/>
    <w:rsid w:val="00C27C64"/>
    <w:rsid w:val="00C34B6A"/>
    <w:rsid w:val="00C37D0D"/>
    <w:rsid w:val="00C44454"/>
    <w:rsid w:val="00C562E9"/>
    <w:rsid w:val="00C56E82"/>
    <w:rsid w:val="00C578B5"/>
    <w:rsid w:val="00C64096"/>
    <w:rsid w:val="00C6725F"/>
    <w:rsid w:val="00C82A72"/>
    <w:rsid w:val="00C85200"/>
    <w:rsid w:val="00C85F00"/>
    <w:rsid w:val="00C931A1"/>
    <w:rsid w:val="00C96209"/>
    <w:rsid w:val="00CB65AC"/>
    <w:rsid w:val="00CC203B"/>
    <w:rsid w:val="00CC7CF8"/>
    <w:rsid w:val="00CD4622"/>
    <w:rsid w:val="00CD7492"/>
    <w:rsid w:val="00CE3A6B"/>
    <w:rsid w:val="00CF3B6A"/>
    <w:rsid w:val="00D00211"/>
    <w:rsid w:val="00D05A22"/>
    <w:rsid w:val="00D06309"/>
    <w:rsid w:val="00D11B5C"/>
    <w:rsid w:val="00D14F63"/>
    <w:rsid w:val="00D15020"/>
    <w:rsid w:val="00D30C32"/>
    <w:rsid w:val="00D351EA"/>
    <w:rsid w:val="00D358A6"/>
    <w:rsid w:val="00D43403"/>
    <w:rsid w:val="00D57DA9"/>
    <w:rsid w:val="00D62E71"/>
    <w:rsid w:val="00D6467D"/>
    <w:rsid w:val="00D740CA"/>
    <w:rsid w:val="00D76E34"/>
    <w:rsid w:val="00D85728"/>
    <w:rsid w:val="00D863F1"/>
    <w:rsid w:val="00DA172F"/>
    <w:rsid w:val="00DA5862"/>
    <w:rsid w:val="00DA73C3"/>
    <w:rsid w:val="00DB32BB"/>
    <w:rsid w:val="00DB4870"/>
    <w:rsid w:val="00DB63B0"/>
    <w:rsid w:val="00DC1AEA"/>
    <w:rsid w:val="00DC7D81"/>
    <w:rsid w:val="00DD01F2"/>
    <w:rsid w:val="00DD093F"/>
    <w:rsid w:val="00DD555A"/>
    <w:rsid w:val="00DE037B"/>
    <w:rsid w:val="00DE38D7"/>
    <w:rsid w:val="00DE3F92"/>
    <w:rsid w:val="00DF2997"/>
    <w:rsid w:val="00DF4B88"/>
    <w:rsid w:val="00E01C62"/>
    <w:rsid w:val="00E01DA7"/>
    <w:rsid w:val="00E02E87"/>
    <w:rsid w:val="00E04AFF"/>
    <w:rsid w:val="00E142D9"/>
    <w:rsid w:val="00E14550"/>
    <w:rsid w:val="00E34DFE"/>
    <w:rsid w:val="00E45449"/>
    <w:rsid w:val="00E46DD6"/>
    <w:rsid w:val="00E51440"/>
    <w:rsid w:val="00E51596"/>
    <w:rsid w:val="00EA335F"/>
    <w:rsid w:val="00EC6D5A"/>
    <w:rsid w:val="00EC70C2"/>
    <w:rsid w:val="00EC7BC3"/>
    <w:rsid w:val="00ED7599"/>
    <w:rsid w:val="00ED7600"/>
    <w:rsid w:val="00EF2A70"/>
    <w:rsid w:val="00EF2A9D"/>
    <w:rsid w:val="00EF7A08"/>
    <w:rsid w:val="00F04673"/>
    <w:rsid w:val="00F1362C"/>
    <w:rsid w:val="00F231E7"/>
    <w:rsid w:val="00F25A05"/>
    <w:rsid w:val="00F261F2"/>
    <w:rsid w:val="00F26E26"/>
    <w:rsid w:val="00F35692"/>
    <w:rsid w:val="00F461AC"/>
    <w:rsid w:val="00F47434"/>
    <w:rsid w:val="00F5238D"/>
    <w:rsid w:val="00F52B50"/>
    <w:rsid w:val="00F61AFE"/>
    <w:rsid w:val="00F7153D"/>
    <w:rsid w:val="00F73A2E"/>
    <w:rsid w:val="00F8100A"/>
    <w:rsid w:val="00F824F5"/>
    <w:rsid w:val="00F873FE"/>
    <w:rsid w:val="00F92BF4"/>
    <w:rsid w:val="00FB5D9E"/>
    <w:rsid w:val="00FC29B9"/>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7238320">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30274512">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2160690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93">
          <w:marLeft w:val="360"/>
          <w:marRight w:val="0"/>
          <w:marTop w:val="200"/>
          <w:marBottom w:val="0"/>
          <w:divBdr>
            <w:top w:val="none" w:sz="0" w:space="0" w:color="auto"/>
            <w:left w:val="none" w:sz="0" w:space="0" w:color="auto"/>
            <w:bottom w:val="none" w:sz="0" w:space="0" w:color="auto"/>
            <w:right w:val="none" w:sz="0" w:space="0" w:color="auto"/>
          </w:divBdr>
        </w:div>
        <w:div w:id="1342657667">
          <w:marLeft w:val="1080"/>
          <w:marRight w:val="0"/>
          <w:marTop w:val="100"/>
          <w:marBottom w:val="0"/>
          <w:divBdr>
            <w:top w:val="none" w:sz="0" w:space="0" w:color="auto"/>
            <w:left w:val="none" w:sz="0" w:space="0" w:color="auto"/>
            <w:bottom w:val="none" w:sz="0" w:space="0" w:color="auto"/>
            <w:right w:val="none" w:sz="0" w:space="0" w:color="auto"/>
          </w:divBdr>
        </w:div>
        <w:div w:id="402147391">
          <w:marLeft w:val="1080"/>
          <w:marRight w:val="0"/>
          <w:marTop w:val="100"/>
          <w:marBottom w:val="0"/>
          <w:divBdr>
            <w:top w:val="none" w:sz="0" w:space="0" w:color="auto"/>
            <w:left w:val="none" w:sz="0" w:space="0" w:color="auto"/>
            <w:bottom w:val="none" w:sz="0" w:space="0" w:color="auto"/>
            <w:right w:val="none" w:sz="0" w:space="0" w:color="auto"/>
          </w:divBdr>
        </w:div>
      </w:divsChild>
    </w:div>
    <w:div w:id="1129857981">
      <w:bodyDiv w:val="1"/>
      <w:marLeft w:val="0"/>
      <w:marRight w:val="0"/>
      <w:marTop w:val="0"/>
      <w:marBottom w:val="0"/>
      <w:divBdr>
        <w:top w:val="none" w:sz="0" w:space="0" w:color="auto"/>
        <w:left w:val="none" w:sz="0" w:space="0" w:color="auto"/>
        <w:bottom w:val="none" w:sz="0" w:space="0" w:color="auto"/>
        <w:right w:val="none" w:sz="0" w:space="0" w:color="auto"/>
      </w:divBdr>
      <w:divsChild>
        <w:div w:id="148834552">
          <w:marLeft w:val="360"/>
          <w:marRight w:val="0"/>
          <w:marTop w:val="200"/>
          <w:marBottom w:val="0"/>
          <w:divBdr>
            <w:top w:val="none" w:sz="0" w:space="0" w:color="auto"/>
            <w:left w:val="none" w:sz="0" w:space="0" w:color="auto"/>
            <w:bottom w:val="none" w:sz="0" w:space="0" w:color="auto"/>
            <w:right w:val="none" w:sz="0" w:space="0" w:color="auto"/>
          </w:divBdr>
        </w:div>
        <w:div w:id="1252160982">
          <w:marLeft w:val="360"/>
          <w:marRight w:val="0"/>
          <w:marTop w:val="200"/>
          <w:marBottom w:val="0"/>
          <w:divBdr>
            <w:top w:val="none" w:sz="0" w:space="0" w:color="auto"/>
            <w:left w:val="none" w:sz="0" w:space="0" w:color="auto"/>
            <w:bottom w:val="none" w:sz="0" w:space="0" w:color="auto"/>
            <w:right w:val="none" w:sz="0" w:space="0" w:color="auto"/>
          </w:divBdr>
        </w:div>
        <w:div w:id="844246461">
          <w:marLeft w:val="1080"/>
          <w:marRight w:val="0"/>
          <w:marTop w:val="100"/>
          <w:marBottom w:val="0"/>
          <w:divBdr>
            <w:top w:val="none" w:sz="0" w:space="0" w:color="auto"/>
            <w:left w:val="none" w:sz="0" w:space="0" w:color="auto"/>
            <w:bottom w:val="none" w:sz="0" w:space="0" w:color="auto"/>
            <w:right w:val="none" w:sz="0" w:space="0" w:color="auto"/>
          </w:divBdr>
        </w:div>
        <w:div w:id="1868448230">
          <w:marLeft w:val="1080"/>
          <w:marRight w:val="0"/>
          <w:marTop w:val="1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380781806">
      <w:bodyDiv w:val="1"/>
      <w:marLeft w:val="0"/>
      <w:marRight w:val="0"/>
      <w:marTop w:val="0"/>
      <w:marBottom w:val="0"/>
      <w:divBdr>
        <w:top w:val="none" w:sz="0" w:space="0" w:color="auto"/>
        <w:left w:val="none" w:sz="0" w:space="0" w:color="auto"/>
        <w:bottom w:val="none" w:sz="0" w:space="0" w:color="auto"/>
        <w:right w:val="none" w:sz="0" w:space="0" w:color="auto"/>
      </w:divBdr>
      <w:divsChild>
        <w:div w:id="926233956">
          <w:marLeft w:val="360"/>
          <w:marRight w:val="0"/>
          <w:marTop w:val="200"/>
          <w:marBottom w:val="0"/>
          <w:divBdr>
            <w:top w:val="none" w:sz="0" w:space="0" w:color="auto"/>
            <w:left w:val="none" w:sz="0" w:space="0" w:color="auto"/>
            <w:bottom w:val="none" w:sz="0" w:space="0" w:color="auto"/>
            <w:right w:val="none" w:sz="0" w:space="0" w:color="auto"/>
          </w:divBdr>
        </w:div>
        <w:div w:id="1505898084">
          <w:marLeft w:val="1080"/>
          <w:marRight w:val="0"/>
          <w:marTop w:val="100"/>
          <w:marBottom w:val="0"/>
          <w:divBdr>
            <w:top w:val="none" w:sz="0" w:space="0" w:color="auto"/>
            <w:left w:val="none" w:sz="0" w:space="0" w:color="auto"/>
            <w:bottom w:val="none" w:sz="0" w:space="0" w:color="auto"/>
            <w:right w:val="none" w:sz="0" w:space="0" w:color="auto"/>
          </w:divBdr>
        </w:div>
        <w:div w:id="1540389871">
          <w:marLeft w:val="1080"/>
          <w:marRight w:val="0"/>
          <w:marTop w:val="100"/>
          <w:marBottom w:val="0"/>
          <w:divBdr>
            <w:top w:val="none" w:sz="0" w:space="0" w:color="auto"/>
            <w:left w:val="none" w:sz="0" w:space="0" w:color="auto"/>
            <w:bottom w:val="none" w:sz="0" w:space="0" w:color="auto"/>
            <w:right w:val="none" w:sz="0" w:space="0" w:color="auto"/>
          </w:divBdr>
        </w:div>
        <w:div w:id="719668674">
          <w:marLeft w:val="360"/>
          <w:marRight w:val="0"/>
          <w:marTop w:val="200"/>
          <w:marBottom w:val="0"/>
          <w:divBdr>
            <w:top w:val="none" w:sz="0" w:space="0" w:color="auto"/>
            <w:left w:val="none" w:sz="0" w:space="0" w:color="auto"/>
            <w:bottom w:val="none" w:sz="0" w:space="0" w:color="auto"/>
            <w:right w:val="none" w:sz="0" w:space="0" w:color="auto"/>
          </w:divBdr>
        </w:div>
        <w:div w:id="560483412">
          <w:marLeft w:val="1080"/>
          <w:marRight w:val="0"/>
          <w:marTop w:val="100"/>
          <w:marBottom w:val="0"/>
          <w:divBdr>
            <w:top w:val="none" w:sz="0" w:space="0" w:color="auto"/>
            <w:left w:val="none" w:sz="0" w:space="0" w:color="auto"/>
            <w:bottom w:val="none" w:sz="0" w:space="0" w:color="auto"/>
            <w:right w:val="none" w:sz="0" w:space="0" w:color="auto"/>
          </w:divBdr>
        </w:div>
        <w:div w:id="1639801664">
          <w:marLeft w:val="1800"/>
          <w:marRight w:val="0"/>
          <w:marTop w:val="100"/>
          <w:marBottom w:val="0"/>
          <w:divBdr>
            <w:top w:val="none" w:sz="0" w:space="0" w:color="auto"/>
            <w:left w:val="none" w:sz="0" w:space="0" w:color="auto"/>
            <w:bottom w:val="none" w:sz="0" w:space="0" w:color="auto"/>
            <w:right w:val="none" w:sz="0" w:space="0" w:color="auto"/>
          </w:divBdr>
        </w:div>
        <w:div w:id="1463384308">
          <w:marLeft w:val="1800"/>
          <w:marRight w:val="0"/>
          <w:marTop w:val="100"/>
          <w:marBottom w:val="0"/>
          <w:divBdr>
            <w:top w:val="none" w:sz="0" w:space="0" w:color="auto"/>
            <w:left w:val="none" w:sz="0" w:space="0" w:color="auto"/>
            <w:bottom w:val="none" w:sz="0" w:space="0" w:color="auto"/>
            <w:right w:val="none" w:sz="0" w:space="0" w:color="auto"/>
          </w:divBdr>
        </w:div>
        <w:div w:id="1359889569">
          <w:marLeft w:val="1800"/>
          <w:marRight w:val="0"/>
          <w:marTop w:val="100"/>
          <w:marBottom w:val="0"/>
          <w:divBdr>
            <w:top w:val="none" w:sz="0" w:space="0" w:color="auto"/>
            <w:left w:val="none" w:sz="0" w:space="0" w:color="auto"/>
            <w:bottom w:val="none" w:sz="0" w:space="0" w:color="auto"/>
            <w:right w:val="none" w:sz="0" w:space="0" w:color="auto"/>
          </w:divBdr>
        </w:div>
        <w:div w:id="1870488332">
          <w:marLeft w:val="1080"/>
          <w:marRight w:val="0"/>
          <w:marTop w:val="100"/>
          <w:marBottom w:val="0"/>
          <w:divBdr>
            <w:top w:val="none" w:sz="0" w:space="0" w:color="auto"/>
            <w:left w:val="none" w:sz="0" w:space="0" w:color="auto"/>
            <w:bottom w:val="none" w:sz="0" w:space="0" w:color="auto"/>
            <w:right w:val="none" w:sz="0" w:space="0" w:color="auto"/>
          </w:divBdr>
        </w:div>
        <w:div w:id="1836653271">
          <w:marLeft w:val="360"/>
          <w:marRight w:val="0"/>
          <w:marTop w:val="200"/>
          <w:marBottom w:val="0"/>
          <w:divBdr>
            <w:top w:val="none" w:sz="0" w:space="0" w:color="auto"/>
            <w:left w:val="none" w:sz="0" w:space="0" w:color="auto"/>
            <w:bottom w:val="none" w:sz="0" w:space="0" w:color="auto"/>
            <w:right w:val="none" w:sz="0" w:space="0" w:color="auto"/>
          </w:divBdr>
        </w:div>
        <w:div w:id="9857077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58973620">
      <w:bodyDiv w:val="1"/>
      <w:marLeft w:val="0"/>
      <w:marRight w:val="0"/>
      <w:marTop w:val="0"/>
      <w:marBottom w:val="0"/>
      <w:divBdr>
        <w:top w:val="none" w:sz="0" w:space="0" w:color="auto"/>
        <w:left w:val="none" w:sz="0" w:space="0" w:color="auto"/>
        <w:bottom w:val="none" w:sz="0" w:space="0" w:color="auto"/>
        <w:right w:val="none" w:sz="0" w:space="0" w:color="auto"/>
      </w:divBdr>
    </w:div>
    <w:div w:id="1576697241">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64393027">
      <w:bodyDiv w:val="1"/>
      <w:marLeft w:val="0"/>
      <w:marRight w:val="0"/>
      <w:marTop w:val="0"/>
      <w:marBottom w:val="0"/>
      <w:divBdr>
        <w:top w:val="none" w:sz="0" w:space="0" w:color="auto"/>
        <w:left w:val="none" w:sz="0" w:space="0" w:color="auto"/>
        <w:bottom w:val="none" w:sz="0" w:space="0" w:color="auto"/>
        <w:right w:val="none" w:sz="0" w:space="0" w:color="auto"/>
      </w:divBdr>
      <w:divsChild>
        <w:div w:id="2107917532">
          <w:marLeft w:val="360"/>
          <w:marRight w:val="0"/>
          <w:marTop w:val="200"/>
          <w:marBottom w:val="0"/>
          <w:divBdr>
            <w:top w:val="none" w:sz="0" w:space="0" w:color="auto"/>
            <w:left w:val="none" w:sz="0" w:space="0" w:color="auto"/>
            <w:bottom w:val="none" w:sz="0" w:space="0" w:color="auto"/>
            <w:right w:val="none" w:sz="0" w:space="0" w:color="auto"/>
          </w:divBdr>
        </w:div>
        <w:div w:id="2021539038">
          <w:marLeft w:val="1080"/>
          <w:marRight w:val="0"/>
          <w:marTop w:val="100"/>
          <w:marBottom w:val="0"/>
          <w:divBdr>
            <w:top w:val="none" w:sz="0" w:space="0" w:color="auto"/>
            <w:left w:val="none" w:sz="0" w:space="0" w:color="auto"/>
            <w:bottom w:val="none" w:sz="0" w:space="0" w:color="auto"/>
            <w:right w:val="none" w:sz="0" w:space="0" w:color="auto"/>
          </w:divBdr>
        </w:div>
        <w:div w:id="764690683">
          <w:marLeft w:val="1800"/>
          <w:marRight w:val="0"/>
          <w:marTop w:val="100"/>
          <w:marBottom w:val="0"/>
          <w:divBdr>
            <w:top w:val="none" w:sz="0" w:space="0" w:color="auto"/>
            <w:left w:val="none" w:sz="0" w:space="0" w:color="auto"/>
            <w:bottom w:val="none" w:sz="0" w:space="0" w:color="auto"/>
            <w:right w:val="none" w:sz="0" w:space="0" w:color="auto"/>
          </w:divBdr>
        </w:div>
      </w:divsChild>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88-CF96-4AA2-A451-913CAB3D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2021-08-06T15:30:00Z</dcterms:created>
  <dcterms:modified xsi:type="dcterms:W3CDTF">2021-08-06T15:30:00Z</dcterms:modified>
</cp:coreProperties>
</file>