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0AC43DB0"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40295327"/>
      <w:bookmarkStart w:id="1" w:name="OLE_LINK5"/>
      <w:bookmarkStart w:id="2" w:name="OLE_LINK6"/>
      <w:bookmarkEnd w:id="0"/>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6E0909">
        <w:rPr>
          <w:rFonts w:ascii="Arial" w:eastAsia="SimSun" w:hAnsi="Arial" w:cs="Times New Roman"/>
          <w:b/>
          <w:sz w:val="24"/>
          <w:szCs w:val="20"/>
          <w:lang w:val="en-GB"/>
        </w:rPr>
        <w:t>100</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9C003D">
        <w:rPr>
          <w:rFonts w:ascii="Arial" w:eastAsia="SimSun" w:hAnsi="Arial" w:cs="Times New Roman"/>
          <w:b/>
          <w:bCs/>
          <w:sz w:val="24"/>
          <w:szCs w:val="20"/>
          <w:lang w:val="en-GB" w:eastAsia="zh-CN"/>
        </w:rPr>
        <w:t>2</w:t>
      </w:r>
      <w:r w:rsidR="009D1A4A">
        <w:rPr>
          <w:rFonts w:ascii="Arial" w:eastAsia="SimSun" w:hAnsi="Arial" w:cs="Times New Roman"/>
          <w:b/>
          <w:bCs/>
          <w:sz w:val="24"/>
          <w:szCs w:val="20"/>
          <w:lang w:val="en-GB" w:eastAsia="zh-CN"/>
        </w:rPr>
        <w:t>1</w:t>
      </w:r>
      <w:r w:rsidR="00520B8E">
        <w:rPr>
          <w:rFonts w:ascii="Arial" w:eastAsia="SimSun" w:hAnsi="Arial" w:cs="Times New Roman"/>
          <w:b/>
          <w:bCs/>
          <w:sz w:val="24"/>
          <w:szCs w:val="20"/>
          <w:lang w:val="en-GB" w:eastAsia="zh-CN"/>
        </w:rPr>
        <w:t>1</w:t>
      </w:r>
      <w:r w:rsidR="00CA5CAB" w:rsidRPr="00837A5E">
        <w:rPr>
          <w:rFonts w:ascii="Arial" w:eastAsia="SimSun" w:hAnsi="Arial" w:cs="Times New Roman"/>
          <w:b/>
          <w:bCs/>
          <w:sz w:val="24"/>
          <w:szCs w:val="20"/>
          <w:lang w:val="en-GB" w:eastAsia="zh-CN"/>
        </w:rPr>
        <w:t>4021</w:t>
      </w:r>
    </w:p>
    <w:p w14:paraId="3DEDC117" w14:textId="1F36FA9B"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sidR="006E0909">
        <w:rPr>
          <w:rFonts w:ascii="Arial" w:eastAsia="SimSun" w:hAnsi="Arial" w:cs="Times New Roman"/>
          <w:b/>
          <w:sz w:val="24"/>
          <w:szCs w:val="20"/>
          <w:lang w:val="en-GB"/>
        </w:rPr>
        <w:t>August</w:t>
      </w:r>
      <w:r w:rsidR="001C2F6D">
        <w:rPr>
          <w:rFonts w:ascii="Arial" w:eastAsia="SimSun" w:hAnsi="Arial" w:cs="Times New Roman"/>
          <w:b/>
          <w:sz w:val="24"/>
          <w:szCs w:val="20"/>
          <w:lang w:val="en-GB"/>
        </w:rPr>
        <w:t xml:space="preserve"> </w:t>
      </w:r>
      <w:r w:rsidR="006E0909">
        <w:rPr>
          <w:rFonts w:ascii="Arial" w:eastAsia="SimSun" w:hAnsi="Arial" w:cs="Times New Roman"/>
          <w:b/>
          <w:sz w:val="24"/>
          <w:szCs w:val="20"/>
          <w:lang w:val="en-GB"/>
        </w:rPr>
        <w:t>16</w:t>
      </w:r>
      <w:r w:rsidR="006E0909" w:rsidRPr="006E0909">
        <w:rPr>
          <w:rFonts w:ascii="Arial" w:eastAsia="SimSun" w:hAnsi="Arial" w:cs="Times New Roman"/>
          <w:b/>
          <w:sz w:val="24"/>
          <w:szCs w:val="20"/>
          <w:vertAlign w:val="superscript"/>
          <w:lang w:val="en-GB"/>
        </w:rPr>
        <w:t>th</w:t>
      </w:r>
      <w:r w:rsidR="006E0909">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6E0909">
        <w:rPr>
          <w:rFonts w:ascii="Arial" w:eastAsia="SimSun" w:hAnsi="Arial" w:cs="Times New Roman"/>
          <w:b/>
          <w:sz w:val="24"/>
          <w:szCs w:val="20"/>
          <w:lang w:val="en-GB"/>
        </w:rPr>
        <w:t>27</w:t>
      </w:r>
      <w:r w:rsidR="009557A8" w:rsidRPr="009557A8">
        <w:rPr>
          <w:rFonts w:ascii="Arial" w:eastAsia="SimSun" w:hAnsi="Arial" w:cs="Times New Roman"/>
          <w:b/>
          <w:sz w:val="24"/>
          <w:szCs w:val="20"/>
          <w:vertAlign w:val="superscript"/>
          <w:lang w:val="en-GB"/>
        </w:rPr>
        <w:t>th</w:t>
      </w:r>
      <w:r w:rsidR="009557A8">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w:t>
      </w:r>
      <w:r w:rsidR="009D1A4A">
        <w:rPr>
          <w:rFonts w:ascii="Arial" w:eastAsia="SimSun" w:hAnsi="Arial" w:cs="Times New Roman"/>
          <w:b/>
          <w:bCs/>
          <w:noProof/>
          <w:sz w:val="24"/>
          <w:szCs w:val="20"/>
          <w:lang w:eastAsia="zh-CN"/>
        </w:rPr>
        <w:t>1</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7F9E754A"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CD5A78" w:rsidRPr="00CD5A78">
        <w:rPr>
          <w:rFonts w:ascii="Arial" w:eastAsia="Calibri" w:hAnsi="Arial" w:cs="Arial"/>
          <w:b/>
          <w:bCs/>
          <w:sz w:val="24"/>
        </w:rPr>
        <w:t xml:space="preserve">Discussion on </w:t>
      </w:r>
      <w:r w:rsidR="005B7F0E" w:rsidRPr="005B7F0E">
        <w:rPr>
          <w:rFonts w:ascii="Arial" w:eastAsia="Calibri" w:hAnsi="Arial" w:cs="Arial"/>
          <w:b/>
          <w:bCs/>
          <w:sz w:val="24"/>
        </w:rPr>
        <w:t>Efficient activation/de-activation mechanism for one SCG</w:t>
      </w:r>
    </w:p>
    <w:p w14:paraId="53921647" w14:textId="6D4C7E7C"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5B7F0E" w:rsidRPr="005B7F0E">
        <w:rPr>
          <w:rFonts w:ascii="Arial" w:eastAsia="MS Mincho" w:hAnsi="Arial" w:cs="Arial"/>
          <w:b/>
          <w:bCs/>
          <w:sz w:val="24"/>
          <w:szCs w:val="20"/>
          <w:lang w:val="en-GB"/>
        </w:rPr>
        <w:t>9</w:t>
      </w:r>
      <w:r w:rsidRPr="005B7F0E">
        <w:rPr>
          <w:rFonts w:ascii="Arial" w:eastAsia="MS Mincho" w:hAnsi="Arial" w:cs="Arial"/>
          <w:b/>
          <w:bCs/>
          <w:sz w:val="24"/>
          <w:szCs w:val="20"/>
          <w:lang w:val="en-GB"/>
        </w:rPr>
        <w:t>.</w:t>
      </w:r>
      <w:r w:rsidR="005B7F0E" w:rsidRPr="005B7F0E">
        <w:rPr>
          <w:rFonts w:ascii="Arial" w:eastAsia="MS Mincho" w:hAnsi="Arial" w:cs="Arial"/>
          <w:b/>
          <w:bCs/>
          <w:sz w:val="24"/>
          <w:szCs w:val="20"/>
          <w:lang w:val="en-GB"/>
        </w:rPr>
        <w:t>22</w:t>
      </w:r>
      <w:r w:rsidRPr="005B7F0E">
        <w:rPr>
          <w:rFonts w:ascii="Arial" w:eastAsia="MS Mincho" w:hAnsi="Arial" w:cs="Arial"/>
          <w:b/>
          <w:bCs/>
          <w:sz w:val="24"/>
          <w:szCs w:val="20"/>
          <w:lang w:val="en-GB"/>
        </w:rPr>
        <w:t>.</w:t>
      </w:r>
      <w:r w:rsidR="005B7F0E" w:rsidRPr="005B7F0E">
        <w:rPr>
          <w:rFonts w:ascii="Arial" w:eastAsia="MS Mincho" w:hAnsi="Arial" w:cs="Arial"/>
          <w:b/>
          <w:bCs/>
          <w:sz w:val="24"/>
          <w:szCs w:val="20"/>
          <w:lang w:val="en-GB"/>
        </w:rPr>
        <w:t>2</w:t>
      </w:r>
      <w:r w:rsidR="006B7010" w:rsidRPr="005B7F0E">
        <w:rPr>
          <w:rFonts w:ascii="Arial" w:eastAsia="MS Mincho" w:hAnsi="Arial" w:cs="Arial"/>
          <w:b/>
          <w:bCs/>
          <w:sz w:val="24"/>
          <w:szCs w:val="20"/>
          <w:lang w:val="en-GB"/>
        </w:rPr>
        <w:t>.</w:t>
      </w:r>
      <w:r w:rsidR="005B7F0E" w:rsidRPr="005B7F0E">
        <w:rPr>
          <w:rFonts w:ascii="Arial" w:eastAsia="MS Mincho" w:hAnsi="Arial" w:cs="Arial"/>
          <w:b/>
          <w:bCs/>
          <w:sz w:val="24"/>
          <w:szCs w:val="20"/>
          <w:lang w:val="en-GB"/>
        </w:rPr>
        <w:t>3</w:t>
      </w:r>
    </w:p>
    <w:p w14:paraId="266D763D" w14:textId="77777777" w:rsidR="00841BCD" w:rsidRPr="00841BCD" w:rsidRDefault="00841BCD" w:rsidP="00841BCD">
      <w:pPr>
        <w:tabs>
          <w:tab w:val="left" w:pos="1985"/>
        </w:tabs>
        <w:rPr>
          <w:rFonts w:ascii="Arial" w:eastAsia="Calibri" w:hAnsi="Arial" w:cs="Arial"/>
          <w:b/>
          <w:bCs/>
          <w:sz w:val="24"/>
          <w:lang w:val="en-GB"/>
        </w:rPr>
      </w:pPr>
      <w:r w:rsidRPr="006D4432">
        <w:rPr>
          <w:rFonts w:ascii="Arial" w:eastAsia="Calibri" w:hAnsi="Arial" w:cs="Arial"/>
          <w:b/>
          <w:bCs/>
          <w:sz w:val="24"/>
          <w:lang w:val="en-GB"/>
        </w:rPr>
        <w:t>Document for:</w:t>
      </w:r>
      <w:r w:rsidRPr="006D4432">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34416CC" w14:textId="77777777" w:rsidR="005B7F0E" w:rsidRPr="006B382F" w:rsidRDefault="005B7F0E" w:rsidP="005B7F0E">
      <w:pPr>
        <w:pStyle w:val="paragraph"/>
        <w:spacing w:before="0" w:beforeAutospacing="0" w:after="0" w:afterAutospacing="0"/>
        <w:textAlignment w:val="baseline"/>
        <w:rPr>
          <w:rFonts w:ascii="Segoe UI" w:hAnsi="Segoe UI" w:cs="Segoe UI"/>
          <w:sz w:val="18"/>
          <w:szCs w:val="18"/>
        </w:rPr>
      </w:pPr>
      <w:r w:rsidRPr="006B382F">
        <w:rPr>
          <w:rStyle w:val="normaltextrun"/>
          <w:sz w:val="20"/>
          <w:szCs w:val="20"/>
        </w:rPr>
        <w:t>In last meeting RAN4#99, RAN4 had the initial discussion related to the WI LTE_NR_DC_enh2-Core in [</w:t>
      </w:r>
      <w:r w:rsidRPr="006B382F">
        <w:rPr>
          <w:rStyle w:val="normaltextrun"/>
          <w:sz w:val="20"/>
          <w:szCs w:val="20"/>
          <w:shd w:val="clear" w:color="auto" w:fill="FFFF00"/>
        </w:rPr>
        <w:t>1</w:t>
      </w:r>
      <w:r w:rsidRPr="006B382F">
        <w:rPr>
          <w:rStyle w:val="normaltextrun"/>
          <w:sz w:val="20"/>
          <w:szCs w:val="20"/>
        </w:rPr>
        <w:t>]. The WI includes 2 objectives:</w:t>
      </w:r>
      <w:r w:rsidRPr="006B382F">
        <w:rPr>
          <w:rStyle w:val="eop"/>
          <w:sz w:val="20"/>
          <w:szCs w:val="20"/>
        </w:rPr>
        <w:t> </w:t>
      </w:r>
    </w:p>
    <w:p w14:paraId="662B368C" w14:textId="77777777" w:rsidR="005B7F0E" w:rsidRPr="006B382F" w:rsidRDefault="005B7F0E" w:rsidP="005B7F0E">
      <w:pPr>
        <w:pStyle w:val="paragraph"/>
        <w:numPr>
          <w:ilvl w:val="0"/>
          <w:numId w:val="28"/>
        </w:numPr>
        <w:spacing w:before="0" w:beforeAutospacing="0" w:after="0" w:afterAutospacing="0"/>
        <w:ind w:left="360" w:firstLine="0"/>
        <w:jc w:val="both"/>
        <w:textAlignment w:val="baseline"/>
        <w:rPr>
          <w:sz w:val="20"/>
          <w:szCs w:val="20"/>
        </w:rPr>
      </w:pPr>
      <w:r w:rsidRPr="006B382F">
        <w:rPr>
          <w:rStyle w:val="normaltextrun"/>
          <w:sz w:val="20"/>
          <w:szCs w:val="20"/>
          <w:lang w:val="en-US"/>
        </w:rPr>
        <w:t>Support efficient activation/de-activation mechanism for one SCG and </w:t>
      </w:r>
      <w:proofErr w:type="spellStart"/>
      <w:r w:rsidRPr="006B382F">
        <w:rPr>
          <w:rStyle w:val="normaltextrun"/>
          <w:sz w:val="20"/>
          <w:szCs w:val="20"/>
          <w:lang w:val="en-US"/>
        </w:rPr>
        <w:t>SCells</w:t>
      </w:r>
      <w:proofErr w:type="spellEnd"/>
      <w:r w:rsidRPr="006B382F">
        <w:rPr>
          <w:rStyle w:val="normaltextrun"/>
          <w:sz w:val="20"/>
          <w:szCs w:val="20"/>
          <w:lang w:val="en-US"/>
        </w:rPr>
        <w:t> </w:t>
      </w:r>
      <w:r w:rsidRPr="006B382F">
        <w:rPr>
          <w:rStyle w:val="eop"/>
          <w:sz w:val="20"/>
          <w:szCs w:val="20"/>
        </w:rPr>
        <w:t> </w:t>
      </w:r>
    </w:p>
    <w:p w14:paraId="22D879AC" w14:textId="77777777" w:rsidR="005B7F0E" w:rsidRPr="006B382F" w:rsidRDefault="005B7F0E" w:rsidP="005B7F0E">
      <w:pPr>
        <w:pStyle w:val="paragraph"/>
        <w:numPr>
          <w:ilvl w:val="0"/>
          <w:numId w:val="29"/>
        </w:numPr>
        <w:spacing w:before="0" w:beforeAutospacing="0" w:after="0" w:afterAutospacing="0"/>
        <w:ind w:left="1080" w:firstLine="0"/>
        <w:jc w:val="both"/>
        <w:textAlignment w:val="baseline"/>
        <w:rPr>
          <w:sz w:val="20"/>
          <w:szCs w:val="20"/>
        </w:rPr>
      </w:pPr>
      <w:r w:rsidRPr="006B382F">
        <w:rPr>
          <w:rStyle w:val="normaltextrun"/>
          <w:sz w:val="20"/>
          <w:szCs w:val="20"/>
          <w:lang w:val="en-US"/>
        </w:rPr>
        <w:t>Support for one SCG  applies to (NG)EN-DC, and NR-DC [RAN2, RAN3, </w:t>
      </w:r>
      <w:r w:rsidRPr="006B382F">
        <w:rPr>
          <w:rStyle w:val="normaltextrun"/>
          <w:sz w:val="20"/>
          <w:szCs w:val="20"/>
          <w:shd w:val="clear" w:color="auto" w:fill="00FFFF"/>
          <w:lang w:val="en-US"/>
        </w:rPr>
        <w:t>RAN4</w:t>
      </w:r>
      <w:r w:rsidRPr="006B382F">
        <w:rPr>
          <w:rStyle w:val="normaltextrun"/>
          <w:sz w:val="20"/>
          <w:szCs w:val="20"/>
          <w:lang w:val="en-US"/>
        </w:rPr>
        <w:t>]</w:t>
      </w:r>
      <w:r w:rsidRPr="006B382F">
        <w:rPr>
          <w:rStyle w:val="eop"/>
          <w:sz w:val="20"/>
          <w:szCs w:val="20"/>
        </w:rPr>
        <w:t> </w:t>
      </w:r>
    </w:p>
    <w:p w14:paraId="65C079AC" w14:textId="77777777" w:rsidR="005B7F0E" w:rsidRPr="006B382F" w:rsidRDefault="005B7F0E" w:rsidP="005B7F0E">
      <w:pPr>
        <w:pStyle w:val="paragraph"/>
        <w:numPr>
          <w:ilvl w:val="0"/>
          <w:numId w:val="29"/>
        </w:numPr>
        <w:spacing w:before="0" w:beforeAutospacing="0" w:after="0" w:afterAutospacing="0"/>
        <w:ind w:left="1080" w:firstLine="0"/>
        <w:jc w:val="both"/>
        <w:textAlignment w:val="baseline"/>
        <w:rPr>
          <w:sz w:val="20"/>
          <w:szCs w:val="20"/>
        </w:rPr>
      </w:pPr>
      <w:r w:rsidRPr="006B382F">
        <w:rPr>
          <w:rStyle w:val="normaltextrun"/>
          <w:sz w:val="20"/>
          <w:szCs w:val="20"/>
          <w:lang w:val="en-US"/>
        </w:rPr>
        <w:t>Support for </w:t>
      </w:r>
      <w:proofErr w:type="spellStart"/>
      <w:r w:rsidRPr="006B382F">
        <w:rPr>
          <w:rStyle w:val="normaltextrun"/>
          <w:sz w:val="20"/>
          <w:szCs w:val="20"/>
          <w:lang w:val="en-US"/>
        </w:rPr>
        <w:t>SCells</w:t>
      </w:r>
      <w:proofErr w:type="spellEnd"/>
      <w:r w:rsidRPr="006B382F">
        <w:rPr>
          <w:rStyle w:val="normaltextrun"/>
          <w:sz w:val="20"/>
          <w:szCs w:val="20"/>
          <w:lang w:val="en-US"/>
        </w:rPr>
        <w:t> applies to NR CA, based on RAN1 leading mechanisms [RAN1, RAN2, </w:t>
      </w:r>
      <w:r w:rsidRPr="006B382F">
        <w:rPr>
          <w:rStyle w:val="normaltextrun"/>
          <w:sz w:val="20"/>
          <w:szCs w:val="20"/>
          <w:shd w:val="clear" w:color="auto" w:fill="00FFFF"/>
          <w:lang w:val="en-US"/>
        </w:rPr>
        <w:t>RAN4</w:t>
      </w:r>
      <w:r w:rsidRPr="006B382F">
        <w:rPr>
          <w:rStyle w:val="normaltextrun"/>
          <w:sz w:val="20"/>
          <w:szCs w:val="20"/>
          <w:lang w:val="en-US"/>
        </w:rPr>
        <w:t>]</w:t>
      </w:r>
      <w:r w:rsidRPr="006B382F">
        <w:rPr>
          <w:rStyle w:val="eop"/>
          <w:sz w:val="20"/>
          <w:szCs w:val="20"/>
        </w:rPr>
        <w:t> </w:t>
      </w:r>
    </w:p>
    <w:p w14:paraId="2408B28C" w14:textId="77777777" w:rsidR="005B7F0E" w:rsidRPr="006B382F" w:rsidRDefault="005B7F0E" w:rsidP="005B7F0E">
      <w:pPr>
        <w:pStyle w:val="paragraph"/>
        <w:numPr>
          <w:ilvl w:val="0"/>
          <w:numId w:val="29"/>
        </w:numPr>
        <w:spacing w:before="0" w:beforeAutospacing="0" w:after="0" w:afterAutospacing="0"/>
        <w:ind w:left="1080" w:firstLine="0"/>
        <w:jc w:val="both"/>
        <w:textAlignment w:val="baseline"/>
        <w:rPr>
          <w:sz w:val="20"/>
          <w:szCs w:val="20"/>
        </w:rPr>
      </w:pPr>
      <w:r w:rsidRPr="006B382F">
        <w:rPr>
          <w:rStyle w:val="normaltextrun"/>
          <w:sz w:val="20"/>
          <w:szCs w:val="20"/>
          <w:lang w:val="en-US"/>
        </w:rPr>
        <w:t>This objective applies to FR1 and FR2</w:t>
      </w:r>
      <w:r w:rsidRPr="006B382F">
        <w:rPr>
          <w:rStyle w:val="eop"/>
          <w:sz w:val="20"/>
          <w:szCs w:val="20"/>
        </w:rPr>
        <w:t> </w:t>
      </w:r>
    </w:p>
    <w:p w14:paraId="7CB67062" w14:textId="77777777" w:rsidR="005B7F0E" w:rsidRPr="006B382F" w:rsidRDefault="005B7F0E" w:rsidP="005B7F0E">
      <w:pPr>
        <w:pStyle w:val="paragraph"/>
        <w:spacing w:before="0" w:beforeAutospacing="0" w:after="0" w:afterAutospacing="0"/>
        <w:textAlignment w:val="baseline"/>
        <w:rPr>
          <w:rFonts w:ascii="Segoe UI" w:hAnsi="Segoe UI" w:cs="Segoe UI"/>
          <w:sz w:val="18"/>
          <w:szCs w:val="18"/>
        </w:rPr>
      </w:pPr>
      <w:r w:rsidRPr="006B382F">
        <w:rPr>
          <w:rStyle w:val="eop"/>
          <w:sz w:val="20"/>
          <w:szCs w:val="20"/>
        </w:rPr>
        <w:t> </w:t>
      </w:r>
    </w:p>
    <w:p w14:paraId="7E026366" w14:textId="77777777" w:rsidR="005B7F0E" w:rsidRPr="006B382F" w:rsidRDefault="005B7F0E" w:rsidP="005B7F0E">
      <w:pPr>
        <w:pStyle w:val="paragraph"/>
        <w:numPr>
          <w:ilvl w:val="0"/>
          <w:numId w:val="30"/>
        </w:numPr>
        <w:spacing w:before="0" w:beforeAutospacing="0" w:after="0" w:afterAutospacing="0"/>
        <w:ind w:left="360" w:firstLine="0"/>
        <w:jc w:val="both"/>
        <w:textAlignment w:val="baseline"/>
        <w:rPr>
          <w:sz w:val="20"/>
          <w:szCs w:val="20"/>
        </w:rPr>
      </w:pPr>
      <w:r w:rsidRPr="006B382F">
        <w:rPr>
          <w:rStyle w:val="normaltextrun"/>
          <w:sz w:val="20"/>
          <w:szCs w:val="20"/>
          <w:shd w:val="clear" w:color="auto" w:fill="FFFF00"/>
          <w:lang w:val="en-US"/>
        </w:rPr>
        <w:t>Support of conditional </w:t>
      </w:r>
      <w:proofErr w:type="spellStart"/>
      <w:r w:rsidRPr="006B382F">
        <w:rPr>
          <w:rStyle w:val="normaltextrun"/>
          <w:sz w:val="20"/>
          <w:szCs w:val="20"/>
          <w:shd w:val="clear" w:color="auto" w:fill="FFFF00"/>
          <w:lang w:val="en-US"/>
        </w:rPr>
        <w:t>PSCell</w:t>
      </w:r>
      <w:proofErr w:type="spellEnd"/>
      <w:r w:rsidRPr="006B382F">
        <w:rPr>
          <w:rStyle w:val="normaltextrun"/>
          <w:sz w:val="20"/>
          <w:szCs w:val="20"/>
          <w:shd w:val="clear" w:color="auto" w:fill="FFFF00"/>
          <w:lang w:val="en-US"/>
        </w:rPr>
        <w:t> change/addition</w:t>
      </w:r>
      <w:r w:rsidRPr="006B382F">
        <w:rPr>
          <w:rStyle w:val="normaltextrun"/>
          <w:sz w:val="20"/>
          <w:szCs w:val="20"/>
          <w:lang w:val="en-US"/>
        </w:rPr>
        <w:t> [RAN2,RAN3, </w:t>
      </w:r>
      <w:r w:rsidRPr="006B382F">
        <w:rPr>
          <w:rStyle w:val="normaltextrun"/>
          <w:sz w:val="20"/>
          <w:szCs w:val="20"/>
          <w:shd w:val="clear" w:color="auto" w:fill="00FFFF"/>
          <w:lang w:val="en-US"/>
        </w:rPr>
        <w:t>RAN4</w:t>
      </w:r>
      <w:r w:rsidRPr="006B382F">
        <w:rPr>
          <w:rStyle w:val="normaltextrun"/>
          <w:sz w:val="20"/>
          <w:szCs w:val="20"/>
          <w:lang w:val="en-US"/>
        </w:rPr>
        <w:t>]</w:t>
      </w:r>
      <w:r w:rsidRPr="006B382F">
        <w:rPr>
          <w:rStyle w:val="eop"/>
          <w:sz w:val="20"/>
          <w:szCs w:val="20"/>
        </w:rPr>
        <w:t> </w:t>
      </w:r>
    </w:p>
    <w:p w14:paraId="3CAC2D60" w14:textId="77777777" w:rsidR="005B7F0E" w:rsidRPr="006B382F" w:rsidRDefault="005B7F0E" w:rsidP="005B7F0E">
      <w:pPr>
        <w:pStyle w:val="paragraph"/>
        <w:numPr>
          <w:ilvl w:val="0"/>
          <w:numId w:val="31"/>
        </w:numPr>
        <w:spacing w:before="0" w:beforeAutospacing="0" w:after="0" w:afterAutospacing="0"/>
        <w:ind w:left="1080" w:firstLine="0"/>
        <w:jc w:val="both"/>
        <w:textAlignment w:val="baseline"/>
        <w:rPr>
          <w:sz w:val="20"/>
          <w:szCs w:val="20"/>
        </w:rPr>
      </w:pPr>
      <w:r w:rsidRPr="006B382F">
        <w:rPr>
          <w:rStyle w:val="normaltextrun"/>
          <w:sz w:val="20"/>
          <w:szCs w:val="20"/>
          <w:lang w:val="en-US"/>
        </w:rPr>
        <w:t>support scenarios which are not addressed in Rel-16 NR mobility WI</w:t>
      </w:r>
      <w:r w:rsidRPr="006B382F">
        <w:rPr>
          <w:rStyle w:val="eop"/>
          <w:sz w:val="20"/>
          <w:szCs w:val="20"/>
        </w:rPr>
        <w:t> </w:t>
      </w:r>
    </w:p>
    <w:p w14:paraId="34559651" w14:textId="77777777" w:rsidR="005B7F0E" w:rsidRPr="006B382F" w:rsidRDefault="005B7F0E" w:rsidP="005B7F0E">
      <w:pPr>
        <w:pStyle w:val="paragraph"/>
        <w:spacing w:before="0" w:beforeAutospacing="0" w:after="0" w:afterAutospacing="0"/>
        <w:textAlignment w:val="baseline"/>
        <w:rPr>
          <w:rFonts w:ascii="Segoe UI" w:hAnsi="Segoe UI" w:cs="Segoe UI"/>
          <w:sz w:val="18"/>
          <w:szCs w:val="18"/>
        </w:rPr>
      </w:pPr>
      <w:r w:rsidRPr="006B382F">
        <w:rPr>
          <w:rStyle w:val="eop"/>
          <w:sz w:val="20"/>
          <w:szCs w:val="20"/>
        </w:rPr>
        <w:t> </w:t>
      </w:r>
    </w:p>
    <w:p w14:paraId="52745E1E" w14:textId="77777777" w:rsidR="005B7F0E" w:rsidRDefault="005B7F0E" w:rsidP="005B7F0E">
      <w:pPr>
        <w:pStyle w:val="paragraph"/>
        <w:spacing w:before="0" w:beforeAutospacing="0" w:after="0" w:afterAutospacing="0"/>
        <w:textAlignment w:val="baseline"/>
        <w:rPr>
          <w:rFonts w:ascii="Segoe UI" w:hAnsi="Segoe UI" w:cs="Segoe UI"/>
          <w:sz w:val="18"/>
          <w:szCs w:val="18"/>
        </w:rPr>
      </w:pPr>
      <w:r w:rsidRPr="006B382F">
        <w:rPr>
          <w:rStyle w:val="normaltextrun"/>
          <w:sz w:val="20"/>
          <w:szCs w:val="20"/>
          <w:lang w:val="en-US"/>
        </w:rPr>
        <w:t>And the additional RAN4 part of the WI includes:</w:t>
      </w:r>
      <w:r>
        <w:rPr>
          <w:rStyle w:val="eop"/>
          <w:sz w:val="20"/>
          <w:szCs w:val="20"/>
        </w:rPr>
        <w:t> </w:t>
      </w:r>
    </w:p>
    <w:p w14:paraId="554B83AF" w14:textId="77777777" w:rsidR="005B7F0E" w:rsidRDefault="005B7F0E" w:rsidP="005B7F0E">
      <w:pPr>
        <w:pStyle w:val="paragraph"/>
        <w:spacing w:before="0" w:beforeAutospacing="0" w:after="0" w:afterAutospacing="0"/>
        <w:ind w:left="720"/>
        <w:textAlignment w:val="baseline"/>
        <w:rPr>
          <w:rFonts w:ascii="Segoe UI" w:hAnsi="Segoe UI" w:cs="Segoe UI"/>
          <w:sz w:val="18"/>
          <w:szCs w:val="18"/>
        </w:rPr>
      </w:pPr>
      <w:r>
        <w:rPr>
          <w:rStyle w:val="normaltextrun"/>
          <w:sz w:val="20"/>
          <w:szCs w:val="20"/>
          <w:lang w:val="en-US"/>
        </w:rPr>
        <w:t>Specify RRM performance requirement for efficient (de)activation on SCG and </w:t>
      </w:r>
      <w:proofErr w:type="spellStart"/>
      <w:r>
        <w:rPr>
          <w:rStyle w:val="normaltextrun"/>
          <w:sz w:val="20"/>
          <w:szCs w:val="20"/>
          <w:lang w:val="en-US"/>
        </w:rPr>
        <w:t>SCells</w:t>
      </w:r>
      <w:proofErr w:type="spellEnd"/>
      <w:r>
        <w:rPr>
          <w:rStyle w:val="normaltextrun"/>
          <w:sz w:val="20"/>
          <w:szCs w:val="20"/>
          <w:lang w:val="en-US"/>
        </w:rPr>
        <w:t>.</w:t>
      </w:r>
      <w:r>
        <w:rPr>
          <w:rStyle w:val="eop"/>
          <w:sz w:val="20"/>
          <w:szCs w:val="20"/>
        </w:rPr>
        <w:t> </w:t>
      </w:r>
    </w:p>
    <w:p w14:paraId="4D07A1CC" w14:textId="77777777" w:rsidR="005B7F0E" w:rsidRDefault="005B7F0E" w:rsidP="005B7F0E">
      <w:pPr>
        <w:pStyle w:val="paragraph"/>
        <w:spacing w:before="0" w:beforeAutospacing="0" w:after="0" w:afterAutospacing="0"/>
        <w:ind w:left="720"/>
        <w:textAlignment w:val="baseline"/>
        <w:rPr>
          <w:rFonts w:ascii="Segoe UI" w:hAnsi="Segoe UI" w:cs="Segoe UI"/>
          <w:sz w:val="18"/>
          <w:szCs w:val="18"/>
        </w:rPr>
      </w:pPr>
      <w:r>
        <w:rPr>
          <w:rStyle w:val="normaltextrun"/>
          <w:sz w:val="20"/>
          <w:szCs w:val="20"/>
          <w:lang w:val="en-US"/>
        </w:rPr>
        <w:t>Specify RRM performance requirement for conditional </w:t>
      </w:r>
      <w:proofErr w:type="spellStart"/>
      <w:r>
        <w:rPr>
          <w:rStyle w:val="normaltextrun"/>
          <w:sz w:val="20"/>
          <w:szCs w:val="20"/>
          <w:lang w:val="en-US"/>
        </w:rPr>
        <w:t>PSCell</w:t>
      </w:r>
      <w:proofErr w:type="spellEnd"/>
      <w:r>
        <w:rPr>
          <w:rStyle w:val="normaltextrun"/>
          <w:sz w:val="20"/>
          <w:szCs w:val="20"/>
          <w:lang w:val="en-US"/>
        </w:rPr>
        <w:t> change/addition.</w:t>
      </w:r>
      <w:r>
        <w:rPr>
          <w:rStyle w:val="eop"/>
          <w:sz w:val="20"/>
          <w:szCs w:val="20"/>
        </w:rPr>
        <w:t> </w:t>
      </w:r>
    </w:p>
    <w:p w14:paraId="38D6E50E" w14:textId="77777777" w:rsidR="005B7F0E" w:rsidRDefault="005B7F0E" w:rsidP="005B7F0E">
      <w:pPr>
        <w:pStyle w:val="paragraph"/>
        <w:spacing w:before="0" w:beforeAutospacing="0" w:after="0" w:afterAutospacing="0"/>
        <w:ind w:right="-30"/>
        <w:textAlignment w:val="baseline"/>
        <w:rPr>
          <w:rFonts w:ascii="Segoe UI" w:hAnsi="Segoe UI" w:cs="Segoe UI"/>
          <w:sz w:val="18"/>
          <w:szCs w:val="18"/>
        </w:rPr>
      </w:pPr>
      <w:r>
        <w:rPr>
          <w:rStyle w:val="eop"/>
          <w:sz w:val="20"/>
          <w:szCs w:val="20"/>
        </w:rPr>
        <w:t> </w:t>
      </w:r>
    </w:p>
    <w:p w14:paraId="09D67878" w14:textId="0CC3301E" w:rsidR="00064500" w:rsidRDefault="0060104C" w:rsidP="005B7F0E">
      <w:pPr>
        <w:pStyle w:val="paragraph"/>
        <w:spacing w:before="0" w:beforeAutospacing="0" w:after="0" w:afterAutospacing="0"/>
        <w:ind w:right="-30"/>
        <w:textAlignment w:val="baseline"/>
        <w:rPr>
          <w:rFonts w:eastAsia="Calibri"/>
          <w:szCs w:val="20"/>
        </w:rPr>
      </w:pPr>
      <w:r>
        <w:rPr>
          <w:rStyle w:val="normaltextrun"/>
          <w:sz w:val="20"/>
          <w:szCs w:val="20"/>
        </w:rPr>
        <w:t xml:space="preserve">Based on the discussion in last meeting a WF was agreed in [2]. </w:t>
      </w:r>
      <w:r w:rsidR="005B7F0E">
        <w:rPr>
          <w:rStyle w:val="normaltextrun"/>
          <w:sz w:val="20"/>
          <w:szCs w:val="20"/>
        </w:rPr>
        <w:t xml:space="preserve">In this contribution we discuss UE requirements related to objective 1 and the aspect of </w:t>
      </w:r>
      <w:r w:rsidR="005B7F0E">
        <w:rPr>
          <w:rStyle w:val="normaltextrun"/>
          <w:sz w:val="20"/>
          <w:szCs w:val="20"/>
          <w:lang w:val="en-US"/>
        </w:rPr>
        <w:t>support efficient activation/de-activation mechanism for one SCG.</w:t>
      </w:r>
      <w:r w:rsidR="002C4A07">
        <w:rPr>
          <w:rFonts w:eastAsia="Calibri"/>
          <w:szCs w:val="20"/>
        </w:rPr>
        <w:t xml:space="preserve"> </w:t>
      </w:r>
    </w:p>
    <w:p w14:paraId="51A42C08" w14:textId="77777777" w:rsidR="00CD5A78" w:rsidRPr="000132EC" w:rsidRDefault="00CD5A78" w:rsidP="00841BCD">
      <w:pPr>
        <w:ind w:right="-22"/>
        <w:rPr>
          <w:rFonts w:eastAsia="Calibri" w:cs="Times New Roman"/>
          <w:szCs w:val="20"/>
          <w:lang w:val="en-GB"/>
        </w:rPr>
      </w:pPr>
    </w:p>
    <w:p w14:paraId="2FF6A72B" w14:textId="75241995" w:rsidR="003B659E" w:rsidRDefault="003B659E" w:rsidP="00AE56B1">
      <w:pPr>
        <w:pStyle w:val="RAN4H1"/>
      </w:pPr>
      <w:r w:rsidRPr="00AE56B1">
        <w:t>Discussion</w:t>
      </w:r>
    </w:p>
    <w:p w14:paraId="04F67147" w14:textId="1FCFC51E" w:rsidR="005B7F0E" w:rsidRPr="005B7F0E" w:rsidRDefault="005B7F0E" w:rsidP="005B7F0E">
      <w:pPr>
        <w:rPr>
          <w:lang w:val="en-GB"/>
        </w:rPr>
      </w:pPr>
      <w:r>
        <w:rPr>
          <w:lang w:val="en-GB"/>
        </w:rPr>
        <w:t xml:space="preserve">Initially we recap our view on the activation and deactivation of an SCG and where we would see the purpose and gain. Following </w:t>
      </w:r>
      <w:r w:rsidR="00715622">
        <w:rPr>
          <w:lang w:val="en-GB"/>
        </w:rPr>
        <w:t xml:space="preserve">that, </w:t>
      </w:r>
      <w:r>
        <w:rPr>
          <w:lang w:val="en-GB"/>
        </w:rPr>
        <w:t xml:space="preserve">we list our input to the discussion related to the actual UE requirements. </w:t>
      </w:r>
    </w:p>
    <w:p w14:paraId="3252582C" w14:textId="7F6B36B7" w:rsidR="007937F8" w:rsidRDefault="005B7F0E" w:rsidP="007937F8">
      <w:pPr>
        <w:pStyle w:val="RAN4H2"/>
        <w:rPr>
          <w:rFonts w:eastAsia="Calibri"/>
          <w:lang w:val="en-GB"/>
        </w:rPr>
      </w:pPr>
      <w:r>
        <w:rPr>
          <w:bCs/>
        </w:rPr>
        <w:t>A</w:t>
      </w:r>
      <w:r w:rsidRPr="006E4FCE">
        <w:rPr>
          <w:bCs/>
        </w:rPr>
        <w:t>ctivation</w:t>
      </w:r>
      <w:r>
        <w:rPr>
          <w:bCs/>
        </w:rPr>
        <w:t xml:space="preserve"> and </w:t>
      </w:r>
      <w:r w:rsidRPr="006E4FCE">
        <w:rPr>
          <w:bCs/>
        </w:rPr>
        <w:t xml:space="preserve">de-activation </w:t>
      </w:r>
      <w:r>
        <w:rPr>
          <w:bCs/>
        </w:rPr>
        <w:t xml:space="preserve">of one </w:t>
      </w:r>
      <w:r w:rsidRPr="00621C66">
        <w:rPr>
          <w:bCs/>
        </w:rPr>
        <w:t>SCG</w:t>
      </w:r>
    </w:p>
    <w:p w14:paraId="6304E079" w14:textId="0015797A" w:rsidR="005754B5" w:rsidRDefault="005B7F0E" w:rsidP="006F52F0">
      <w:pPr>
        <w:ind w:right="-22"/>
        <w:rPr>
          <w:rFonts w:eastAsia="Calibri" w:cs="Times New Roman"/>
          <w:szCs w:val="20"/>
          <w:lang w:val="en-GB"/>
        </w:rPr>
      </w:pPr>
      <w:r>
        <w:rPr>
          <w:rFonts w:eastAsia="Calibri" w:cs="Times New Roman"/>
          <w:szCs w:val="20"/>
          <w:lang w:val="en-GB"/>
        </w:rPr>
        <w:t xml:space="preserve">In LTE and NR Rel-15 and Rel-16, once the </w:t>
      </w:r>
      <w:proofErr w:type="spellStart"/>
      <w:r>
        <w:rPr>
          <w:rFonts w:eastAsia="Calibri" w:cs="Times New Roman"/>
          <w:szCs w:val="20"/>
          <w:lang w:val="en-GB"/>
        </w:rPr>
        <w:t>PSCell</w:t>
      </w:r>
      <w:proofErr w:type="spellEnd"/>
      <w:r>
        <w:rPr>
          <w:rFonts w:eastAsia="Calibri" w:cs="Times New Roman"/>
          <w:szCs w:val="20"/>
          <w:lang w:val="en-GB"/>
        </w:rPr>
        <w:t xml:space="preserve"> is configured it is always activated. Hence, </w:t>
      </w:r>
      <w:r w:rsidR="00050987">
        <w:rPr>
          <w:rFonts w:eastAsia="Calibri" w:cs="Times New Roman"/>
          <w:szCs w:val="20"/>
          <w:lang w:val="en-GB"/>
        </w:rPr>
        <w:t>it is activated upon configuration</w:t>
      </w:r>
      <w:r w:rsidR="008928C3">
        <w:rPr>
          <w:rFonts w:eastAsia="Calibri" w:cs="Times New Roman"/>
          <w:szCs w:val="20"/>
          <w:lang w:val="en-GB"/>
        </w:rPr>
        <w:t xml:space="preserve"> and </w:t>
      </w:r>
      <w:r>
        <w:rPr>
          <w:rFonts w:eastAsia="Calibri" w:cs="Times New Roman"/>
          <w:szCs w:val="20"/>
          <w:lang w:val="en-GB"/>
        </w:rPr>
        <w:t xml:space="preserve">there is no concept of having a deactivated </w:t>
      </w:r>
      <w:proofErr w:type="spellStart"/>
      <w:r>
        <w:rPr>
          <w:rFonts w:eastAsia="Calibri" w:cs="Times New Roman"/>
          <w:szCs w:val="20"/>
          <w:lang w:val="en-GB"/>
        </w:rPr>
        <w:t>PSCell</w:t>
      </w:r>
      <w:proofErr w:type="spellEnd"/>
      <w:r>
        <w:rPr>
          <w:rFonts w:eastAsia="Calibri" w:cs="Times New Roman"/>
          <w:szCs w:val="20"/>
          <w:lang w:val="en-GB"/>
        </w:rPr>
        <w:t xml:space="preserve">. There is the concept of conditional </w:t>
      </w:r>
      <w:proofErr w:type="spellStart"/>
      <w:r>
        <w:rPr>
          <w:rFonts w:eastAsia="Calibri" w:cs="Times New Roman"/>
          <w:szCs w:val="20"/>
          <w:lang w:val="en-GB"/>
        </w:rPr>
        <w:t>PSCell</w:t>
      </w:r>
      <w:proofErr w:type="spellEnd"/>
      <w:r>
        <w:rPr>
          <w:rFonts w:eastAsia="Calibri" w:cs="Times New Roman"/>
          <w:szCs w:val="20"/>
          <w:lang w:val="en-GB"/>
        </w:rPr>
        <w:t xml:space="preserve"> change</w:t>
      </w:r>
      <w:r w:rsidR="008928C3">
        <w:rPr>
          <w:rFonts w:eastAsia="Calibri" w:cs="Times New Roman"/>
          <w:szCs w:val="20"/>
          <w:lang w:val="en-GB"/>
        </w:rPr>
        <w:t xml:space="preserve"> (CPC)</w:t>
      </w:r>
      <w:r>
        <w:rPr>
          <w:rFonts w:eastAsia="Calibri" w:cs="Times New Roman"/>
          <w:szCs w:val="20"/>
          <w:lang w:val="en-GB"/>
        </w:rPr>
        <w:t xml:space="preserve">, however, this is based on conditionally changing from one source </w:t>
      </w:r>
      <w:proofErr w:type="spellStart"/>
      <w:r>
        <w:rPr>
          <w:rFonts w:eastAsia="Calibri" w:cs="Times New Roman"/>
          <w:szCs w:val="20"/>
          <w:lang w:val="en-GB"/>
        </w:rPr>
        <w:t>PSCell</w:t>
      </w:r>
      <w:proofErr w:type="spellEnd"/>
      <w:r>
        <w:rPr>
          <w:rFonts w:eastAsia="Calibri" w:cs="Times New Roman"/>
          <w:szCs w:val="20"/>
          <w:lang w:val="en-GB"/>
        </w:rPr>
        <w:t xml:space="preserve"> to new target </w:t>
      </w:r>
      <w:proofErr w:type="spellStart"/>
      <w:r>
        <w:rPr>
          <w:rFonts w:eastAsia="Calibri" w:cs="Times New Roman"/>
          <w:szCs w:val="20"/>
          <w:lang w:val="en-GB"/>
        </w:rPr>
        <w:t>PSCell</w:t>
      </w:r>
      <w:proofErr w:type="spellEnd"/>
      <w:r>
        <w:rPr>
          <w:rFonts w:eastAsia="Calibri" w:cs="Times New Roman"/>
          <w:szCs w:val="20"/>
          <w:lang w:val="en-GB"/>
        </w:rPr>
        <w:t xml:space="preserve"> once the condition is fulfilled.</w:t>
      </w:r>
    </w:p>
    <w:p w14:paraId="74036AB0" w14:textId="251493C8" w:rsidR="00535856" w:rsidRDefault="005B7F0E" w:rsidP="006F52F0">
      <w:pPr>
        <w:ind w:right="-22"/>
        <w:rPr>
          <w:rFonts w:eastAsia="Calibri" w:cs="Times New Roman"/>
          <w:szCs w:val="20"/>
          <w:lang w:val="en-GB"/>
        </w:rPr>
      </w:pPr>
      <w:r>
        <w:rPr>
          <w:rFonts w:eastAsia="Calibri" w:cs="Times New Roman"/>
          <w:szCs w:val="20"/>
          <w:lang w:val="en-GB"/>
        </w:rPr>
        <w:t xml:space="preserve">RAN2 has now introduced that the </w:t>
      </w:r>
      <w:proofErr w:type="spellStart"/>
      <w:r>
        <w:rPr>
          <w:rFonts w:eastAsia="Calibri" w:cs="Times New Roman"/>
          <w:szCs w:val="20"/>
          <w:lang w:val="en-GB"/>
        </w:rPr>
        <w:t>PSCell</w:t>
      </w:r>
      <w:proofErr w:type="spellEnd"/>
      <w:r>
        <w:rPr>
          <w:rFonts w:eastAsia="Calibri" w:cs="Times New Roman"/>
          <w:szCs w:val="20"/>
          <w:lang w:val="en-GB"/>
        </w:rPr>
        <w:t xml:space="preserve"> (and SCG) can be deactivated. Hence, RAN4 need to define UE requirement for activation and deactivation of a </w:t>
      </w:r>
      <w:proofErr w:type="spellStart"/>
      <w:r>
        <w:rPr>
          <w:rFonts w:eastAsia="Calibri" w:cs="Times New Roman"/>
          <w:szCs w:val="20"/>
          <w:lang w:val="en-GB"/>
        </w:rPr>
        <w:t>PSCell</w:t>
      </w:r>
      <w:proofErr w:type="spellEnd"/>
      <w:r>
        <w:rPr>
          <w:rFonts w:eastAsia="Calibri" w:cs="Times New Roman"/>
          <w:szCs w:val="20"/>
          <w:lang w:val="en-GB"/>
        </w:rPr>
        <w:t xml:space="preserve"> and in general an SCG.</w:t>
      </w:r>
    </w:p>
    <w:p w14:paraId="21762C63" w14:textId="77777777" w:rsidR="005B7F0E" w:rsidRDefault="005B7F0E" w:rsidP="006F52F0">
      <w:pPr>
        <w:ind w:right="-22"/>
        <w:rPr>
          <w:rFonts w:eastAsia="Calibri" w:cs="Times New Roman"/>
          <w:szCs w:val="20"/>
          <w:lang w:val="en-GB"/>
        </w:rPr>
      </w:pPr>
    </w:p>
    <w:p w14:paraId="2D55CE9E" w14:textId="33413D66" w:rsidR="00BB64BE" w:rsidRDefault="006A6E75" w:rsidP="00BB64BE">
      <w:pPr>
        <w:pStyle w:val="RAN4H2"/>
        <w:rPr>
          <w:rFonts w:eastAsia="Calibri"/>
          <w:lang w:val="en-GB"/>
        </w:rPr>
      </w:pPr>
      <w:r>
        <w:rPr>
          <w:rFonts w:eastAsia="Calibri"/>
          <w:lang w:val="en-GB"/>
        </w:rPr>
        <w:t>Activated SCG</w:t>
      </w:r>
    </w:p>
    <w:p w14:paraId="277E8680" w14:textId="2F9C1D81" w:rsidR="005B39A5" w:rsidRDefault="006A6E75" w:rsidP="00202C59">
      <w:pPr>
        <w:ind w:right="-22"/>
        <w:rPr>
          <w:rFonts w:eastAsia="Calibri" w:cs="Times New Roman"/>
          <w:szCs w:val="20"/>
          <w:lang w:val="en-GB"/>
        </w:rPr>
      </w:pPr>
      <w:r>
        <w:rPr>
          <w:rFonts w:eastAsia="Calibri" w:cs="Times New Roman"/>
          <w:szCs w:val="20"/>
          <w:lang w:val="en-GB"/>
        </w:rPr>
        <w:t xml:space="preserve">An activated </w:t>
      </w:r>
      <w:proofErr w:type="spellStart"/>
      <w:r>
        <w:rPr>
          <w:rFonts w:eastAsia="Calibri" w:cs="Times New Roman"/>
          <w:szCs w:val="20"/>
          <w:lang w:val="en-GB"/>
        </w:rPr>
        <w:t>PSCell</w:t>
      </w:r>
      <w:proofErr w:type="spellEnd"/>
      <w:r>
        <w:rPr>
          <w:rFonts w:eastAsia="Calibri" w:cs="Times New Roman"/>
          <w:szCs w:val="20"/>
          <w:lang w:val="en-GB"/>
        </w:rPr>
        <w:t xml:space="preserve"> and SCG would operate as we know from legacy. Hence, there would be no need to introduce any new requirements related to the activated SCG and existing RAN4 requirements apply for the SCG </w:t>
      </w:r>
      <w:proofErr w:type="spellStart"/>
      <w:r>
        <w:rPr>
          <w:rFonts w:eastAsia="Calibri" w:cs="Times New Roman"/>
          <w:szCs w:val="20"/>
          <w:lang w:val="en-GB"/>
        </w:rPr>
        <w:t>PSCell</w:t>
      </w:r>
      <w:proofErr w:type="spellEnd"/>
      <w:r>
        <w:rPr>
          <w:rFonts w:eastAsia="Calibri" w:cs="Times New Roman"/>
          <w:szCs w:val="20"/>
          <w:lang w:val="en-GB"/>
        </w:rPr>
        <w:t xml:space="preserve"> and SCell(s).</w:t>
      </w:r>
    </w:p>
    <w:p w14:paraId="0A0C2084" w14:textId="2ACB555A" w:rsidR="006A6E75" w:rsidRDefault="006A6E75" w:rsidP="006A6E75">
      <w:pPr>
        <w:pStyle w:val="RAN4observation0"/>
      </w:pPr>
      <w:r>
        <w:t xml:space="preserve">Existing UE requirements for the </w:t>
      </w:r>
      <w:proofErr w:type="spellStart"/>
      <w:r>
        <w:t>PSCell</w:t>
      </w:r>
      <w:proofErr w:type="spellEnd"/>
      <w:r>
        <w:t xml:space="preserve"> and SCell(s) applies for the </w:t>
      </w:r>
      <w:r w:rsidR="006D2225">
        <w:t>activated</w:t>
      </w:r>
      <w:r w:rsidR="008A5FD8">
        <w:t xml:space="preserve"> </w:t>
      </w:r>
      <w:proofErr w:type="spellStart"/>
      <w:r>
        <w:t>PSCell</w:t>
      </w:r>
      <w:proofErr w:type="spellEnd"/>
      <w:r>
        <w:t xml:space="preserve"> and activated </w:t>
      </w:r>
      <w:r w:rsidR="006B382F">
        <w:t xml:space="preserve">and deactivated </w:t>
      </w:r>
      <w:r>
        <w:t>SCell(s) of an activated SCG.</w:t>
      </w:r>
    </w:p>
    <w:p w14:paraId="723A803D" w14:textId="2B5E2C52" w:rsidR="006A6E75" w:rsidRDefault="006A6E75" w:rsidP="00202C59">
      <w:pPr>
        <w:ind w:right="-22"/>
      </w:pPr>
      <w:r>
        <w:t xml:space="preserve">What needs to be defined in RAN4 are the UE requirements for the </w:t>
      </w:r>
      <w:proofErr w:type="spellStart"/>
      <w:r>
        <w:t>PSCell</w:t>
      </w:r>
      <w:proofErr w:type="spellEnd"/>
      <w:r>
        <w:t xml:space="preserve"> and </w:t>
      </w:r>
      <w:proofErr w:type="spellStart"/>
      <w:r>
        <w:t>SCells</w:t>
      </w:r>
      <w:proofErr w:type="spellEnd"/>
      <w:r>
        <w:t xml:space="preserve"> of a deactivated SCG.</w:t>
      </w:r>
    </w:p>
    <w:p w14:paraId="2EDACC65" w14:textId="34BBE948" w:rsidR="006A6E75" w:rsidRDefault="006A6E75" w:rsidP="006A6E75">
      <w:pPr>
        <w:pStyle w:val="RAN4H2"/>
        <w:rPr>
          <w:rFonts w:eastAsia="Calibri"/>
          <w:lang w:val="en-GB"/>
        </w:rPr>
      </w:pPr>
      <w:r>
        <w:rPr>
          <w:rFonts w:eastAsia="Calibri"/>
          <w:lang w:val="en-GB"/>
        </w:rPr>
        <w:lastRenderedPageBreak/>
        <w:t>Deactivated SCG</w:t>
      </w:r>
    </w:p>
    <w:p w14:paraId="087E1217" w14:textId="77777777" w:rsidR="006A6E75" w:rsidRDefault="006A6E75" w:rsidP="006A6E75">
      <w:pPr>
        <w:rPr>
          <w:rFonts w:eastAsiaTheme="minorEastAsia"/>
          <w:lang w:eastAsia="ja-JP"/>
        </w:rPr>
      </w:pPr>
      <w:r>
        <w:rPr>
          <w:rFonts w:eastAsiaTheme="minorEastAsia"/>
          <w:lang w:eastAsia="ja-JP"/>
        </w:rPr>
        <w:t xml:space="preserve">In an MR-DC type of deployment, one valid question is: </w:t>
      </w:r>
    </w:p>
    <w:p w14:paraId="6788BC44" w14:textId="7FAAE6DB" w:rsidR="006A6E75" w:rsidRDefault="006A6E75" w:rsidP="006A6E75">
      <w:pPr>
        <w:ind w:left="720"/>
        <w:rPr>
          <w:rFonts w:eastAsiaTheme="minorEastAsia"/>
          <w:lang w:eastAsia="ja-JP"/>
        </w:rPr>
      </w:pPr>
      <w:r>
        <w:rPr>
          <w:rFonts w:eastAsiaTheme="minorEastAsia"/>
          <w:lang w:eastAsia="ja-JP"/>
        </w:rPr>
        <w:t xml:space="preserve">What will happen to the SCG when the active data transmission (offloading) ends and the need for a SCG </w:t>
      </w:r>
      <w:r w:rsidR="006B382F">
        <w:rPr>
          <w:rFonts w:eastAsiaTheme="minorEastAsia"/>
          <w:lang w:eastAsia="ja-JP"/>
        </w:rPr>
        <w:t>is reduced</w:t>
      </w:r>
      <w:r>
        <w:rPr>
          <w:rFonts w:eastAsiaTheme="minorEastAsia"/>
          <w:lang w:eastAsia="ja-JP"/>
        </w:rPr>
        <w:t>?</w:t>
      </w:r>
    </w:p>
    <w:p w14:paraId="03AB7A96" w14:textId="2CAA75A6" w:rsidR="006A6E75" w:rsidRDefault="006A6E75" w:rsidP="006A6E75">
      <w:pPr>
        <w:rPr>
          <w:rFonts w:eastAsiaTheme="minorEastAsia"/>
          <w:lang w:eastAsia="ja-JP"/>
        </w:rPr>
      </w:pPr>
      <w:r>
        <w:rPr>
          <w:rFonts w:eastAsiaTheme="minorEastAsia"/>
          <w:lang w:eastAsia="ja-JP"/>
        </w:rPr>
        <w:t xml:space="preserve">The obvious answer to this question would be to release the SCG and revert back to single connection operation. The UE will keep the at least the primary leg (PCell) active as this would be needed for mobility anchoring (for example) or allowing lower-intensity traffic activity (e.g. keep alive messages). This would allow UE to stay connected to the network without the need for having both MCG and SCG active. Such an approach would be beneficial e.g. from UE power consumption point of </w:t>
      </w:r>
      <w:r w:rsidR="00D23FE5">
        <w:rPr>
          <w:rFonts w:eastAsiaTheme="minorEastAsia"/>
          <w:lang w:eastAsia="ja-JP"/>
        </w:rPr>
        <w:t>view but</w:t>
      </w:r>
      <w:r>
        <w:rPr>
          <w:rFonts w:eastAsiaTheme="minorEastAsia"/>
          <w:lang w:eastAsia="ja-JP"/>
        </w:rPr>
        <w:t xml:space="preserve"> may have negative impact on the TP latency.</w:t>
      </w:r>
    </w:p>
    <w:p w14:paraId="54B181E6" w14:textId="60C7DE4C" w:rsidR="006A6E75" w:rsidRDefault="006A6E75" w:rsidP="006A6E75">
      <w:pPr>
        <w:rPr>
          <w:rFonts w:eastAsiaTheme="minorEastAsia"/>
          <w:lang w:eastAsia="ja-JP"/>
        </w:rPr>
      </w:pPr>
      <w:r>
        <w:rPr>
          <w:rFonts w:eastAsiaTheme="minorEastAsia"/>
          <w:lang w:eastAsia="ja-JP"/>
        </w:rPr>
        <w:t xml:space="preserve">But this behavior may not always be desirable. E.g. in case the data traffic is </w:t>
      </w:r>
      <w:proofErr w:type="spellStart"/>
      <w:r>
        <w:rPr>
          <w:rFonts w:eastAsiaTheme="minorEastAsia"/>
          <w:lang w:eastAsia="ja-JP"/>
        </w:rPr>
        <w:t>bursty</w:t>
      </w:r>
      <w:proofErr w:type="spellEnd"/>
      <w:r>
        <w:rPr>
          <w:rFonts w:eastAsiaTheme="minorEastAsia"/>
          <w:lang w:eastAsia="ja-JP"/>
        </w:rPr>
        <w:t xml:space="preserve"> or the data activity is quite unpredictable. To support such scenarios and achieve fast offloading and support of high peak data rate, the 2</w:t>
      </w:r>
      <w:r>
        <w:rPr>
          <w:rFonts w:eastAsiaTheme="minorEastAsia"/>
          <w:vertAlign w:val="superscript"/>
          <w:lang w:eastAsia="ja-JP"/>
        </w:rPr>
        <w:t>nd</w:t>
      </w:r>
      <w:r>
        <w:rPr>
          <w:rFonts w:eastAsiaTheme="minorEastAsia"/>
          <w:lang w:eastAsia="ja-JP"/>
        </w:rPr>
        <w:t xml:space="preserve"> leg needs to be available with very short delay and hence, the SCG would in this case not be released. This approach will be beneficial from fast TP point of view but may have negative effect on the UE power consumption.</w:t>
      </w:r>
    </w:p>
    <w:p w14:paraId="3142146C" w14:textId="07A4BABB" w:rsidR="006A6E75" w:rsidRDefault="00D23FE5" w:rsidP="006A6E75">
      <w:pPr>
        <w:rPr>
          <w:rFonts w:eastAsiaTheme="minorEastAsia"/>
          <w:lang w:eastAsia="ja-JP"/>
        </w:rPr>
      </w:pPr>
      <w:r>
        <w:rPr>
          <w:rFonts w:eastAsiaTheme="minorEastAsia"/>
          <w:lang w:eastAsia="ja-JP"/>
        </w:rPr>
        <w:t xml:space="preserve">To balance these two options RAN2 has introduced that the SCG can be deactivated. The purpose </w:t>
      </w:r>
      <w:r w:rsidR="007D1ADB">
        <w:rPr>
          <w:rFonts w:eastAsiaTheme="minorEastAsia"/>
          <w:lang w:eastAsia="ja-JP"/>
        </w:rPr>
        <w:t>o</w:t>
      </w:r>
      <w:r>
        <w:rPr>
          <w:rFonts w:eastAsiaTheme="minorEastAsia"/>
          <w:lang w:eastAsia="ja-JP"/>
        </w:rPr>
        <w:t>f the deactivated SCG is that</w:t>
      </w:r>
      <w:r w:rsidR="006A6E75">
        <w:rPr>
          <w:rFonts w:eastAsiaTheme="minorEastAsia"/>
          <w:lang w:eastAsia="ja-JP"/>
        </w:rPr>
        <w:t xml:space="preserve">, when the data traffic is low, then there are benefit in allowing UE power saving opportunities, where the UE would benefit of </w:t>
      </w:r>
      <w:r w:rsidR="00CF0180">
        <w:rPr>
          <w:rFonts w:eastAsiaTheme="minorEastAsia"/>
          <w:lang w:eastAsia="ja-JP"/>
        </w:rPr>
        <w:t>no</w:t>
      </w:r>
      <w:r w:rsidR="006A6E75">
        <w:rPr>
          <w:rFonts w:eastAsiaTheme="minorEastAsia"/>
          <w:lang w:eastAsia="ja-JP"/>
        </w:rPr>
        <w:t xml:space="preserve"> PDCCH monitoring and any other activity </w:t>
      </w:r>
      <w:r w:rsidR="00BF646C">
        <w:rPr>
          <w:rFonts w:eastAsiaTheme="minorEastAsia"/>
          <w:lang w:eastAsia="ja-JP"/>
        </w:rPr>
        <w:t xml:space="preserve">not </w:t>
      </w:r>
      <w:r w:rsidR="006A6E75">
        <w:rPr>
          <w:rFonts w:eastAsiaTheme="minorEastAsia"/>
          <w:lang w:eastAsia="ja-JP"/>
        </w:rPr>
        <w:t>needed on the SCG (when configured and active).</w:t>
      </w:r>
      <w:r>
        <w:rPr>
          <w:rFonts w:eastAsiaTheme="minorEastAsia"/>
          <w:lang w:eastAsia="ja-JP"/>
        </w:rPr>
        <w:t xml:space="preserve"> On the other hand, it should be faster to activate the deactivated SCG than configuring the SCG from </w:t>
      </w:r>
      <w:r w:rsidR="0040761C">
        <w:rPr>
          <w:rFonts w:eastAsiaTheme="minorEastAsia"/>
          <w:lang w:eastAsia="ja-JP"/>
        </w:rPr>
        <w:t>as in legacy</w:t>
      </w:r>
      <w:r>
        <w:rPr>
          <w:rFonts w:eastAsiaTheme="minorEastAsia"/>
          <w:lang w:eastAsia="ja-JP"/>
        </w:rPr>
        <w:t>.</w:t>
      </w:r>
    </w:p>
    <w:p w14:paraId="4F1635D8" w14:textId="28364466" w:rsidR="006A6E75" w:rsidRDefault="006A6E75" w:rsidP="006A6E75">
      <w:pPr>
        <w:rPr>
          <w:rFonts w:eastAsiaTheme="minorEastAsia"/>
          <w:lang w:eastAsia="ja-JP"/>
        </w:rPr>
      </w:pPr>
      <w:r>
        <w:rPr>
          <w:rFonts w:eastAsiaTheme="minorEastAsia"/>
          <w:lang w:eastAsia="ja-JP"/>
        </w:rPr>
        <w:t xml:space="preserve">So, </w:t>
      </w:r>
      <w:r w:rsidR="0040761C">
        <w:rPr>
          <w:rFonts w:eastAsiaTheme="minorEastAsia"/>
          <w:lang w:eastAsia="ja-JP"/>
        </w:rPr>
        <w:t xml:space="preserve">we see that </w:t>
      </w:r>
      <w:r>
        <w:rPr>
          <w:rFonts w:eastAsiaTheme="minorEastAsia"/>
          <w:lang w:eastAsia="ja-JP"/>
        </w:rPr>
        <w:t xml:space="preserve">there is a trade-off that needs to be balanced for optimal UE and system performance: </w:t>
      </w:r>
    </w:p>
    <w:p w14:paraId="221C8BAB" w14:textId="070D69B1" w:rsidR="006A6E75" w:rsidRPr="000D1704" w:rsidRDefault="00D23FE5" w:rsidP="006A6E75">
      <w:pPr>
        <w:pStyle w:val="ListParagraph"/>
        <w:numPr>
          <w:ilvl w:val="0"/>
          <w:numId w:val="32"/>
        </w:numPr>
        <w:rPr>
          <w:rFonts w:eastAsiaTheme="minorEastAsia"/>
          <w:lang w:eastAsia="ja-JP"/>
        </w:rPr>
      </w:pPr>
      <w:r>
        <w:rPr>
          <w:rFonts w:eastAsiaTheme="minorEastAsia"/>
          <w:lang w:eastAsia="ja-JP"/>
        </w:rPr>
        <w:t>F</w:t>
      </w:r>
      <w:r w:rsidR="006A6E75" w:rsidRPr="000D1704">
        <w:rPr>
          <w:rFonts w:eastAsiaTheme="minorEastAsia"/>
          <w:lang w:eastAsia="ja-JP"/>
        </w:rPr>
        <w:t xml:space="preserve">ast offloading in case of data </w:t>
      </w:r>
      <w:r w:rsidR="00077852">
        <w:rPr>
          <w:rFonts w:eastAsiaTheme="minorEastAsia"/>
          <w:lang w:eastAsia="ja-JP"/>
        </w:rPr>
        <w:t>transmission</w:t>
      </w:r>
      <w:r w:rsidR="006A6E75" w:rsidRPr="000D1704">
        <w:rPr>
          <w:rFonts w:eastAsiaTheme="minorEastAsia"/>
          <w:lang w:eastAsia="ja-JP"/>
        </w:rPr>
        <w:t xml:space="preserve"> and </w:t>
      </w:r>
    </w:p>
    <w:p w14:paraId="3C26DDB0" w14:textId="55D82B4F" w:rsidR="006A6E75" w:rsidRPr="000D1704" w:rsidRDefault="006A6E75" w:rsidP="006A6E75">
      <w:pPr>
        <w:pStyle w:val="ListParagraph"/>
        <w:numPr>
          <w:ilvl w:val="0"/>
          <w:numId w:val="32"/>
        </w:numPr>
        <w:rPr>
          <w:rFonts w:eastAsiaTheme="minorEastAsia"/>
          <w:lang w:eastAsia="ja-JP"/>
        </w:rPr>
      </w:pPr>
      <w:r w:rsidRPr="000D1704">
        <w:rPr>
          <w:rFonts w:eastAsiaTheme="minorEastAsia"/>
          <w:lang w:eastAsia="ja-JP"/>
        </w:rPr>
        <w:t xml:space="preserve">UE power saving in case of </w:t>
      </w:r>
      <w:r w:rsidR="00077852">
        <w:rPr>
          <w:rFonts w:eastAsiaTheme="minorEastAsia"/>
          <w:lang w:eastAsia="ja-JP"/>
        </w:rPr>
        <w:t xml:space="preserve">no data transmission or </w:t>
      </w:r>
      <w:r w:rsidRPr="000D1704">
        <w:rPr>
          <w:rFonts w:eastAsiaTheme="minorEastAsia"/>
          <w:lang w:eastAsia="ja-JP"/>
        </w:rPr>
        <w:t>low activity.</w:t>
      </w:r>
    </w:p>
    <w:p w14:paraId="3A13761D" w14:textId="04153229" w:rsidR="006A6E75" w:rsidRDefault="006A6E75" w:rsidP="006A6E75">
      <w:pPr>
        <w:pStyle w:val="RAN4Observation"/>
        <w:rPr>
          <w:lang w:eastAsia="ja-JP"/>
        </w:rPr>
      </w:pPr>
      <w:r>
        <w:rPr>
          <w:lang w:eastAsia="ja-JP"/>
        </w:rPr>
        <w:t>To achieve a fast offloading and high peak data rate, the 2</w:t>
      </w:r>
      <w:r>
        <w:rPr>
          <w:vertAlign w:val="superscript"/>
          <w:lang w:eastAsia="ja-JP"/>
        </w:rPr>
        <w:t>nd</w:t>
      </w:r>
      <w:r>
        <w:rPr>
          <w:lang w:eastAsia="ja-JP"/>
        </w:rPr>
        <w:t xml:space="preserve"> leg needs to be set-up</w:t>
      </w:r>
      <w:r w:rsidR="006B382F" w:rsidRPr="006B382F">
        <w:t xml:space="preserve"> </w:t>
      </w:r>
      <w:r w:rsidR="006B382F">
        <w:t>and deactivated</w:t>
      </w:r>
      <w:r>
        <w:rPr>
          <w:lang w:eastAsia="ja-JP"/>
        </w:rPr>
        <w:t xml:space="preserve"> and activated fast.</w:t>
      </w:r>
    </w:p>
    <w:p w14:paraId="17A713D3" w14:textId="49615258" w:rsidR="006A6E75" w:rsidRDefault="006A6E75" w:rsidP="006A6E75">
      <w:pPr>
        <w:pStyle w:val="RAN4observation0"/>
        <w:rPr>
          <w:lang w:eastAsia="ja-JP"/>
        </w:rPr>
      </w:pPr>
      <w:r>
        <w:rPr>
          <w:lang w:eastAsia="ja-JP"/>
        </w:rPr>
        <w:t>There is a trade-off between 1) fast offloading in case of data activation and 2) UE power saving in case of low activity</w:t>
      </w:r>
      <w:r w:rsidR="00AA1F3B">
        <w:rPr>
          <w:lang w:eastAsia="ja-JP"/>
        </w:rPr>
        <w:t>,</w:t>
      </w:r>
      <w:r>
        <w:rPr>
          <w:lang w:eastAsia="ja-JP"/>
        </w:rPr>
        <w:t xml:space="preserve"> to achieve best </w:t>
      </w:r>
      <w:r w:rsidR="00E568AC">
        <w:rPr>
          <w:lang w:eastAsia="ja-JP"/>
        </w:rPr>
        <w:t xml:space="preserve">feature </w:t>
      </w:r>
      <w:r>
        <w:rPr>
          <w:lang w:eastAsia="ja-JP"/>
        </w:rPr>
        <w:t xml:space="preserve">performance. </w:t>
      </w:r>
    </w:p>
    <w:p w14:paraId="6229BBC3" w14:textId="14E83EA1" w:rsidR="002C2D19" w:rsidRDefault="00D23FE5" w:rsidP="003B659E">
      <w:pPr>
        <w:ind w:right="-22"/>
        <w:rPr>
          <w:rFonts w:cs="Times New Roman"/>
          <w:lang w:val="en-GB"/>
        </w:rPr>
      </w:pPr>
      <w:r>
        <w:rPr>
          <w:rFonts w:cs="Times New Roman"/>
          <w:lang w:val="en-GB"/>
        </w:rPr>
        <w:t>We believe both goals are important for making the feature a success (</w:t>
      </w:r>
      <w:r w:rsidR="00E568AC">
        <w:rPr>
          <w:rFonts w:cs="Times New Roman"/>
          <w:lang w:val="en-GB"/>
        </w:rPr>
        <w:t>and</w:t>
      </w:r>
      <w:r>
        <w:rPr>
          <w:rFonts w:cs="Times New Roman"/>
          <w:lang w:val="en-GB"/>
        </w:rPr>
        <w:t xml:space="preserve"> useful). If the activation delay of a deactivated SCG is on par with the </w:t>
      </w:r>
      <w:r w:rsidR="00192097">
        <w:rPr>
          <w:rFonts w:cs="Times New Roman"/>
          <w:lang w:val="en-GB"/>
        </w:rPr>
        <w:t xml:space="preserve">existing </w:t>
      </w:r>
      <w:r>
        <w:rPr>
          <w:rFonts w:cs="Times New Roman"/>
          <w:lang w:val="en-GB"/>
        </w:rPr>
        <w:t>delay of configur</w:t>
      </w:r>
      <w:r w:rsidR="00E568AC">
        <w:rPr>
          <w:rFonts w:cs="Times New Roman"/>
          <w:lang w:val="en-GB"/>
        </w:rPr>
        <w:t>ation</w:t>
      </w:r>
      <w:r>
        <w:rPr>
          <w:rFonts w:cs="Times New Roman"/>
          <w:lang w:val="en-GB"/>
        </w:rPr>
        <w:t xml:space="preserve"> a </w:t>
      </w:r>
      <w:proofErr w:type="spellStart"/>
      <w:r>
        <w:rPr>
          <w:rFonts w:cs="Times New Roman"/>
          <w:lang w:val="en-GB"/>
        </w:rPr>
        <w:t>PSCell</w:t>
      </w:r>
      <w:proofErr w:type="spellEnd"/>
      <w:r>
        <w:rPr>
          <w:rFonts w:cs="Times New Roman"/>
          <w:lang w:val="en-GB"/>
        </w:rPr>
        <w:t xml:space="preserve"> (e.g. as in section 8.9 in 38.133) then there seems to be very limited benefit from network side to support the feature</w:t>
      </w:r>
      <w:r w:rsidR="008C6134">
        <w:rPr>
          <w:rFonts w:cs="Times New Roman"/>
          <w:lang w:val="en-GB"/>
        </w:rPr>
        <w:t>.</w:t>
      </w:r>
      <w:r>
        <w:rPr>
          <w:rFonts w:cs="Times New Roman"/>
          <w:lang w:val="en-GB"/>
        </w:rPr>
        <w:t xml:space="preserve"> </w:t>
      </w:r>
      <w:r w:rsidR="008C6134">
        <w:rPr>
          <w:rFonts w:cs="Times New Roman"/>
          <w:lang w:val="en-GB"/>
        </w:rPr>
        <w:t>In such scenario</w:t>
      </w:r>
      <w:r>
        <w:rPr>
          <w:rFonts w:cs="Times New Roman"/>
          <w:lang w:val="en-GB"/>
        </w:rPr>
        <w:t xml:space="preserve"> </w:t>
      </w:r>
      <w:r w:rsidR="00FC68CD">
        <w:rPr>
          <w:rFonts w:cs="Times New Roman"/>
          <w:lang w:val="en-GB"/>
        </w:rPr>
        <w:t xml:space="preserve">the feature </w:t>
      </w:r>
      <w:r>
        <w:rPr>
          <w:rFonts w:cs="Times New Roman"/>
          <w:lang w:val="en-GB"/>
        </w:rPr>
        <w:t>would only increase the network complexity</w:t>
      </w:r>
      <w:r w:rsidR="00192097">
        <w:rPr>
          <w:rFonts w:cs="Times New Roman"/>
          <w:lang w:val="en-GB"/>
        </w:rPr>
        <w:t xml:space="preserve"> without any overall gain</w:t>
      </w:r>
      <w:r>
        <w:rPr>
          <w:rFonts w:cs="Times New Roman"/>
          <w:lang w:val="en-GB"/>
        </w:rPr>
        <w:t>.</w:t>
      </w:r>
    </w:p>
    <w:p w14:paraId="5909B937" w14:textId="528F6200" w:rsidR="0001043C" w:rsidRDefault="0001043C" w:rsidP="0001043C">
      <w:pPr>
        <w:pStyle w:val="RAN4observation0"/>
      </w:pPr>
      <w:proofErr w:type="gramStart"/>
      <w:r>
        <w:t>In order for</w:t>
      </w:r>
      <w:proofErr w:type="gramEnd"/>
      <w:r>
        <w:t xml:space="preserve"> SCG deactivation </w:t>
      </w:r>
      <w:r w:rsidR="003175D5">
        <w:t xml:space="preserve">feature </w:t>
      </w:r>
      <w:r>
        <w:t>to provide additional system benefits over existing features, the SCG activation procedure would need to be faster than corresponding existing procedure of configuring</w:t>
      </w:r>
      <w:r w:rsidR="00FC68CD">
        <w:t>/</w:t>
      </w:r>
      <w:proofErr w:type="spellStart"/>
      <w:r w:rsidR="00FC68CD">
        <w:t>deconfiguring</w:t>
      </w:r>
      <w:proofErr w:type="spellEnd"/>
      <w:r>
        <w:t xml:space="preserve"> SCG, including UE requirements.</w:t>
      </w:r>
    </w:p>
    <w:p w14:paraId="24B8504C" w14:textId="4A36FE6F" w:rsidR="006A6E75" w:rsidRPr="00192097" w:rsidRDefault="006A6E75" w:rsidP="003B659E">
      <w:pPr>
        <w:ind w:right="-22"/>
        <w:rPr>
          <w:rFonts w:cs="Times New Roman"/>
          <w:lang w:val="en-GB"/>
        </w:rPr>
      </w:pPr>
    </w:p>
    <w:p w14:paraId="3ACBC2D7" w14:textId="635EE690" w:rsidR="003F514F" w:rsidRDefault="003F514F" w:rsidP="003F514F">
      <w:pPr>
        <w:pStyle w:val="RAN4H2"/>
      </w:pPr>
      <w:r>
        <w:t>RAN2 status</w:t>
      </w:r>
    </w:p>
    <w:p w14:paraId="2BD94BA0" w14:textId="10A637AE" w:rsidR="003F514F" w:rsidRDefault="00521A99" w:rsidP="003B659E">
      <w:pPr>
        <w:ind w:right="-22"/>
        <w:rPr>
          <w:rFonts w:cs="Times New Roman"/>
        </w:rPr>
      </w:pPr>
      <w:r>
        <w:rPr>
          <w:rFonts w:eastAsiaTheme="minorEastAsia"/>
          <w:lang w:eastAsia="ja-JP"/>
        </w:rPr>
        <w:t xml:space="preserve">RAN2 has been working on this WI for a while and </w:t>
      </w:r>
      <w:r>
        <w:rPr>
          <w:rFonts w:eastAsia="Calibri" w:cs="Times New Roman"/>
          <w:szCs w:val="20"/>
          <w:lang w:val="en-GB"/>
        </w:rPr>
        <w:t>RAN2 has reached a number of agreements e.g. following agreements (focusing on the possible agreements which as see may have interest for RAN4 or have RAN4 impact):</w:t>
      </w:r>
    </w:p>
    <w:p w14:paraId="3DB44FFC" w14:textId="77777777" w:rsidR="00521A99" w:rsidRPr="003175D5" w:rsidRDefault="00521A99" w:rsidP="00521A99">
      <w:pPr>
        <w:pStyle w:val="Agreement"/>
        <w:numPr>
          <w:ilvl w:val="0"/>
          <w:numId w:val="35"/>
        </w:numPr>
        <w:rPr>
          <w:rFonts w:ascii="Times New Roman" w:hAnsi="Times New Roman"/>
          <w:b w:val="0"/>
          <w:bCs/>
        </w:rPr>
      </w:pPr>
      <w:r w:rsidRPr="003175D5">
        <w:rPr>
          <w:rFonts w:ascii="Times New Roman" w:hAnsi="Times New Roman"/>
          <w:b w:val="0"/>
          <w:bCs/>
        </w:rPr>
        <w:t>As a baseline, MN-configured RRM measurement/reporting procedures do not depend on the SCG activation state (deactivated or activated). Further optimisations are not precluded.</w:t>
      </w:r>
    </w:p>
    <w:p w14:paraId="496D53FB" w14:textId="77777777" w:rsidR="00521A99" w:rsidRPr="003175D5" w:rsidRDefault="00521A99" w:rsidP="00521A99">
      <w:pPr>
        <w:pStyle w:val="Agreement"/>
        <w:numPr>
          <w:ilvl w:val="0"/>
          <w:numId w:val="35"/>
        </w:numPr>
        <w:rPr>
          <w:rFonts w:ascii="Times New Roman" w:hAnsi="Times New Roman"/>
          <w:b w:val="0"/>
          <w:bCs/>
        </w:rPr>
      </w:pPr>
      <w:r w:rsidRPr="003175D5">
        <w:rPr>
          <w:rFonts w:ascii="Times New Roman" w:hAnsi="Times New Roman"/>
          <w:b w:val="0"/>
          <w:bCs/>
        </w:rPr>
        <w:t xml:space="preserve">While the SCG is deactivated, </w:t>
      </w:r>
      <w:proofErr w:type="spellStart"/>
      <w:r w:rsidRPr="003175D5">
        <w:rPr>
          <w:rFonts w:ascii="Times New Roman" w:hAnsi="Times New Roman"/>
          <w:b w:val="0"/>
          <w:bCs/>
        </w:rPr>
        <w:t>PSCell</w:t>
      </w:r>
      <w:proofErr w:type="spellEnd"/>
      <w:r w:rsidRPr="003175D5">
        <w:rPr>
          <w:rFonts w:ascii="Times New Roman" w:hAnsi="Times New Roman"/>
          <w:b w:val="0"/>
          <w:bCs/>
        </w:rPr>
        <w:t xml:space="preserve"> mobility is supported. MN- and SN-configured measurements are supported for deactivated SCG.</w:t>
      </w:r>
    </w:p>
    <w:p w14:paraId="023BB16F" w14:textId="77777777" w:rsidR="00521A99" w:rsidRPr="003175D5" w:rsidRDefault="00521A99" w:rsidP="00521A99">
      <w:pPr>
        <w:pStyle w:val="Agreement"/>
        <w:numPr>
          <w:ilvl w:val="1"/>
          <w:numId w:val="35"/>
        </w:numPr>
        <w:rPr>
          <w:rFonts w:ascii="Times New Roman" w:hAnsi="Times New Roman"/>
          <w:b w:val="0"/>
          <w:bCs/>
        </w:rPr>
      </w:pPr>
      <w:r w:rsidRPr="003175D5">
        <w:rPr>
          <w:rFonts w:ascii="Times New Roman" w:hAnsi="Times New Roman"/>
          <w:b w:val="0"/>
          <w:bCs/>
        </w:rPr>
        <w:t xml:space="preserve">SCG RRC reconfiguration can select the SCG activation state (activated/deactivated) at </w:t>
      </w:r>
      <w:proofErr w:type="spellStart"/>
      <w:r w:rsidRPr="003175D5">
        <w:rPr>
          <w:rFonts w:ascii="Times New Roman" w:hAnsi="Times New Roman"/>
          <w:b w:val="0"/>
          <w:bCs/>
        </w:rPr>
        <w:t>PSCell</w:t>
      </w:r>
      <w:proofErr w:type="spellEnd"/>
      <w:r w:rsidRPr="003175D5">
        <w:rPr>
          <w:rFonts w:ascii="Times New Roman" w:hAnsi="Times New Roman"/>
          <w:b w:val="0"/>
          <w:bCs/>
        </w:rPr>
        <w:t xml:space="preserve"> addition/change, RRC resume or HO.</w:t>
      </w:r>
    </w:p>
    <w:p w14:paraId="1E9414B7" w14:textId="71DE2DB1" w:rsidR="00C9059A" w:rsidRPr="00C9059A" w:rsidRDefault="00C9059A" w:rsidP="00521A99">
      <w:pPr>
        <w:pStyle w:val="Agreement"/>
        <w:numPr>
          <w:ilvl w:val="0"/>
          <w:numId w:val="35"/>
        </w:numPr>
        <w:rPr>
          <w:rFonts w:ascii="Times New Roman" w:hAnsi="Times New Roman"/>
          <w:b w:val="0"/>
          <w:bCs/>
        </w:rPr>
      </w:pPr>
      <w:r w:rsidRPr="00C9059A">
        <w:rPr>
          <w:rFonts w:ascii="Times New Roman" w:hAnsi="Times New Roman"/>
          <w:b w:val="0"/>
          <w:bCs/>
          <w:lang w:val="en-US"/>
        </w:rPr>
        <w:t>SCG RRC reconfiguration can select the SCG activation state (activated/deactivated) at </w:t>
      </w:r>
      <w:proofErr w:type="spellStart"/>
      <w:r w:rsidRPr="00C9059A">
        <w:rPr>
          <w:rFonts w:ascii="Times New Roman" w:hAnsi="Times New Roman"/>
          <w:b w:val="0"/>
          <w:bCs/>
          <w:lang w:val="en-US"/>
        </w:rPr>
        <w:t>PSCell</w:t>
      </w:r>
      <w:proofErr w:type="spellEnd"/>
      <w:r w:rsidRPr="00C9059A">
        <w:rPr>
          <w:rFonts w:ascii="Times New Roman" w:hAnsi="Times New Roman"/>
          <w:b w:val="0"/>
          <w:bCs/>
          <w:lang w:val="en-US"/>
        </w:rPr>
        <w:t> addition/change, RRC resume or HO</w:t>
      </w:r>
    </w:p>
    <w:p w14:paraId="47129C5B" w14:textId="0E4C4231" w:rsidR="00521A99" w:rsidRPr="003175D5" w:rsidRDefault="00521A99" w:rsidP="00521A99">
      <w:pPr>
        <w:pStyle w:val="Agreement"/>
        <w:numPr>
          <w:ilvl w:val="0"/>
          <w:numId w:val="35"/>
        </w:numPr>
        <w:rPr>
          <w:rFonts w:ascii="Times New Roman" w:hAnsi="Times New Roman"/>
          <w:b w:val="0"/>
          <w:bCs/>
        </w:rPr>
      </w:pPr>
      <w:r w:rsidRPr="003175D5">
        <w:rPr>
          <w:rFonts w:ascii="Times New Roman" w:hAnsi="Times New Roman"/>
          <w:b w:val="0"/>
          <w:bCs/>
        </w:rPr>
        <w:lastRenderedPageBreak/>
        <w:t xml:space="preserve">When the SCG is in deactivated state, the UE sends </w:t>
      </w:r>
      <w:proofErr w:type="spellStart"/>
      <w:r w:rsidRPr="003175D5">
        <w:rPr>
          <w:rFonts w:ascii="Times New Roman" w:hAnsi="Times New Roman"/>
          <w:b w:val="0"/>
          <w:bCs/>
        </w:rPr>
        <w:t>MeasurementReport</w:t>
      </w:r>
      <w:proofErr w:type="spellEnd"/>
      <w:r w:rsidRPr="003175D5">
        <w:rPr>
          <w:rFonts w:ascii="Times New Roman" w:hAnsi="Times New Roman"/>
          <w:b w:val="0"/>
          <w:bCs/>
        </w:rPr>
        <w:t xml:space="preserve"> messages for measurement results of SN-configured measurements embedded in the E-UTRA (if the MCG is EUTRA) or in the NR (if the MCG is NR) </w:t>
      </w:r>
      <w:proofErr w:type="spellStart"/>
      <w:r w:rsidRPr="003175D5">
        <w:rPr>
          <w:rFonts w:ascii="Times New Roman" w:hAnsi="Times New Roman"/>
          <w:b w:val="0"/>
          <w:bCs/>
        </w:rPr>
        <w:t>ULInformationTransferMRDC</w:t>
      </w:r>
      <w:proofErr w:type="spellEnd"/>
      <w:r w:rsidRPr="003175D5">
        <w:rPr>
          <w:rFonts w:ascii="Times New Roman" w:hAnsi="Times New Roman"/>
          <w:b w:val="0"/>
          <w:bCs/>
        </w:rPr>
        <w:t xml:space="preserve"> message via SRB1</w:t>
      </w:r>
    </w:p>
    <w:p w14:paraId="30052F45" w14:textId="20C35E93" w:rsidR="00521A99" w:rsidRPr="003175D5" w:rsidRDefault="00521A99" w:rsidP="00521A99">
      <w:pPr>
        <w:pStyle w:val="Agreement"/>
        <w:numPr>
          <w:ilvl w:val="0"/>
          <w:numId w:val="35"/>
        </w:numPr>
        <w:rPr>
          <w:rFonts w:ascii="Times New Roman" w:hAnsi="Times New Roman"/>
          <w:b w:val="0"/>
          <w:bCs/>
        </w:rPr>
      </w:pPr>
      <w:r w:rsidRPr="003175D5">
        <w:rPr>
          <w:rFonts w:ascii="Times New Roman" w:hAnsi="Times New Roman"/>
          <w:b w:val="0"/>
          <w:bCs/>
        </w:rPr>
        <w:t xml:space="preserve">When the SCG is in deactivated state, the UE can receive an SCG </w:t>
      </w:r>
      <w:proofErr w:type="spellStart"/>
      <w:r w:rsidRPr="003175D5">
        <w:rPr>
          <w:rFonts w:ascii="Times New Roman" w:hAnsi="Times New Roman"/>
          <w:b w:val="0"/>
          <w:bCs/>
        </w:rPr>
        <w:t>RRCReconfiguration</w:t>
      </w:r>
      <w:proofErr w:type="spellEnd"/>
      <w:r w:rsidRPr="003175D5">
        <w:rPr>
          <w:rFonts w:ascii="Times New Roman" w:hAnsi="Times New Roman"/>
          <w:b w:val="0"/>
          <w:bCs/>
        </w:rPr>
        <w:t xml:space="preserve"> message embedded in an MCG RRC(Connection)Reconfiguration message on SRB1, like when the SCG is activated, and then the UE</w:t>
      </w:r>
    </w:p>
    <w:p w14:paraId="51F33D3C" w14:textId="77777777" w:rsidR="00521A99" w:rsidRPr="003175D5" w:rsidRDefault="00521A99" w:rsidP="00521A99">
      <w:pPr>
        <w:pStyle w:val="Agreement"/>
        <w:numPr>
          <w:ilvl w:val="1"/>
          <w:numId w:val="35"/>
        </w:numPr>
        <w:rPr>
          <w:rFonts w:ascii="Times New Roman" w:hAnsi="Times New Roman"/>
          <w:b w:val="0"/>
          <w:bCs/>
        </w:rPr>
      </w:pPr>
      <w:r w:rsidRPr="003175D5">
        <w:rPr>
          <w:rFonts w:ascii="Times New Roman" w:hAnsi="Times New Roman"/>
          <w:b w:val="0"/>
          <w:bCs/>
        </w:rPr>
        <w:t xml:space="preserve">processes the SCG </w:t>
      </w:r>
      <w:proofErr w:type="spellStart"/>
      <w:r w:rsidRPr="003175D5">
        <w:rPr>
          <w:rFonts w:ascii="Times New Roman" w:hAnsi="Times New Roman"/>
          <w:b w:val="0"/>
          <w:bCs/>
        </w:rPr>
        <w:t>RRCReconfiguration</w:t>
      </w:r>
      <w:proofErr w:type="spellEnd"/>
      <w:r w:rsidRPr="003175D5">
        <w:rPr>
          <w:rFonts w:ascii="Times New Roman" w:hAnsi="Times New Roman"/>
          <w:b w:val="0"/>
          <w:bCs/>
        </w:rPr>
        <w:t xml:space="preserve"> message according to Rel-15/16 procedures (FFS if any restriction/difference)</w:t>
      </w:r>
    </w:p>
    <w:p w14:paraId="7B811876" w14:textId="77777777" w:rsidR="00521A99" w:rsidRPr="003175D5" w:rsidRDefault="00521A99" w:rsidP="00521A99">
      <w:pPr>
        <w:pStyle w:val="Agreement"/>
        <w:numPr>
          <w:ilvl w:val="1"/>
          <w:numId w:val="35"/>
        </w:numPr>
        <w:rPr>
          <w:rFonts w:ascii="Times New Roman" w:hAnsi="Times New Roman"/>
          <w:b w:val="0"/>
          <w:bCs/>
        </w:rPr>
      </w:pPr>
      <w:r w:rsidRPr="003175D5">
        <w:rPr>
          <w:rFonts w:ascii="Times New Roman" w:hAnsi="Times New Roman"/>
          <w:b w:val="0"/>
          <w:bCs/>
        </w:rPr>
        <w:t xml:space="preserve">sends an SCG </w:t>
      </w:r>
      <w:proofErr w:type="spellStart"/>
      <w:r w:rsidRPr="003175D5">
        <w:rPr>
          <w:rFonts w:ascii="Times New Roman" w:hAnsi="Times New Roman"/>
          <w:b w:val="0"/>
          <w:bCs/>
        </w:rPr>
        <w:t>RRCReconfigurationComplete</w:t>
      </w:r>
      <w:proofErr w:type="spellEnd"/>
      <w:r w:rsidRPr="003175D5">
        <w:rPr>
          <w:rFonts w:ascii="Times New Roman" w:hAnsi="Times New Roman"/>
          <w:b w:val="0"/>
          <w:bCs/>
        </w:rPr>
        <w:t xml:space="preserve"> message in the MCG RRC(Connection)</w:t>
      </w:r>
      <w:proofErr w:type="spellStart"/>
      <w:r w:rsidRPr="003175D5">
        <w:rPr>
          <w:rFonts w:ascii="Times New Roman" w:hAnsi="Times New Roman"/>
          <w:b w:val="0"/>
          <w:bCs/>
        </w:rPr>
        <w:t>ReconfigurationComplete</w:t>
      </w:r>
      <w:proofErr w:type="spellEnd"/>
      <w:r w:rsidRPr="003175D5">
        <w:rPr>
          <w:rFonts w:ascii="Times New Roman" w:hAnsi="Times New Roman"/>
          <w:b w:val="0"/>
          <w:bCs/>
        </w:rPr>
        <w:t xml:space="preserve"> message according to Rel-15/16 procedures</w:t>
      </w:r>
    </w:p>
    <w:p w14:paraId="229455C3" w14:textId="254D8054" w:rsidR="00521A99" w:rsidRPr="003175D5" w:rsidRDefault="00521A99" w:rsidP="00521A99">
      <w:pPr>
        <w:pStyle w:val="Agreement"/>
        <w:numPr>
          <w:ilvl w:val="0"/>
          <w:numId w:val="35"/>
        </w:numPr>
        <w:rPr>
          <w:rFonts w:ascii="Times New Roman" w:hAnsi="Times New Roman"/>
          <w:b w:val="0"/>
          <w:bCs/>
        </w:rPr>
      </w:pPr>
      <w:r w:rsidRPr="003175D5">
        <w:rPr>
          <w:rFonts w:ascii="Times New Roman" w:hAnsi="Times New Roman"/>
          <w:b w:val="0"/>
          <w:bCs/>
        </w:rPr>
        <w:t xml:space="preserve">The SCG </w:t>
      </w:r>
      <w:proofErr w:type="spellStart"/>
      <w:r w:rsidRPr="003175D5">
        <w:rPr>
          <w:rFonts w:ascii="Times New Roman" w:hAnsi="Times New Roman"/>
          <w:b w:val="0"/>
          <w:bCs/>
        </w:rPr>
        <w:t>RRCReconfiguration</w:t>
      </w:r>
      <w:proofErr w:type="spellEnd"/>
      <w:r w:rsidRPr="003175D5">
        <w:rPr>
          <w:rFonts w:ascii="Times New Roman" w:hAnsi="Times New Roman"/>
          <w:b w:val="0"/>
          <w:bCs/>
        </w:rPr>
        <w:t xml:space="preserve"> can change the </w:t>
      </w:r>
      <w:proofErr w:type="spellStart"/>
      <w:r w:rsidRPr="003175D5">
        <w:rPr>
          <w:rFonts w:ascii="Times New Roman" w:hAnsi="Times New Roman"/>
          <w:b w:val="0"/>
          <w:bCs/>
        </w:rPr>
        <w:t>PSCell</w:t>
      </w:r>
      <w:proofErr w:type="spellEnd"/>
      <w:r w:rsidRPr="003175D5">
        <w:rPr>
          <w:rFonts w:ascii="Times New Roman" w:hAnsi="Times New Roman"/>
          <w:b w:val="0"/>
          <w:bCs/>
        </w:rPr>
        <w:t xml:space="preserve">.  FFS if the UE does RACH towards the target </w:t>
      </w:r>
      <w:proofErr w:type="spellStart"/>
      <w:r w:rsidRPr="003175D5">
        <w:rPr>
          <w:rFonts w:ascii="Times New Roman" w:hAnsi="Times New Roman"/>
          <w:b w:val="0"/>
          <w:bCs/>
        </w:rPr>
        <w:t>PSCell</w:t>
      </w:r>
      <w:proofErr w:type="spellEnd"/>
      <w:r w:rsidRPr="003175D5">
        <w:rPr>
          <w:rFonts w:ascii="Times New Roman" w:hAnsi="Times New Roman"/>
          <w:b w:val="0"/>
          <w:bCs/>
        </w:rPr>
        <w:t>, in that case.</w:t>
      </w:r>
    </w:p>
    <w:p w14:paraId="2FAAED16" w14:textId="0B6BAB5F" w:rsidR="00521A99" w:rsidRPr="003175D5" w:rsidRDefault="00521A99" w:rsidP="00521A99">
      <w:pPr>
        <w:pStyle w:val="Agreement"/>
        <w:numPr>
          <w:ilvl w:val="0"/>
          <w:numId w:val="35"/>
        </w:numPr>
        <w:rPr>
          <w:rFonts w:ascii="Times New Roman" w:hAnsi="Times New Roman"/>
          <w:b w:val="0"/>
          <w:bCs/>
        </w:rPr>
      </w:pPr>
      <w:r w:rsidRPr="003175D5">
        <w:rPr>
          <w:rFonts w:ascii="Times New Roman" w:hAnsi="Times New Roman"/>
          <w:b w:val="0"/>
          <w:bCs/>
        </w:rPr>
        <w:t>While the SCG is deactivated:</w:t>
      </w:r>
    </w:p>
    <w:p w14:paraId="4B563743" w14:textId="77777777" w:rsidR="00521A99" w:rsidRPr="003175D5" w:rsidRDefault="00521A99" w:rsidP="00521A99">
      <w:pPr>
        <w:pStyle w:val="Agreement"/>
        <w:numPr>
          <w:ilvl w:val="1"/>
          <w:numId w:val="35"/>
        </w:numPr>
        <w:rPr>
          <w:rFonts w:ascii="Times New Roman" w:hAnsi="Times New Roman"/>
          <w:b w:val="0"/>
          <w:bCs/>
        </w:rPr>
      </w:pPr>
      <w:r w:rsidRPr="003175D5">
        <w:rPr>
          <w:rFonts w:ascii="Times New Roman" w:hAnsi="Times New Roman"/>
          <w:b w:val="0"/>
          <w:bCs/>
        </w:rPr>
        <w:t xml:space="preserve">there can be SCG </w:t>
      </w:r>
      <w:proofErr w:type="spellStart"/>
      <w:r w:rsidRPr="003175D5">
        <w:rPr>
          <w:rFonts w:ascii="Times New Roman" w:hAnsi="Times New Roman"/>
          <w:b w:val="0"/>
          <w:bCs/>
        </w:rPr>
        <w:t>SCells</w:t>
      </w:r>
      <w:proofErr w:type="spellEnd"/>
      <w:r w:rsidRPr="003175D5">
        <w:rPr>
          <w:rFonts w:ascii="Times New Roman" w:hAnsi="Times New Roman"/>
          <w:b w:val="0"/>
          <w:bCs/>
        </w:rPr>
        <w:t xml:space="preserve"> in deactivated state</w:t>
      </w:r>
    </w:p>
    <w:p w14:paraId="4592F01D" w14:textId="77777777" w:rsidR="00521A99" w:rsidRPr="003175D5" w:rsidRDefault="00521A99" w:rsidP="00521A99">
      <w:pPr>
        <w:pStyle w:val="Agreement"/>
        <w:numPr>
          <w:ilvl w:val="1"/>
          <w:numId w:val="35"/>
        </w:numPr>
        <w:rPr>
          <w:rFonts w:ascii="Times New Roman" w:hAnsi="Times New Roman"/>
          <w:b w:val="0"/>
          <w:bCs/>
        </w:rPr>
      </w:pPr>
      <w:r w:rsidRPr="003175D5">
        <w:rPr>
          <w:rFonts w:ascii="Times New Roman" w:hAnsi="Times New Roman"/>
          <w:b w:val="0"/>
          <w:bCs/>
        </w:rPr>
        <w:t xml:space="preserve">there cannot be SCG </w:t>
      </w:r>
      <w:proofErr w:type="spellStart"/>
      <w:r w:rsidRPr="003175D5">
        <w:rPr>
          <w:rFonts w:ascii="Times New Roman" w:hAnsi="Times New Roman"/>
          <w:b w:val="0"/>
          <w:bCs/>
        </w:rPr>
        <w:t>SCells</w:t>
      </w:r>
      <w:proofErr w:type="spellEnd"/>
      <w:r w:rsidRPr="003175D5">
        <w:rPr>
          <w:rFonts w:ascii="Times New Roman" w:hAnsi="Times New Roman"/>
          <w:b w:val="0"/>
          <w:bCs/>
        </w:rPr>
        <w:t xml:space="preserve"> in activated state</w:t>
      </w:r>
    </w:p>
    <w:p w14:paraId="31125C28" w14:textId="77777777" w:rsidR="00521A99" w:rsidRPr="003175D5" w:rsidRDefault="00521A99" w:rsidP="00521A99">
      <w:pPr>
        <w:pStyle w:val="Agreement"/>
        <w:numPr>
          <w:ilvl w:val="0"/>
          <w:numId w:val="35"/>
        </w:numPr>
        <w:rPr>
          <w:rFonts w:ascii="Times New Roman" w:hAnsi="Times New Roman"/>
          <w:b w:val="0"/>
          <w:bCs/>
        </w:rPr>
      </w:pPr>
      <w:r w:rsidRPr="003175D5">
        <w:rPr>
          <w:rFonts w:ascii="Times New Roman" w:hAnsi="Times New Roman"/>
          <w:b w:val="0"/>
          <w:bCs/>
        </w:rPr>
        <w:t>Continue to discuss whether some kind of beam monitoring (similar to RLM/BFD) should be supported when the SCG is deactivated. FFS if this only applies to when TAT is running.</w:t>
      </w:r>
    </w:p>
    <w:p w14:paraId="28663948" w14:textId="77777777" w:rsidR="00521A99" w:rsidRPr="003175D5" w:rsidRDefault="00521A99" w:rsidP="00521A99">
      <w:pPr>
        <w:pStyle w:val="Agreement"/>
        <w:numPr>
          <w:ilvl w:val="0"/>
          <w:numId w:val="35"/>
        </w:numPr>
        <w:rPr>
          <w:rFonts w:ascii="Times New Roman" w:hAnsi="Times New Roman"/>
          <w:b w:val="0"/>
          <w:bCs/>
        </w:rPr>
      </w:pPr>
      <w:r w:rsidRPr="003175D5">
        <w:rPr>
          <w:rFonts w:ascii="Times New Roman" w:hAnsi="Times New Roman"/>
          <w:b w:val="0"/>
          <w:bCs/>
        </w:rPr>
        <w:t>Confirm that there is no PUSCH transmission on deactivated SCG. FFS if any other UL is allowed towards SCG.</w:t>
      </w:r>
    </w:p>
    <w:p w14:paraId="74B05552" w14:textId="77777777" w:rsidR="00521A99" w:rsidRPr="003175D5" w:rsidRDefault="00521A99" w:rsidP="00521A99">
      <w:pPr>
        <w:pStyle w:val="Agreement"/>
        <w:numPr>
          <w:ilvl w:val="0"/>
          <w:numId w:val="35"/>
        </w:numPr>
        <w:rPr>
          <w:rFonts w:ascii="Times New Roman" w:hAnsi="Times New Roman"/>
          <w:b w:val="0"/>
          <w:bCs/>
        </w:rPr>
      </w:pPr>
      <w:r w:rsidRPr="003175D5">
        <w:rPr>
          <w:rFonts w:ascii="Times New Roman" w:hAnsi="Times New Roman"/>
          <w:b w:val="0"/>
          <w:bCs/>
        </w:rPr>
        <w:t xml:space="preserve">Confirm that there is no PDCCH monitoring on </w:t>
      </w:r>
      <w:proofErr w:type="spellStart"/>
      <w:r w:rsidRPr="003175D5">
        <w:rPr>
          <w:rFonts w:ascii="Times New Roman" w:hAnsi="Times New Roman"/>
          <w:b w:val="0"/>
          <w:bCs/>
        </w:rPr>
        <w:t>PSCell</w:t>
      </w:r>
      <w:proofErr w:type="spellEnd"/>
      <w:r w:rsidRPr="003175D5">
        <w:rPr>
          <w:rFonts w:ascii="Times New Roman" w:hAnsi="Times New Roman"/>
          <w:b w:val="0"/>
          <w:bCs/>
        </w:rPr>
        <w:t xml:space="preserve"> of the deactivated SCG.</w:t>
      </w:r>
    </w:p>
    <w:p w14:paraId="2BC626A6" w14:textId="77777777" w:rsidR="00521A99" w:rsidRPr="003175D5" w:rsidRDefault="00521A99" w:rsidP="00521A99">
      <w:pPr>
        <w:pStyle w:val="Agreement"/>
        <w:numPr>
          <w:ilvl w:val="0"/>
          <w:numId w:val="35"/>
        </w:numPr>
        <w:rPr>
          <w:rFonts w:ascii="Times New Roman" w:hAnsi="Times New Roman"/>
          <w:b w:val="0"/>
          <w:bCs/>
        </w:rPr>
      </w:pPr>
      <w:r w:rsidRPr="003175D5">
        <w:rPr>
          <w:rFonts w:ascii="Times New Roman" w:hAnsi="Times New Roman"/>
          <w:b w:val="0"/>
          <w:bCs/>
        </w:rPr>
        <w:t xml:space="preserve">Confirm that there is no support of SCell dormancy for SCG </w:t>
      </w:r>
      <w:proofErr w:type="spellStart"/>
      <w:r w:rsidRPr="003175D5">
        <w:rPr>
          <w:rFonts w:ascii="Times New Roman" w:hAnsi="Times New Roman"/>
          <w:b w:val="0"/>
          <w:bCs/>
        </w:rPr>
        <w:t>SCells</w:t>
      </w:r>
      <w:proofErr w:type="spellEnd"/>
      <w:r w:rsidRPr="003175D5">
        <w:rPr>
          <w:rFonts w:ascii="Times New Roman" w:hAnsi="Times New Roman"/>
          <w:b w:val="0"/>
          <w:bCs/>
        </w:rPr>
        <w:t xml:space="preserve"> within a deactivated SCG.</w:t>
      </w:r>
    </w:p>
    <w:p w14:paraId="6BC56B85" w14:textId="77777777" w:rsidR="00521A99" w:rsidRPr="003175D5" w:rsidRDefault="00521A99" w:rsidP="00521A99">
      <w:pPr>
        <w:pStyle w:val="Agreement"/>
        <w:numPr>
          <w:ilvl w:val="0"/>
          <w:numId w:val="35"/>
        </w:numPr>
        <w:rPr>
          <w:rFonts w:ascii="Times New Roman" w:hAnsi="Times New Roman"/>
          <w:b w:val="0"/>
          <w:bCs/>
        </w:rPr>
      </w:pPr>
      <w:r w:rsidRPr="003175D5">
        <w:rPr>
          <w:rFonts w:ascii="Times New Roman" w:hAnsi="Times New Roman"/>
          <w:b w:val="0"/>
          <w:bCs/>
        </w:rPr>
        <w:t xml:space="preserve">During handover preparation, the target MN can indicate the SCG state in the </w:t>
      </w:r>
      <w:proofErr w:type="spellStart"/>
      <w:r w:rsidRPr="003175D5">
        <w:rPr>
          <w:rFonts w:ascii="Times New Roman" w:hAnsi="Times New Roman"/>
          <w:b w:val="0"/>
          <w:bCs/>
        </w:rPr>
        <w:t>RRCReconfiguration</w:t>
      </w:r>
      <w:proofErr w:type="spellEnd"/>
      <w:r w:rsidRPr="003175D5">
        <w:rPr>
          <w:rFonts w:ascii="Times New Roman" w:hAnsi="Times New Roman"/>
          <w:b w:val="0"/>
          <w:bCs/>
        </w:rPr>
        <w:t xml:space="preserve"> message to be sent to the UE by the source MN.</w:t>
      </w:r>
    </w:p>
    <w:p w14:paraId="0FBAB685" w14:textId="77777777" w:rsidR="00521A99" w:rsidRPr="003175D5" w:rsidRDefault="00521A99" w:rsidP="00521A99">
      <w:pPr>
        <w:pStyle w:val="Agreement"/>
        <w:numPr>
          <w:ilvl w:val="0"/>
          <w:numId w:val="35"/>
        </w:numPr>
        <w:rPr>
          <w:rFonts w:ascii="Times New Roman" w:hAnsi="Times New Roman"/>
          <w:b w:val="0"/>
          <w:bCs/>
        </w:rPr>
      </w:pPr>
      <w:r w:rsidRPr="003175D5">
        <w:rPr>
          <w:rFonts w:ascii="Times New Roman" w:hAnsi="Times New Roman"/>
          <w:b w:val="0"/>
          <w:bCs/>
        </w:rPr>
        <w:t xml:space="preserve">RRM requirements for deactivated </w:t>
      </w:r>
      <w:proofErr w:type="spellStart"/>
      <w:r w:rsidRPr="003175D5">
        <w:rPr>
          <w:rFonts w:ascii="Times New Roman" w:hAnsi="Times New Roman"/>
          <w:b w:val="0"/>
          <w:bCs/>
        </w:rPr>
        <w:t>PSCell</w:t>
      </w:r>
      <w:proofErr w:type="spellEnd"/>
      <w:r w:rsidRPr="003175D5">
        <w:rPr>
          <w:rFonts w:ascii="Times New Roman" w:hAnsi="Times New Roman"/>
          <w:b w:val="0"/>
          <w:bCs/>
        </w:rPr>
        <w:t xml:space="preserve"> may be different than for activated </w:t>
      </w:r>
      <w:proofErr w:type="spellStart"/>
      <w:r w:rsidRPr="003175D5">
        <w:rPr>
          <w:rFonts w:ascii="Times New Roman" w:hAnsi="Times New Roman"/>
          <w:b w:val="0"/>
          <w:bCs/>
        </w:rPr>
        <w:t>PSCell</w:t>
      </w:r>
      <w:proofErr w:type="spellEnd"/>
      <w:r w:rsidRPr="003175D5">
        <w:rPr>
          <w:rFonts w:ascii="Times New Roman" w:hAnsi="Times New Roman"/>
          <w:b w:val="0"/>
          <w:bCs/>
        </w:rPr>
        <w:t>. What they could be are FFS pending RAN4 work.</w:t>
      </w:r>
    </w:p>
    <w:p w14:paraId="4604CA21" w14:textId="40CB218A" w:rsidR="003F514F" w:rsidRDefault="003F514F" w:rsidP="003B659E">
      <w:pPr>
        <w:ind w:right="-22"/>
        <w:rPr>
          <w:rFonts w:cs="Times New Roman"/>
        </w:rPr>
      </w:pPr>
    </w:p>
    <w:p w14:paraId="4BD284E6" w14:textId="01114DD0" w:rsidR="003F514F" w:rsidRDefault="00BE2A78" w:rsidP="00BE2A78">
      <w:pPr>
        <w:pStyle w:val="RAN4H2"/>
      </w:pPr>
      <w:r>
        <w:t>UE requirements for deactivated SCG</w:t>
      </w:r>
    </w:p>
    <w:p w14:paraId="7D33D1D5" w14:textId="6F430ED6" w:rsidR="00BE2A78" w:rsidRDefault="00CD6ADA" w:rsidP="003B659E">
      <w:pPr>
        <w:ind w:right="-22"/>
        <w:rPr>
          <w:rFonts w:cs="Times New Roman"/>
        </w:rPr>
      </w:pPr>
      <w:r>
        <w:rPr>
          <w:rFonts w:cs="Times New Roman"/>
        </w:rPr>
        <w:t>Based on the discussion in sections 2.3 and 2.4 we next give our initial input related to how the UE requirements on a deactivated SCG could be shaped based on the current agreements.</w:t>
      </w:r>
    </w:p>
    <w:p w14:paraId="754B3719" w14:textId="1D8D0AB6" w:rsidR="009856D5" w:rsidRDefault="009856D5" w:rsidP="008C7ADD">
      <w:pPr>
        <w:ind w:right="-22"/>
        <w:rPr>
          <w:rFonts w:eastAsia="Calibri" w:cs="Times New Roman"/>
          <w:szCs w:val="20"/>
          <w:lang w:val="en-GB"/>
        </w:rPr>
      </w:pPr>
      <w:r>
        <w:rPr>
          <w:rFonts w:eastAsia="Calibri" w:cs="Times New Roman"/>
          <w:szCs w:val="20"/>
          <w:lang w:val="en-GB"/>
        </w:rPr>
        <w:t>Initially we observe that RAN2 states that the RRM measurements and reporting procedures configured by MN do not depend on the whether the SCG is activated or deactivated.</w:t>
      </w:r>
      <w:r w:rsidR="00CB1A0D">
        <w:rPr>
          <w:rFonts w:eastAsia="Calibri" w:cs="Times New Roman"/>
          <w:szCs w:val="20"/>
          <w:lang w:val="en-GB"/>
        </w:rPr>
        <w:t xml:space="preserve"> </w:t>
      </w:r>
    </w:p>
    <w:p w14:paraId="46E09F7D" w14:textId="77777777" w:rsidR="00192097" w:rsidRDefault="00192097" w:rsidP="008C7ADD">
      <w:pPr>
        <w:ind w:right="-22"/>
        <w:rPr>
          <w:rFonts w:eastAsia="Calibri" w:cs="Times New Roman"/>
          <w:szCs w:val="20"/>
          <w:lang w:val="en-GB"/>
        </w:rPr>
      </w:pPr>
    </w:p>
    <w:p w14:paraId="6D5F947E" w14:textId="195CF0C2" w:rsidR="00192097" w:rsidRDefault="00192097" w:rsidP="00192097">
      <w:pPr>
        <w:pStyle w:val="RAN4H3"/>
        <w:rPr>
          <w:lang w:val="en-GB"/>
        </w:rPr>
      </w:pPr>
      <w:r>
        <w:rPr>
          <w:lang w:val="en-GB"/>
        </w:rPr>
        <w:t>Scenarios</w:t>
      </w:r>
    </w:p>
    <w:p w14:paraId="76052098" w14:textId="7B175916" w:rsidR="00192097" w:rsidRDefault="00192097" w:rsidP="008C7ADD">
      <w:pPr>
        <w:ind w:right="-22"/>
        <w:rPr>
          <w:rFonts w:eastAsia="Calibri" w:cs="Times New Roman"/>
          <w:szCs w:val="20"/>
          <w:lang w:val="en-GB"/>
        </w:rPr>
      </w:pPr>
      <w:r>
        <w:rPr>
          <w:rFonts w:eastAsia="Calibri" w:cs="Times New Roman"/>
          <w:szCs w:val="20"/>
          <w:lang w:val="en-GB"/>
        </w:rPr>
        <w:t>From the WI we observe that it includes the following two cases:</w:t>
      </w:r>
    </w:p>
    <w:p w14:paraId="49C19608" w14:textId="5C7C058F" w:rsidR="00192097" w:rsidRDefault="00192097" w:rsidP="00192097">
      <w:pPr>
        <w:pStyle w:val="ListParagraph"/>
        <w:numPr>
          <w:ilvl w:val="0"/>
          <w:numId w:val="38"/>
        </w:numPr>
        <w:ind w:right="-22"/>
        <w:rPr>
          <w:rFonts w:eastAsia="Calibri" w:cs="Times New Roman"/>
          <w:szCs w:val="20"/>
          <w:lang w:val="en-GB"/>
        </w:rPr>
      </w:pPr>
      <w:r>
        <w:rPr>
          <w:rFonts w:eastAsia="Calibri" w:cs="Times New Roman"/>
          <w:szCs w:val="20"/>
          <w:lang w:val="en-GB"/>
        </w:rPr>
        <w:t>EN-DC</w:t>
      </w:r>
    </w:p>
    <w:p w14:paraId="1CEE2B5F" w14:textId="34A07AB4" w:rsidR="00192097" w:rsidRPr="00192097" w:rsidRDefault="00192097" w:rsidP="00192097">
      <w:pPr>
        <w:pStyle w:val="ListParagraph"/>
        <w:numPr>
          <w:ilvl w:val="0"/>
          <w:numId w:val="38"/>
        </w:numPr>
        <w:ind w:right="-22"/>
        <w:rPr>
          <w:rFonts w:eastAsia="Calibri" w:cs="Times New Roman"/>
          <w:szCs w:val="20"/>
          <w:lang w:val="en-GB"/>
        </w:rPr>
      </w:pPr>
      <w:r>
        <w:rPr>
          <w:rFonts w:eastAsia="Calibri" w:cs="Times New Roman"/>
          <w:szCs w:val="20"/>
          <w:lang w:val="en-GB"/>
        </w:rPr>
        <w:t>NR-DC</w:t>
      </w:r>
    </w:p>
    <w:p w14:paraId="33616093" w14:textId="0742C1CC" w:rsidR="00192097" w:rsidRDefault="00192097" w:rsidP="008C7ADD">
      <w:pPr>
        <w:ind w:right="-22"/>
        <w:rPr>
          <w:rFonts w:eastAsia="Calibri" w:cs="Times New Roman"/>
          <w:szCs w:val="20"/>
          <w:lang w:val="en-GB"/>
        </w:rPr>
      </w:pPr>
      <w:r>
        <w:rPr>
          <w:rFonts w:eastAsia="Calibri" w:cs="Times New Roman"/>
          <w:szCs w:val="20"/>
          <w:lang w:val="en-GB"/>
        </w:rPr>
        <w:t xml:space="preserve">For the EN-DC, the PCell is always in LTE and in FR1. The </w:t>
      </w:r>
      <w:proofErr w:type="spellStart"/>
      <w:r>
        <w:rPr>
          <w:rFonts w:eastAsia="Calibri" w:cs="Times New Roman"/>
          <w:szCs w:val="20"/>
          <w:lang w:val="en-GB"/>
        </w:rPr>
        <w:t>PSCell</w:t>
      </w:r>
      <w:proofErr w:type="spellEnd"/>
      <w:r>
        <w:rPr>
          <w:rFonts w:eastAsia="Calibri" w:cs="Times New Roman"/>
          <w:szCs w:val="20"/>
          <w:lang w:val="en-GB"/>
        </w:rPr>
        <w:t xml:space="preserve"> is </w:t>
      </w:r>
      <w:r w:rsidR="006A12C0">
        <w:rPr>
          <w:rFonts w:eastAsia="Calibri" w:cs="Times New Roman"/>
          <w:szCs w:val="20"/>
          <w:lang w:val="en-GB"/>
        </w:rPr>
        <w:t xml:space="preserve">an </w:t>
      </w:r>
      <w:r>
        <w:rPr>
          <w:rFonts w:eastAsia="Calibri" w:cs="Times New Roman"/>
          <w:szCs w:val="20"/>
          <w:lang w:val="en-GB"/>
        </w:rPr>
        <w:t xml:space="preserve">NR cell which can </w:t>
      </w:r>
      <w:r w:rsidRPr="00C3717F">
        <w:rPr>
          <w:rFonts w:eastAsia="Calibri" w:cs="Times New Roman"/>
          <w:szCs w:val="20"/>
          <w:lang w:val="en-GB"/>
        </w:rPr>
        <w:t>be either in FR1 or FR2 as both combos have been defined in RF</w:t>
      </w:r>
      <w:r>
        <w:rPr>
          <w:rFonts w:eastAsia="Calibri" w:cs="Times New Roman"/>
          <w:szCs w:val="20"/>
          <w:lang w:val="en-GB"/>
        </w:rPr>
        <w:t>.</w:t>
      </w:r>
    </w:p>
    <w:p w14:paraId="7EE0B646" w14:textId="4560CBC9" w:rsidR="00192097" w:rsidRDefault="00192097" w:rsidP="002E7B74">
      <w:pPr>
        <w:pStyle w:val="RAN4observation0"/>
      </w:pPr>
      <w:r>
        <w:t xml:space="preserve">When considering deactivated SCG in EN-DC, the NR </w:t>
      </w:r>
      <w:proofErr w:type="spellStart"/>
      <w:r>
        <w:t>PSCell</w:t>
      </w:r>
      <w:proofErr w:type="spellEnd"/>
      <w:r>
        <w:t xml:space="preserve"> can be in either FR</w:t>
      </w:r>
      <w:r w:rsidR="00C3717F">
        <w:t>1</w:t>
      </w:r>
      <w:r>
        <w:t xml:space="preserve"> or FR2.</w:t>
      </w:r>
    </w:p>
    <w:p w14:paraId="2C7A0C8A" w14:textId="1936ACE7" w:rsidR="002E7B74" w:rsidRDefault="002E7B74" w:rsidP="008C7ADD">
      <w:pPr>
        <w:ind w:right="-22"/>
        <w:rPr>
          <w:rFonts w:eastAsia="Calibri" w:cs="Times New Roman"/>
          <w:szCs w:val="20"/>
          <w:lang w:val="en-GB"/>
        </w:rPr>
      </w:pPr>
      <w:r>
        <w:rPr>
          <w:rFonts w:eastAsia="Calibri" w:cs="Times New Roman"/>
          <w:szCs w:val="20"/>
          <w:lang w:val="en-GB"/>
        </w:rPr>
        <w:t>RAN4 would need to define requirements for EN-DC with deactivated SCG when the SCG is in NR FR1 and FR2.</w:t>
      </w:r>
    </w:p>
    <w:p w14:paraId="6193CBBE" w14:textId="60F7E850" w:rsidR="002E7B74" w:rsidRDefault="002E7B74" w:rsidP="002E7B74">
      <w:pPr>
        <w:pStyle w:val="RAN4proposal"/>
        <w:rPr>
          <w:lang w:val="en-GB"/>
        </w:rPr>
      </w:pPr>
      <w:r>
        <w:rPr>
          <w:rFonts w:eastAsia="Calibri" w:cs="Times New Roman"/>
          <w:szCs w:val="20"/>
          <w:lang w:val="en-GB"/>
        </w:rPr>
        <w:t>RAN4 to define requirements for EN-DC with deactivated SCG when the SCG is in NR FR1 and FR2.</w:t>
      </w:r>
    </w:p>
    <w:p w14:paraId="370A2DA1" w14:textId="31D1A9A4" w:rsidR="00001C1A" w:rsidRDefault="00192097" w:rsidP="008C7ADD">
      <w:pPr>
        <w:ind w:right="-22"/>
        <w:rPr>
          <w:rFonts w:eastAsia="Calibri" w:cs="Times New Roman"/>
          <w:szCs w:val="20"/>
          <w:lang w:val="en-GB"/>
        </w:rPr>
      </w:pPr>
      <w:r>
        <w:rPr>
          <w:rFonts w:eastAsia="Calibri" w:cs="Times New Roman"/>
          <w:szCs w:val="20"/>
          <w:lang w:val="en-GB"/>
        </w:rPr>
        <w:t xml:space="preserve">When considering NR-DC, the PCell </w:t>
      </w:r>
      <w:r w:rsidR="00D417D4">
        <w:rPr>
          <w:rFonts w:eastAsia="Calibri" w:cs="Times New Roman"/>
          <w:szCs w:val="20"/>
          <w:lang w:val="en-GB"/>
        </w:rPr>
        <w:t xml:space="preserve">may be in either FR1 or FR2. Additionally, the </w:t>
      </w:r>
      <w:r w:rsidR="00E134F1">
        <w:rPr>
          <w:rFonts w:eastAsia="Calibri" w:cs="Times New Roman"/>
          <w:szCs w:val="20"/>
          <w:lang w:val="en-GB"/>
        </w:rPr>
        <w:t xml:space="preserve">SCG may be in either FR1 or FR2. </w:t>
      </w:r>
      <w:r w:rsidR="008C60AB">
        <w:rPr>
          <w:rFonts w:eastAsia="Calibri" w:cs="Times New Roman"/>
          <w:szCs w:val="20"/>
          <w:lang w:val="en-GB"/>
        </w:rPr>
        <w:t>For NR a common understanding is that the PCell usually will be in FR1.</w:t>
      </w:r>
      <w:r w:rsidR="00001C1A">
        <w:rPr>
          <w:rFonts w:eastAsia="Calibri" w:cs="Times New Roman"/>
          <w:szCs w:val="20"/>
          <w:lang w:val="en-GB"/>
        </w:rPr>
        <w:t xml:space="preserve"> Hence, for this case the SCG will be in </w:t>
      </w:r>
      <w:r w:rsidR="000F5F5A">
        <w:rPr>
          <w:rFonts w:eastAsia="Calibri" w:cs="Times New Roman"/>
          <w:szCs w:val="20"/>
          <w:lang w:val="en-GB"/>
        </w:rPr>
        <w:t xml:space="preserve">either FR1 or </w:t>
      </w:r>
      <w:r w:rsidR="00001C1A">
        <w:rPr>
          <w:rFonts w:eastAsia="Calibri" w:cs="Times New Roman"/>
          <w:szCs w:val="20"/>
          <w:lang w:val="en-GB"/>
        </w:rPr>
        <w:t>FR2.</w:t>
      </w:r>
    </w:p>
    <w:p w14:paraId="2A74CF51" w14:textId="16A6EA32" w:rsidR="00C176C8" w:rsidRDefault="00C176C8" w:rsidP="00C176C8">
      <w:pPr>
        <w:pStyle w:val="RAN4observation0"/>
      </w:pPr>
      <w:r>
        <w:t>When considering deactivated SCG in N</w:t>
      </w:r>
      <w:r w:rsidR="0085010A">
        <w:t>R</w:t>
      </w:r>
      <w:r>
        <w:t xml:space="preserve">-DC, the </w:t>
      </w:r>
      <w:proofErr w:type="spellStart"/>
      <w:r>
        <w:t>PSCell</w:t>
      </w:r>
      <w:proofErr w:type="spellEnd"/>
      <w:r>
        <w:t xml:space="preserve"> can be in either FR1 or FR2.</w:t>
      </w:r>
    </w:p>
    <w:p w14:paraId="5E4229F8" w14:textId="0976D571" w:rsidR="00C176C8" w:rsidRDefault="00C176C8" w:rsidP="00C176C8">
      <w:pPr>
        <w:ind w:right="-22"/>
        <w:rPr>
          <w:rFonts w:eastAsia="Calibri" w:cs="Times New Roman"/>
          <w:szCs w:val="20"/>
          <w:lang w:val="en-GB"/>
        </w:rPr>
      </w:pPr>
      <w:r>
        <w:rPr>
          <w:rFonts w:eastAsia="Calibri" w:cs="Times New Roman"/>
          <w:szCs w:val="20"/>
          <w:lang w:val="en-GB"/>
        </w:rPr>
        <w:lastRenderedPageBreak/>
        <w:t>RAN4 would need to define requirements for N</w:t>
      </w:r>
      <w:r w:rsidR="0085010A">
        <w:rPr>
          <w:rFonts w:eastAsia="Calibri" w:cs="Times New Roman"/>
          <w:szCs w:val="20"/>
          <w:lang w:val="en-GB"/>
        </w:rPr>
        <w:t>R</w:t>
      </w:r>
      <w:r>
        <w:rPr>
          <w:rFonts w:eastAsia="Calibri" w:cs="Times New Roman"/>
          <w:szCs w:val="20"/>
          <w:lang w:val="en-GB"/>
        </w:rPr>
        <w:t>-DC with deactivated SCG when the SCG is in FR1 and FR2.</w:t>
      </w:r>
    </w:p>
    <w:p w14:paraId="2B50FD3D" w14:textId="18A9439B" w:rsidR="00C176C8" w:rsidRDefault="00C176C8" w:rsidP="00C176C8">
      <w:pPr>
        <w:pStyle w:val="RAN4proposal"/>
        <w:rPr>
          <w:lang w:val="en-GB"/>
        </w:rPr>
      </w:pPr>
      <w:r>
        <w:rPr>
          <w:rFonts w:eastAsia="Calibri" w:cs="Times New Roman"/>
          <w:szCs w:val="20"/>
          <w:lang w:val="en-GB"/>
        </w:rPr>
        <w:t>RAN4 to define requirements for N</w:t>
      </w:r>
      <w:r w:rsidR="00477BD5">
        <w:rPr>
          <w:rFonts w:eastAsia="Calibri" w:cs="Times New Roman"/>
          <w:szCs w:val="20"/>
          <w:lang w:val="en-GB"/>
        </w:rPr>
        <w:t>R</w:t>
      </w:r>
      <w:r>
        <w:rPr>
          <w:rFonts w:eastAsia="Calibri" w:cs="Times New Roman"/>
          <w:szCs w:val="20"/>
          <w:lang w:val="en-GB"/>
        </w:rPr>
        <w:t>-DC with deactivated SCG when the SCG is in FR1 and FR2.</w:t>
      </w:r>
    </w:p>
    <w:p w14:paraId="4041387A" w14:textId="496D9BA4" w:rsidR="00DD585C" w:rsidRDefault="00192097" w:rsidP="008C7ADD">
      <w:pPr>
        <w:ind w:right="-22"/>
        <w:rPr>
          <w:rFonts w:eastAsia="Calibri" w:cs="Times New Roman"/>
          <w:szCs w:val="20"/>
          <w:lang w:val="en-GB"/>
        </w:rPr>
      </w:pPr>
      <w:r>
        <w:rPr>
          <w:rFonts w:eastAsia="Calibri" w:cs="Times New Roman"/>
          <w:szCs w:val="20"/>
          <w:lang w:val="en-GB"/>
        </w:rPr>
        <w:t>RAN4 should define requirements based on the scenarios included in the WI. RAN4 should develop generic UE requirements for a deactivated SCG while accounting the potential differences due to SCG being in FR1 or FR2</w:t>
      </w:r>
      <w:r w:rsidR="00774982">
        <w:rPr>
          <w:rFonts w:eastAsia="Calibri" w:cs="Times New Roman"/>
          <w:szCs w:val="20"/>
          <w:lang w:val="en-GB"/>
        </w:rPr>
        <w:t>.</w:t>
      </w:r>
    </w:p>
    <w:p w14:paraId="14ACF1BD" w14:textId="47364246" w:rsidR="00087E9F" w:rsidRDefault="00087E9F" w:rsidP="008C7ADD">
      <w:pPr>
        <w:ind w:right="-22"/>
        <w:rPr>
          <w:rFonts w:eastAsia="Calibri" w:cs="Times New Roman"/>
          <w:szCs w:val="20"/>
          <w:lang w:val="en-GB"/>
        </w:rPr>
      </w:pPr>
    </w:p>
    <w:p w14:paraId="2914297A" w14:textId="59CAAD24" w:rsidR="00192097" w:rsidRDefault="00FD3A48" w:rsidP="001F7D11">
      <w:pPr>
        <w:pStyle w:val="RAN4H3"/>
        <w:rPr>
          <w:lang w:val="en-GB"/>
        </w:rPr>
      </w:pPr>
      <w:r>
        <w:rPr>
          <w:lang w:val="en-GB"/>
        </w:rPr>
        <w:t xml:space="preserve">Measurement </w:t>
      </w:r>
      <w:r w:rsidR="001F7D11">
        <w:rPr>
          <w:lang w:val="en-GB"/>
        </w:rPr>
        <w:t>Requirements</w:t>
      </w:r>
      <w:r w:rsidR="00A95089">
        <w:rPr>
          <w:lang w:val="en-GB"/>
        </w:rPr>
        <w:t xml:space="preserve"> to be defined</w:t>
      </w:r>
    </w:p>
    <w:p w14:paraId="06B55D1D" w14:textId="0C6762F0" w:rsidR="008C7ADD" w:rsidRDefault="008C7ADD" w:rsidP="008C7ADD">
      <w:pPr>
        <w:ind w:right="-22"/>
        <w:rPr>
          <w:rFonts w:eastAsia="Calibri" w:cs="Times New Roman"/>
          <w:szCs w:val="20"/>
          <w:lang w:val="en-GB"/>
        </w:rPr>
      </w:pPr>
      <w:r>
        <w:rPr>
          <w:rFonts w:eastAsia="Calibri" w:cs="Times New Roman"/>
          <w:szCs w:val="20"/>
          <w:lang w:val="en-GB"/>
        </w:rPr>
        <w:t xml:space="preserve">Considering RAN4 </w:t>
      </w:r>
      <w:r w:rsidR="009856D5">
        <w:rPr>
          <w:rFonts w:eastAsia="Calibri" w:cs="Times New Roman"/>
          <w:szCs w:val="20"/>
          <w:lang w:val="en-GB"/>
        </w:rPr>
        <w:t xml:space="preserve">UE </w:t>
      </w:r>
      <w:r>
        <w:rPr>
          <w:rFonts w:eastAsia="Calibri" w:cs="Times New Roman"/>
          <w:szCs w:val="20"/>
          <w:lang w:val="en-GB"/>
        </w:rPr>
        <w:t xml:space="preserve">RRM </w:t>
      </w:r>
      <w:r w:rsidR="009856D5">
        <w:rPr>
          <w:rFonts w:eastAsia="Calibri" w:cs="Times New Roman"/>
          <w:szCs w:val="20"/>
          <w:lang w:val="en-GB"/>
        </w:rPr>
        <w:t>requirements</w:t>
      </w:r>
      <w:r>
        <w:rPr>
          <w:rFonts w:eastAsia="Calibri" w:cs="Times New Roman"/>
          <w:szCs w:val="20"/>
          <w:lang w:val="en-GB"/>
        </w:rPr>
        <w:t xml:space="preserve">, </w:t>
      </w:r>
      <w:r w:rsidR="009856D5">
        <w:rPr>
          <w:rFonts w:eastAsia="Calibri" w:cs="Times New Roman"/>
          <w:szCs w:val="20"/>
          <w:lang w:val="en-GB"/>
        </w:rPr>
        <w:t xml:space="preserve">it is noticed </w:t>
      </w:r>
      <w:r>
        <w:rPr>
          <w:rFonts w:eastAsia="Calibri" w:cs="Times New Roman"/>
          <w:szCs w:val="20"/>
          <w:lang w:val="en-GB"/>
        </w:rPr>
        <w:t xml:space="preserve">that UE does not monitor PDCCH of the deactivated SCG while RRM measurements </w:t>
      </w:r>
      <w:r w:rsidR="009856D5">
        <w:rPr>
          <w:rFonts w:eastAsia="Calibri" w:cs="Times New Roman"/>
          <w:szCs w:val="20"/>
          <w:lang w:val="en-GB"/>
        </w:rPr>
        <w:t xml:space="preserve">for </w:t>
      </w:r>
      <w:proofErr w:type="spellStart"/>
      <w:r w:rsidR="009856D5">
        <w:rPr>
          <w:rFonts w:eastAsia="Calibri" w:cs="Times New Roman"/>
          <w:szCs w:val="20"/>
          <w:lang w:val="en-GB"/>
        </w:rPr>
        <w:t>PSCell</w:t>
      </w:r>
      <w:proofErr w:type="spellEnd"/>
      <w:r w:rsidR="009856D5">
        <w:rPr>
          <w:rFonts w:eastAsia="Calibri" w:cs="Times New Roman"/>
          <w:szCs w:val="20"/>
          <w:lang w:val="en-GB"/>
        </w:rPr>
        <w:t xml:space="preserve"> mobility </w:t>
      </w:r>
      <w:r>
        <w:rPr>
          <w:rFonts w:eastAsia="Calibri" w:cs="Times New Roman"/>
          <w:szCs w:val="20"/>
          <w:lang w:val="en-GB"/>
        </w:rPr>
        <w:t xml:space="preserve">are to be </w:t>
      </w:r>
      <w:r w:rsidR="009856D5">
        <w:rPr>
          <w:rFonts w:eastAsia="Calibri" w:cs="Times New Roman"/>
          <w:szCs w:val="20"/>
          <w:lang w:val="en-GB"/>
        </w:rPr>
        <w:t>supported</w:t>
      </w:r>
      <w:r>
        <w:rPr>
          <w:rFonts w:eastAsia="Calibri" w:cs="Times New Roman"/>
          <w:szCs w:val="20"/>
          <w:lang w:val="en-GB"/>
        </w:rPr>
        <w:t xml:space="preserve">. Thus, this </w:t>
      </w:r>
      <w:r w:rsidR="009856D5">
        <w:rPr>
          <w:rFonts w:eastAsia="Calibri" w:cs="Times New Roman"/>
          <w:szCs w:val="20"/>
          <w:lang w:val="en-GB"/>
        </w:rPr>
        <w:t>means that</w:t>
      </w:r>
      <w:r>
        <w:rPr>
          <w:rFonts w:eastAsia="Calibri" w:cs="Times New Roman"/>
          <w:szCs w:val="20"/>
          <w:lang w:val="en-GB"/>
        </w:rPr>
        <w:t xml:space="preserve"> RAN4 </w:t>
      </w:r>
      <w:r w:rsidR="009856D5">
        <w:rPr>
          <w:rFonts w:eastAsia="Calibri" w:cs="Times New Roman"/>
          <w:szCs w:val="20"/>
          <w:lang w:val="en-GB"/>
        </w:rPr>
        <w:t xml:space="preserve">would need </w:t>
      </w:r>
      <w:r>
        <w:rPr>
          <w:rFonts w:eastAsia="Calibri" w:cs="Times New Roman"/>
          <w:szCs w:val="20"/>
          <w:lang w:val="en-GB"/>
        </w:rPr>
        <w:t xml:space="preserve">to define corresponding </w:t>
      </w:r>
      <w:r w:rsidR="009856D5">
        <w:rPr>
          <w:rFonts w:eastAsia="Calibri" w:cs="Times New Roman"/>
          <w:szCs w:val="20"/>
          <w:lang w:val="en-GB"/>
        </w:rPr>
        <w:t xml:space="preserve">RRM </w:t>
      </w:r>
      <w:r>
        <w:rPr>
          <w:rFonts w:eastAsia="Calibri" w:cs="Times New Roman"/>
          <w:szCs w:val="20"/>
          <w:lang w:val="en-GB"/>
        </w:rPr>
        <w:t xml:space="preserve">measurement and </w:t>
      </w:r>
      <w:r w:rsidR="009856D5">
        <w:rPr>
          <w:rFonts w:eastAsia="Calibri" w:cs="Times New Roman"/>
          <w:szCs w:val="20"/>
          <w:lang w:val="en-GB"/>
        </w:rPr>
        <w:t>accuracy</w:t>
      </w:r>
      <w:r>
        <w:rPr>
          <w:rFonts w:eastAsia="Calibri" w:cs="Times New Roman"/>
          <w:szCs w:val="20"/>
          <w:lang w:val="en-GB"/>
        </w:rPr>
        <w:t xml:space="preserve"> requirements</w:t>
      </w:r>
      <w:r w:rsidR="009856D5">
        <w:rPr>
          <w:rFonts w:eastAsia="Calibri" w:cs="Times New Roman"/>
          <w:szCs w:val="20"/>
          <w:lang w:val="en-GB"/>
        </w:rPr>
        <w:t xml:space="preserve"> to enable </w:t>
      </w:r>
      <w:proofErr w:type="spellStart"/>
      <w:r w:rsidR="009856D5">
        <w:rPr>
          <w:rFonts w:eastAsia="Calibri" w:cs="Times New Roman"/>
          <w:szCs w:val="20"/>
          <w:lang w:val="en-GB"/>
        </w:rPr>
        <w:t>PSCell</w:t>
      </w:r>
      <w:proofErr w:type="spellEnd"/>
      <w:r w:rsidR="009856D5">
        <w:rPr>
          <w:rFonts w:eastAsia="Calibri" w:cs="Times New Roman"/>
          <w:szCs w:val="20"/>
          <w:lang w:val="en-GB"/>
        </w:rPr>
        <w:t xml:space="preserve"> mobility</w:t>
      </w:r>
      <w:r>
        <w:rPr>
          <w:rFonts w:eastAsia="Calibri" w:cs="Times New Roman"/>
          <w:szCs w:val="20"/>
          <w:lang w:val="en-GB"/>
        </w:rPr>
        <w:t xml:space="preserve">. </w:t>
      </w:r>
    </w:p>
    <w:p w14:paraId="76C1C7BF" w14:textId="5A411468" w:rsidR="008C7ADD" w:rsidRDefault="008C7ADD" w:rsidP="008C7ADD">
      <w:r>
        <w:t xml:space="preserve">Based on above list of agreement </w:t>
      </w:r>
      <w:r w:rsidR="001F7D11">
        <w:t xml:space="preserve">in RAN2 </w:t>
      </w:r>
      <w:r>
        <w:t xml:space="preserve">we </w:t>
      </w:r>
      <w:r w:rsidR="001F7D11">
        <w:t xml:space="preserve">next discuss which UE requirement we </w:t>
      </w:r>
      <w:r>
        <w:t xml:space="preserve">see RAN4 </w:t>
      </w:r>
      <w:r w:rsidR="001F7D11">
        <w:t>would need to define.</w:t>
      </w:r>
    </w:p>
    <w:p w14:paraId="75C9EDF7" w14:textId="46688F57" w:rsidR="00875244" w:rsidRPr="00875244" w:rsidRDefault="00875244" w:rsidP="008C7ADD">
      <w:pPr>
        <w:rPr>
          <w:b/>
          <w:bCs/>
          <w:u w:val="single"/>
        </w:rPr>
      </w:pPr>
      <w:r w:rsidRPr="00875244">
        <w:rPr>
          <w:b/>
          <w:bCs/>
          <w:u w:val="single"/>
        </w:rPr>
        <w:t>Measurement Procedure:</w:t>
      </w:r>
    </w:p>
    <w:p w14:paraId="0318DCA8" w14:textId="4822B015" w:rsidR="008C7ADD" w:rsidRDefault="008C7ADD" w:rsidP="008C7ADD">
      <w:r>
        <w:t>As the M</w:t>
      </w:r>
      <w:r w:rsidR="001E6A63">
        <w:t>N configured</w:t>
      </w:r>
      <w:r>
        <w:t xml:space="preserve"> </w:t>
      </w:r>
      <w:r w:rsidR="001E6A63">
        <w:t xml:space="preserve">RRM </w:t>
      </w:r>
      <w:r>
        <w:t xml:space="preserve">measurement </w:t>
      </w:r>
      <w:r w:rsidR="001E6A63">
        <w:t>and reporting procedures</w:t>
      </w:r>
      <w:r>
        <w:t xml:space="preserve"> are not impacted by the SCG being activated or deactivated </w:t>
      </w:r>
      <w:r w:rsidR="001E6A63">
        <w:t xml:space="preserve">RAN4 should evaluate whether </w:t>
      </w:r>
      <w:r>
        <w:t>the current M</w:t>
      </w:r>
      <w:r w:rsidR="001E6A63">
        <w:t>N</w:t>
      </w:r>
      <w:r>
        <w:t xml:space="preserve"> measurement requirements can apply </w:t>
      </w:r>
      <w:r w:rsidR="001E6A63">
        <w:t>directly or not</w:t>
      </w:r>
      <w:r>
        <w:t xml:space="preserve"> when </w:t>
      </w:r>
      <w:r w:rsidR="001E6A63">
        <w:t xml:space="preserve">the </w:t>
      </w:r>
      <w:r>
        <w:t>SCG is deactivated.</w:t>
      </w:r>
    </w:p>
    <w:p w14:paraId="6BD5CCA8" w14:textId="20CEB50C" w:rsidR="008C7ADD" w:rsidRDefault="001E6A63" w:rsidP="001E6A63">
      <w:pPr>
        <w:pStyle w:val="RAN4proposal"/>
      </w:pPr>
      <w:r>
        <w:t>RAN4 should evaluate whether the current MN measurement requirements can apply directly or not when the SCG is deactivated</w:t>
      </w:r>
      <w:r w:rsidR="008C7ADD">
        <w:t>.</w:t>
      </w:r>
    </w:p>
    <w:p w14:paraId="041928A5" w14:textId="6FD3E454" w:rsidR="008C7ADD" w:rsidRDefault="008C7ADD" w:rsidP="008C7ADD">
      <w:r>
        <w:t xml:space="preserve">While the SCG is deactivated, </w:t>
      </w:r>
      <w:proofErr w:type="spellStart"/>
      <w:r>
        <w:t>PSCell</w:t>
      </w:r>
      <w:proofErr w:type="spellEnd"/>
      <w:r>
        <w:t xml:space="preserve"> mobility </w:t>
      </w:r>
      <w:r w:rsidR="001E6A63">
        <w:t>still needs to be</w:t>
      </w:r>
      <w:r>
        <w:t xml:space="preserve"> supported. </w:t>
      </w:r>
      <w:r w:rsidR="001E6A63">
        <w:t xml:space="preserve">This means that the UE would need to perform L3 RRM measurements on a deactivated </w:t>
      </w:r>
      <w:proofErr w:type="spellStart"/>
      <w:r w:rsidR="001E6A63">
        <w:t>PSCell</w:t>
      </w:r>
      <w:proofErr w:type="spellEnd"/>
      <w:r w:rsidR="001E6A63">
        <w:t xml:space="preserve">. </w:t>
      </w:r>
      <w:r>
        <w:t xml:space="preserve">Hence, RAN4 would need to develop </w:t>
      </w:r>
      <w:r w:rsidR="001E6A63">
        <w:t>UE</w:t>
      </w:r>
      <w:r>
        <w:t xml:space="preserve"> measurement requirements for a deactivated </w:t>
      </w:r>
      <w:proofErr w:type="spellStart"/>
      <w:r>
        <w:t>PSCell</w:t>
      </w:r>
      <w:proofErr w:type="spellEnd"/>
      <w:r>
        <w:t>.</w:t>
      </w:r>
    </w:p>
    <w:p w14:paraId="543903CD" w14:textId="1CA6A0F6" w:rsidR="008C7ADD" w:rsidRDefault="008C7ADD" w:rsidP="001E6A63">
      <w:pPr>
        <w:pStyle w:val="RAN4proposal"/>
      </w:pPr>
      <w:r>
        <w:t xml:space="preserve">RAN4 need to define measurement requirements for a deactivated </w:t>
      </w:r>
      <w:proofErr w:type="spellStart"/>
      <w:r>
        <w:t>PSCell</w:t>
      </w:r>
      <w:proofErr w:type="spellEnd"/>
    </w:p>
    <w:p w14:paraId="73B95030" w14:textId="7824EBA0" w:rsidR="00E46667" w:rsidRDefault="00E46667" w:rsidP="008C7ADD">
      <w:r>
        <w:t>The measurement requirements discussion would at least need to include cell identification detection delay and measurement period.</w:t>
      </w:r>
    </w:p>
    <w:p w14:paraId="2A53C2B7" w14:textId="4C2CF4D4" w:rsidR="008C7ADD" w:rsidRDefault="001E6A63" w:rsidP="008C7ADD">
      <w:r>
        <w:t xml:space="preserve">Measurements on the deactivated SCG can be configured by both MN and SN. </w:t>
      </w:r>
      <w:r w:rsidR="008C7ADD">
        <w:t xml:space="preserve">The UE will continue to measure and report the deactivated SCG. </w:t>
      </w:r>
      <w:r>
        <w:t>This means</w:t>
      </w:r>
      <w:r w:rsidR="008C7ADD">
        <w:t xml:space="preserve">, </w:t>
      </w:r>
      <w:r>
        <w:t xml:space="preserve">that </w:t>
      </w:r>
      <w:r w:rsidR="008C7ADD">
        <w:t xml:space="preserve">RAN4 would need to </w:t>
      </w:r>
      <w:r>
        <w:t>evaluate if any update to the current</w:t>
      </w:r>
      <w:r w:rsidR="008C7ADD">
        <w:t xml:space="preserve"> </w:t>
      </w:r>
      <w:r>
        <w:t xml:space="preserve">measurement </w:t>
      </w:r>
      <w:r w:rsidR="008C7ADD">
        <w:t xml:space="preserve">reporting requirements </w:t>
      </w:r>
      <w:r>
        <w:t>are needed to apply for deactivated SCG.</w:t>
      </w:r>
    </w:p>
    <w:p w14:paraId="6A61A7E4" w14:textId="16C3F0C7" w:rsidR="008C7ADD" w:rsidRDefault="008C7ADD" w:rsidP="001E6A63">
      <w:pPr>
        <w:pStyle w:val="RAN4proposal"/>
      </w:pPr>
      <w:r>
        <w:t xml:space="preserve">RAN4 should </w:t>
      </w:r>
      <w:r w:rsidR="00875244">
        <w:t>discuss</w:t>
      </w:r>
      <w:r w:rsidR="001E6A63">
        <w:t xml:space="preserve"> if existing</w:t>
      </w:r>
      <w:r>
        <w:t xml:space="preserve"> </w:t>
      </w:r>
      <w:r w:rsidR="001E6A63">
        <w:t xml:space="preserve">measurements </w:t>
      </w:r>
      <w:r>
        <w:t xml:space="preserve">reporting requirements </w:t>
      </w:r>
      <w:r w:rsidR="001E6A63">
        <w:t xml:space="preserve">apply also </w:t>
      </w:r>
      <w:r>
        <w:t>for deactivated SCG.</w:t>
      </w:r>
    </w:p>
    <w:p w14:paraId="2FFB9AF4" w14:textId="5D14D607" w:rsidR="001E6A63" w:rsidRDefault="001E6A63" w:rsidP="001E6A63">
      <w:r>
        <w:t xml:space="preserve">RAN4 would need to discuss both the measurement accuracy requirements applicable for a deactivated SCG </w:t>
      </w:r>
      <w:r w:rsidR="00875244">
        <w:t>and the reporting delay requirements.</w:t>
      </w:r>
    </w:p>
    <w:p w14:paraId="3F72C59F" w14:textId="7E59C6B1" w:rsidR="008C7ADD" w:rsidRDefault="008C7ADD" w:rsidP="00875244">
      <w:pPr>
        <w:pStyle w:val="RAN4proposal"/>
      </w:pPr>
      <w:r>
        <w:t xml:space="preserve">RAN4 to </w:t>
      </w:r>
      <w:r w:rsidR="00875244">
        <w:t>discuss</w:t>
      </w:r>
      <w:r>
        <w:t xml:space="preserve"> measurement accuracy requirements </w:t>
      </w:r>
      <w:r w:rsidR="00875244">
        <w:t xml:space="preserve">and reporting delay requirements </w:t>
      </w:r>
      <w:r>
        <w:t>for deactivated SCG.</w:t>
      </w:r>
    </w:p>
    <w:p w14:paraId="13A37742" w14:textId="1E81AE17" w:rsidR="00875244" w:rsidRDefault="00875244" w:rsidP="008C7ADD">
      <w:r>
        <w:t>RAN2 is still discussing the need for beam monitoring/measurements on a deactivated SCG. As this is still open in RAN2 we suggest postponing the RAN4 discussion until RAN2 has settled the discussion.</w:t>
      </w:r>
    </w:p>
    <w:p w14:paraId="7E0FE42A" w14:textId="66905BCD" w:rsidR="00875244" w:rsidRDefault="00875244" w:rsidP="00875244">
      <w:pPr>
        <w:pStyle w:val="RAN4proposal"/>
      </w:pPr>
      <w:r>
        <w:t>Postpone beam related measurements on a deactivated SCG until RAN2 decision has been reached.</w:t>
      </w:r>
    </w:p>
    <w:p w14:paraId="030C1072" w14:textId="4F613523" w:rsidR="008C45B0" w:rsidRDefault="008C45B0" w:rsidP="008C7ADD"/>
    <w:p w14:paraId="5F40719B" w14:textId="23F7FAC8" w:rsidR="00A95089" w:rsidRDefault="00A95089" w:rsidP="00A95089">
      <w:pPr>
        <w:pStyle w:val="RAN4H3"/>
      </w:pPr>
      <w:r>
        <w:t>Signaling</w:t>
      </w:r>
      <w:r w:rsidR="004662C7">
        <w:t xml:space="preserve"> Requirements to be defined</w:t>
      </w:r>
    </w:p>
    <w:p w14:paraId="590389B9" w14:textId="165CD961" w:rsidR="00875244" w:rsidRPr="008C45B0" w:rsidRDefault="008C45B0" w:rsidP="008C7ADD">
      <w:pPr>
        <w:rPr>
          <w:b/>
          <w:bCs/>
          <w:u w:val="single"/>
        </w:rPr>
      </w:pPr>
      <w:r w:rsidRPr="008C45B0">
        <w:rPr>
          <w:b/>
          <w:bCs/>
          <w:u w:val="single"/>
        </w:rPr>
        <w:t>Signaling Characteristics:</w:t>
      </w:r>
    </w:p>
    <w:p w14:paraId="5D170417" w14:textId="67C5A35C" w:rsidR="00D00D7B" w:rsidRDefault="00167E25" w:rsidP="008C7ADD">
      <w:r>
        <w:t>T</w:t>
      </w:r>
      <w:r w:rsidR="008C7ADD">
        <w:t>he SCG can be activated and deactivated</w:t>
      </w:r>
      <w:r w:rsidR="0088368B">
        <w:t xml:space="preserve"> and</w:t>
      </w:r>
      <w:r w:rsidR="008C7ADD">
        <w:t xml:space="preserve"> RAN4 need to develop activation and deactivation delay requirements for SCG.</w:t>
      </w:r>
      <w:r w:rsidR="00D00D7B">
        <w:t xml:space="preserve"> Currently, the SCG can be activated and deactivated using </w:t>
      </w:r>
      <w:proofErr w:type="spellStart"/>
      <w:r w:rsidR="00D00D7B">
        <w:t>RRCReconfiguration</w:t>
      </w:r>
      <w:proofErr w:type="spellEnd"/>
      <w:r w:rsidR="00D00D7B">
        <w:t xml:space="preserve">. </w:t>
      </w:r>
      <w:r w:rsidR="003F00CB">
        <w:t>Additionally</w:t>
      </w:r>
      <w:r w:rsidR="000B24CE">
        <w:t>, t</w:t>
      </w:r>
      <w:r w:rsidR="00D00D7B">
        <w:t xml:space="preserve">he activation state can be indicated directly upon SCG configuration. </w:t>
      </w:r>
    </w:p>
    <w:p w14:paraId="6E146D7A" w14:textId="77777777" w:rsidR="003F00CB" w:rsidRDefault="003F00CB" w:rsidP="003F00CB">
      <w:r>
        <w:t>Whether other activation signaling means will be supported is still under discussion in RAN2.</w:t>
      </w:r>
    </w:p>
    <w:p w14:paraId="20B8C9EC" w14:textId="77777777" w:rsidR="003F00CB" w:rsidRDefault="003F00CB" w:rsidP="003F00CB">
      <w:r>
        <w:lastRenderedPageBreak/>
        <w:t xml:space="preserve">Based on this, RAN4 can initiate the work related to defining the SCG activation and deactivation requirements based on RRC signaling and the </w:t>
      </w:r>
      <w:proofErr w:type="spellStart"/>
      <w:r>
        <w:t>RRCReconfiguration</w:t>
      </w:r>
      <w:proofErr w:type="spellEnd"/>
      <w:r>
        <w:t xml:space="preserve"> message. </w:t>
      </w:r>
    </w:p>
    <w:p w14:paraId="567D1032" w14:textId="77777777" w:rsidR="00E6665C" w:rsidRDefault="00E6665C" w:rsidP="00E6665C">
      <w:pPr>
        <w:pStyle w:val="RAN4proposal"/>
      </w:pPr>
      <w:r>
        <w:t>RAN4 to develop SCG activation and deactivation delay requirements based on RRC signaling.</w:t>
      </w:r>
    </w:p>
    <w:p w14:paraId="4E2F3867" w14:textId="4788FF20" w:rsidR="00023C1D" w:rsidRDefault="00023C1D" w:rsidP="00023C1D">
      <w:r>
        <w:t>The RAN2 agreements also allow for the SCG to directly configured in activated state</w:t>
      </w:r>
      <w:r w:rsidR="004E75BD">
        <w:t>. This means that RAN4 should define activation delay requirements covering direct activation delay requirements.</w:t>
      </w:r>
    </w:p>
    <w:p w14:paraId="275C6A75" w14:textId="5F66DD2B" w:rsidR="004E75BD" w:rsidRPr="00023C1D" w:rsidRDefault="004E75BD" w:rsidP="004E75BD">
      <w:pPr>
        <w:pStyle w:val="RAN4proposal"/>
      </w:pPr>
      <w:r>
        <w:t>RAN4 to develop direct SCG activation delay requirements.</w:t>
      </w:r>
    </w:p>
    <w:p w14:paraId="40F10D5A" w14:textId="23307CDC" w:rsidR="008C7ADD" w:rsidRDefault="00D22437" w:rsidP="008C7ADD">
      <w:r>
        <w:t>According to</w:t>
      </w:r>
      <w:r w:rsidR="004E75BD">
        <w:t xml:space="preserve"> RAN2 agreement</w:t>
      </w:r>
      <w:r>
        <w:t xml:space="preserve"> </w:t>
      </w:r>
      <w:r w:rsidR="008C7ADD">
        <w:t xml:space="preserve">there cannot be activated or dormant </w:t>
      </w:r>
      <w:proofErr w:type="spellStart"/>
      <w:r w:rsidR="008C7ADD">
        <w:t>SCells</w:t>
      </w:r>
      <w:proofErr w:type="spellEnd"/>
      <w:r w:rsidR="008C7ADD">
        <w:t xml:space="preserve"> in a deactivated SCG</w:t>
      </w:r>
      <w:r w:rsidR="004E75BD">
        <w:t>.</w:t>
      </w:r>
      <w:r w:rsidR="008C7ADD">
        <w:t xml:space="preserve"> </w:t>
      </w:r>
      <w:r w:rsidR="004E75BD">
        <w:t xml:space="preserve">However, </w:t>
      </w:r>
      <w:r w:rsidR="008C7ADD">
        <w:t xml:space="preserve">there is the possibility that </w:t>
      </w:r>
      <w:r w:rsidR="004E75BD">
        <w:t xml:space="preserve">when </w:t>
      </w:r>
      <w:r w:rsidR="008C7ADD">
        <w:t xml:space="preserve">the SCG </w:t>
      </w:r>
      <w:r w:rsidR="004E75BD">
        <w:t>is</w:t>
      </w:r>
      <w:r w:rsidR="008C7ADD">
        <w:t xml:space="preserve"> deactivated</w:t>
      </w:r>
      <w:r w:rsidR="004E75BD">
        <w:t>,</w:t>
      </w:r>
      <w:r w:rsidR="008C7ADD">
        <w:t xml:space="preserve"> one or more SCell are active or dormant. Hence, RAN4 will need to d</w:t>
      </w:r>
      <w:r w:rsidR="004E75BD">
        <w:t>iscuss how this may impact the</w:t>
      </w:r>
      <w:r w:rsidR="008C7ADD">
        <w:t xml:space="preserve"> requirement for SCG deactivation delay requirement</w:t>
      </w:r>
      <w:r w:rsidR="004E75BD">
        <w:t>.</w:t>
      </w:r>
      <w:r w:rsidR="008C7ADD">
        <w:t xml:space="preserve"> </w:t>
      </w:r>
    </w:p>
    <w:p w14:paraId="7A9A057E" w14:textId="4C58E5B6" w:rsidR="008C7ADD" w:rsidRDefault="008C7ADD" w:rsidP="004E75BD">
      <w:pPr>
        <w:pStyle w:val="RAN4proposal"/>
      </w:pPr>
      <w:r>
        <w:t>RAN4 to d</w:t>
      </w:r>
      <w:r w:rsidR="004E75BD">
        <w:t>iscuss</w:t>
      </w:r>
      <w:r>
        <w:t xml:space="preserve"> </w:t>
      </w:r>
      <w:r w:rsidR="004E75BD">
        <w:t xml:space="preserve">the </w:t>
      </w:r>
      <w:r>
        <w:t xml:space="preserve">SCG deactivation delay requirement </w:t>
      </w:r>
      <w:r w:rsidR="004E75BD">
        <w:t>if</w:t>
      </w:r>
      <w:r>
        <w:t xml:space="preserve"> </w:t>
      </w:r>
      <w:r w:rsidR="004E75BD">
        <w:t xml:space="preserve">SCG contain activated or dormant </w:t>
      </w:r>
      <w:proofErr w:type="spellStart"/>
      <w:r>
        <w:t>SCells</w:t>
      </w:r>
      <w:proofErr w:type="spellEnd"/>
      <w:r w:rsidR="004E75BD">
        <w:t>.</w:t>
      </w:r>
    </w:p>
    <w:p w14:paraId="174B961C" w14:textId="54690412" w:rsidR="008C7ADD" w:rsidRDefault="008C7ADD" w:rsidP="008C7ADD">
      <w:r>
        <w:t xml:space="preserve">RAN4 </w:t>
      </w:r>
      <w:r w:rsidR="004060BA">
        <w:t>sh</w:t>
      </w:r>
      <w:r>
        <w:t>ould</w:t>
      </w:r>
      <w:r w:rsidR="004060BA">
        <w:t xml:space="preserve"> </w:t>
      </w:r>
      <w:r>
        <w:t xml:space="preserve">also discuss </w:t>
      </w:r>
      <w:r w:rsidR="004060BA">
        <w:t>if any</w:t>
      </w:r>
      <w:r>
        <w:t xml:space="preserve"> interruption</w:t>
      </w:r>
      <w:r w:rsidR="004060BA">
        <w:t>s</w:t>
      </w:r>
      <w:r>
        <w:t xml:space="preserve"> </w:t>
      </w:r>
      <w:r w:rsidR="004060BA">
        <w:t xml:space="preserve">are expected due UE operations on a deactivated SCG. Any such identified and agreed interruptions would need to be covered in the UE </w:t>
      </w:r>
      <w:r>
        <w:t xml:space="preserve">requirements related to </w:t>
      </w:r>
      <w:r w:rsidR="004060BA">
        <w:t xml:space="preserve">an SCG in </w:t>
      </w:r>
      <w:r>
        <w:t>deactivat</w:t>
      </w:r>
      <w:r w:rsidR="004060BA">
        <w:t>ed state</w:t>
      </w:r>
      <w:r>
        <w:t>.</w:t>
      </w:r>
    </w:p>
    <w:p w14:paraId="49CA781A" w14:textId="3F598219" w:rsidR="008C7ADD" w:rsidRDefault="004060BA" w:rsidP="004060BA">
      <w:pPr>
        <w:pStyle w:val="RAN4proposal"/>
      </w:pPr>
      <w:r>
        <w:t>RAN4 should also discuss if any interruptions are expected due UE operations on a deactivated SCG</w:t>
      </w:r>
      <w:r w:rsidR="008C7ADD">
        <w:t>.</w:t>
      </w:r>
    </w:p>
    <w:p w14:paraId="532E6559" w14:textId="1A677453" w:rsidR="008C7ADD" w:rsidRDefault="003A2D22" w:rsidP="008C7ADD">
      <w:pPr>
        <w:ind w:right="-22"/>
        <w:rPr>
          <w:rFonts w:eastAsia="Calibri" w:cs="Times New Roman"/>
          <w:szCs w:val="20"/>
          <w:lang w:val="en-GB"/>
        </w:rPr>
      </w:pPr>
      <w:r>
        <w:rPr>
          <w:rFonts w:eastAsia="Calibri" w:cs="Times New Roman"/>
          <w:szCs w:val="20"/>
          <w:lang w:val="en-GB"/>
        </w:rPr>
        <w:t>Currently,</w:t>
      </w:r>
      <w:r w:rsidR="008C7ADD">
        <w:rPr>
          <w:rFonts w:eastAsia="Calibri" w:cs="Times New Roman"/>
          <w:szCs w:val="20"/>
          <w:lang w:val="en-GB"/>
        </w:rPr>
        <w:t xml:space="preserve"> RAN2 has </w:t>
      </w:r>
      <w:r>
        <w:rPr>
          <w:rFonts w:eastAsia="Calibri" w:cs="Times New Roman"/>
          <w:szCs w:val="20"/>
          <w:lang w:val="en-GB"/>
        </w:rPr>
        <w:t xml:space="preserve">only </w:t>
      </w:r>
      <w:r w:rsidR="008C7ADD">
        <w:rPr>
          <w:rFonts w:eastAsia="Calibri" w:cs="Times New Roman"/>
          <w:szCs w:val="20"/>
          <w:lang w:val="en-GB"/>
        </w:rPr>
        <w:t xml:space="preserve">agreed to use RRC signalling to activate/deactivate </w:t>
      </w:r>
      <w:r>
        <w:rPr>
          <w:rFonts w:eastAsia="Calibri" w:cs="Times New Roman"/>
          <w:szCs w:val="20"/>
          <w:lang w:val="en-GB"/>
        </w:rPr>
        <w:t xml:space="preserve">the </w:t>
      </w:r>
      <w:r w:rsidR="008C7ADD">
        <w:rPr>
          <w:rFonts w:eastAsia="Calibri" w:cs="Times New Roman"/>
          <w:szCs w:val="20"/>
          <w:lang w:val="en-GB"/>
        </w:rPr>
        <w:t xml:space="preserve">SCG </w:t>
      </w:r>
      <w:r>
        <w:rPr>
          <w:rFonts w:eastAsia="Calibri" w:cs="Times New Roman"/>
          <w:szCs w:val="20"/>
          <w:lang w:val="en-GB"/>
        </w:rPr>
        <w:t>while</w:t>
      </w:r>
      <w:r w:rsidR="008C7ADD">
        <w:rPr>
          <w:rFonts w:eastAsia="Calibri" w:cs="Times New Roman"/>
          <w:szCs w:val="20"/>
          <w:lang w:val="en-GB"/>
        </w:rPr>
        <w:t xml:space="preserve"> they are discussing also possibility to use other layer signalling (e.g. MAC). </w:t>
      </w:r>
      <w:r>
        <w:rPr>
          <w:rFonts w:eastAsia="Calibri" w:cs="Times New Roman"/>
          <w:szCs w:val="20"/>
          <w:lang w:val="en-GB"/>
        </w:rPr>
        <w:t>Once RAN2 has reached an agreement related to use of MAC signalling for SCG activation/deactivation, RAN4 can act accordingly.</w:t>
      </w:r>
    </w:p>
    <w:p w14:paraId="02587C71" w14:textId="77777777" w:rsidR="000E310D" w:rsidRDefault="000E310D" w:rsidP="008C7ADD"/>
    <w:p w14:paraId="26627B3F" w14:textId="5AA14F0F" w:rsidR="0020449E" w:rsidRDefault="0020449E" w:rsidP="00D76897">
      <w:pPr>
        <w:pStyle w:val="RAN4H3"/>
      </w:pPr>
      <w:r>
        <w:t xml:space="preserve">UE Measurement Requirements </w:t>
      </w:r>
      <w:r w:rsidR="00D76897">
        <w:t>for deactivated SCG</w:t>
      </w:r>
    </w:p>
    <w:p w14:paraId="20A37A38" w14:textId="6BC8DA80" w:rsidR="00FE4336" w:rsidRDefault="00FE4336" w:rsidP="008C7ADD">
      <w:r>
        <w:t>Next, we give our initial input and views on how we would see the UE requirements for deactivated SCG</w:t>
      </w:r>
      <w:r w:rsidR="0008155F">
        <w:t xml:space="preserve"> according to which requirements </w:t>
      </w:r>
      <w:r w:rsidR="003C5481">
        <w:t>discussed in former sections</w:t>
      </w:r>
      <w:r>
        <w:t xml:space="preserve">. We firstly present our input to the requirements regarding the measurement requirements for a deactivated </w:t>
      </w:r>
      <w:proofErr w:type="spellStart"/>
      <w:r>
        <w:t>PSCell</w:t>
      </w:r>
      <w:proofErr w:type="spellEnd"/>
      <w:r>
        <w:t xml:space="preserve"> followed by the activation delay requirements for a deactivated </w:t>
      </w:r>
      <w:proofErr w:type="spellStart"/>
      <w:r>
        <w:t>PSCell</w:t>
      </w:r>
      <w:proofErr w:type="spellEnd"/>
      <w:r>
        <w:t>.</w:t>
      </w:r>
    </w:p>
    <w:p w14:paraId="2E5E51DA" w14:textId="13734E59" w:rsidR="003C5481" w:rsidRPr="003C5481" w:rsidRDefault="003C5481" w:rsidP="008C7ADD">
      <w:pPr>
        <w:rPr>
          <w:b/>
          <w:bCs/>
          <w:u w:val="single"/>
        </w:rPr>
      </w:pPr>
      <w:r w:rsidRPr="003C5481">
        <w:rPr>
          <w:b/>
          <w:bCs/>
          <w:u w:val="single"/>
        </w:rPr>
        <w:t>Measurement Requirements</w:t>
      </w:r>
      <w:r w:rsidR="00846B38">
        <w:rPr>
          <w:b/>
          <w:bCs/>
          <w:u w:val="single"/>
        </w:rPr>
        <w:t>:</w:t>
      </w:r>
    </w:p>
    <w:p w14:paraId="0DEB0363" w14:textId="5F98B16F" w:rsidR="00F507D3" w:rsidRDefault="00D76897" w:rsidP="00F507D3">
      <w:r>
        <w:t xml:space="preserve">We </w:t>
      </w:r>
      <w:r w:rsidR="0008155F">
        <w:t>o</w:t>
      </w:r>
      <w:r w:rsidR="00F507D3">
        <w:t xml:space="preserve">nly need to consider requirements for deactivated </w:t>
      </w:r>
      <w:proofErr w:type="spellStart"/>
      <w:r w:rsidR="00F507D3">
        <w:t>PSCell</w:t>
      </w:r>
      <w:proofErr w:type="spellEnd"/>
      <w:r w:rsidR="00F507D3">
        <w:t xml:space="preserve"> of the deactivated SCG as requirements are already defined for deactivated </w:t>
      </w:r>
      <w:proofErr w:type="spellStart"/>
      <w:r w:rsidR="00F507D3">
        <w:t>SCells</w:t>
      </w:r>
      <w:proofErr w:type="spellEnd"/>
      <w:r w:rsidR="00F507D3">
        <w:t xml:space="preserve"> and activated </w:t>
      </w:r>
      <w:proofErr w:type="spellStart"/>
      <w:r w:rsidR="00F507D3">
        <w:t>PSCell</w:t>
      </w:r>
      <w:proofErr w:type="spellEnd"/>
      <w:r w:rsidR="00F507D3">
        <w:t xml:space="preserve"> (which is default in legacy). Hence, considering the UE measurement requirements for the deactivated </w:t>
      </w:r>
      <w:proofErr w:type="spellStart"/>
      <w:r w:rsidR="00F507D3">
        <w:t>PSCell</w:t>
      </w:r>
      <w:proofErr w:type="spellEnd"/>
      <w:r w:rsidR="0088119B">
        <w:t xml:space="preserve"> we at least see following options possible</w:t>
      </w:r>
      <w:r w:rsidR="00F507D3">
        <w:t>:</w:t>
      </w:r>
    </w:p>
    <w:p w14:paraId="5CD7E5CC" w14:textId="1A3247A9" w:rsidR="00F507D3" w:rsidRDefault="00F507D3" w:rsidP="00F507D3">
      <w:r>
        <w:t>Options:</w:t>
      </w:r>
    </w:p>
    <w:p w14:paraId="125FF2EF" w14:textId="30C2C1F0" w:rsidR="00AC2A2B" w:rsidRDefault="00AC2A2B" w:rsidP="00AC2A2B">
      <w:pPr>
        <w:pStyle w:val="ListParagraph"/>
        <w:numPr>
          <w:ilvl w:val="0"/>
          <w:numId w:val="41"/>
        </w:numPr>
      </w:pPr>
      <w:r>
        <w:t xml:space="preserve">define requirements for deactivated </w:t>
      </w:r>
      <w:proofErr w:type="spellStart"/>
      <w:r>
        <w:t>PSCell</w:t>
      </w:r>
      <w:proofErr w:type="spellEnd"/>
      <w:r>
        <w:t xml:space="preserve"> being the same </w:t>
      </w:r>
      <w:r w:rsidR="00287678">
        <w:t xml:space="preserve">requirements as defined </w:t>
      </w:r>
      <w:r>
        <w:t xml:space="preserve">for an activated </w:t>
      </w:r>
      <w:proofErr w:type="spellStart"/>
      <w:r>
        <w:t>PSCell</w:t>
      </w:r>
      <w:proofErr w:type="spellEnd"/>
      <w:r>
        <w:t>.</w:t>
      </w:r>
    </w:p>
    <w:p w14:paraId="15F3EC7A" w14:textId="4E371489" w:rsidR="00F507D3" w:rsidRDefault="00F507D3" w:rsidP="00AC2A2B">
      <w:pPr>
        <w:pStyle w:val="ListParagraph"/>
        <w:numPr>
          <w:ilvl w:val="0"/>
          <w:numId w:val="41"/>
        </w:numPr>
      </w:pPr>
      <w:r>
        <w:t xml:space="preserve">define requirements for deactivated </w:t>
      </w:r>
      <w:proofErr w:type="spellStart"/>
      <w:r>
        <w:t>PSCell</w:t>
      </w:r>
      <w:proofErr w:type="spellEnd"/>
      <w:r>
        <w:t xml:space="preserve"> being the same requirements as defined for deactivated SCell</w:t>
      </w:r>
    </w:p>
    <w:p w14:paraId="5AC2BDA3" w14:textId="2863B1D4" w:rsidR="00AC2A2B" w:rsidRDefault="00AC2A2B" w:rsidP="008C7ADD">
      <w:r>
        <w:t xml:space="preserve">Simplest would be to either define the requirements for the deactivated </w:t>
      </w:r>
      <w:proofErr w:type="spellStart"/>
      <w:r>
        <w:t>PSCell</w:t>
      </w:r>
      <w:proofErr w:type="spellEnd"/>
      <w:r>
        <w:t xml:space="preserve"> to be the same as defined for an activated </w:t>
      </w:r>
      <w:proofErr w:type="spellStart"/>
      <w:r>
        <w:t>PSCell</w:t>
      </w:r>
      <w:proofErr w:type="spellEnd"/>
      <w:r>
        <w:t xml:space="preserve"> or a deactivated SCell. </w:t>
      </w:r>
    </w:p>
    <w:p w14:paraId="13A9E8DC" w14:textId="52A43D55" w:rsidR="0039133C" w:rsidRDefault="0039133C" w:rsidP="008C7ADD">
      <w:r>
        <w:t xml:space="preserve">Considering that the mobility has to be supported for the deactivated </w:t>
      </w:r>
      <w:proofErr w:type="spellStart"/>
      <w:r>
        <w:t>PSCell</w:t>
      </w:r>
      <w:proofErr w:type="spellEnd"/>
      <w:r w:rsidR="001D2B8F">
        <w:t>,</w:t>
      </w:r>
      <w:r>
        <w:t>,</w:t>
      </w:r>
      <w:r w:rsidR="00906D17">
        <w:t>applying</w:t>
      </w:r>
      <w:r>
        <w:t xml:space="preserve"> </w:t>
      </w:r>
      <w:r w:rsidR="00906D17">
        <w:t xml:space="preserve">same </w:t>
      </w:r>
      <w:r>
        <w:t xml:space="preserve">measurement requirements for </w:t>
      </w:r>
      <w:r w:rsidR="00192659">
        <w:t xml:space="preserve">a deactivated </w:t>
      </w:r>
      <w:proofErr w:type="spellStart"/>
      <w:r w:rsidR="00192659">
        <w:t>PSCell</w:t>
      </w:r>
      <w:proofErr w:type="spellEnd"/>
      <w:r w:rsidR="00192659">
        <w:t xml:space="preserve"> as defined for </w:t>
      </w:r>
      <w:r>
        <w:t xml:space="preserve">an activated </w:t>
      </w:r>
      <w:proofErr w:type="spellStart"/>
      <w:r>
        <w:t>PSCell</w:t>
      </w:r>
      <w:proofErr w:type="spellEnd"/>
      <w:r>
        <w:t xml:space="preserve"> seem more appropriate</w:t>
      </w:r>
      <w:r w:rsidR="00192659">
        <w:t xml:space="preserve"> to ensure </w:t>
      </w:r>
      <w:r w:rsidR="004C1448">
        <w:t>the link</w:t>
      </w:r>
      <w:r>
        <w:t xml:space="preserve">. This would ensure that the measurement delays in terms of cell detection and measurement period </w:t>
      </w:r>
      <w:r w:rsidR="00287678">
        <w:t xml:space="preserve">and </w:t>
      </w:r>
      <w:r>
        <w:t>would not be prolonged which could lead to problems.</w:t>
      </w:r>
      <w:r w:rsidR="00CC4695">
        <w:t xml:space="preserve"> </w:t>
      </w:r>
    </w:p>
    <w:p w14:paraId="38E50F55" w14:textId="20BABF7F" w:rsidR="00CC4695" w:rsidRDefault="00CC4695" w:rsidP="008C7ADD">
      <w:r>
        <w:t xml:space="preserve">Additionally, as we see the fast activation of the deactivated </w:t>
      </w:r>
      <w:proofErr w:type="spellStart"/>
      <w:r>
        <w:t>PSCell</w:t>
      </w:r>
      <w:proofErr w:type="spellEnd"/>
      <w:r>
        <w:t>/SCG being a</w:t>
      </w:r>
      <w:r w:rsidR="00287678">
        <w:t xml:space="preserve"> key</w:t>
      </w:r>
      <w:r>
        <w:t xml:space="preserve"> important aspect of the feature we see it important that UE has </w:t>
      </w:r>
      <w:r w:rsidR="00A62D48">
        <w:t xml:space="preserve">up to date </w:t>
      </w:r>
      <w:r w:rsidR="00287678">
        <w:t xml:space="preserve">timing, </w:t>
      </w:r>
      <w:r w:rsidR="00A62D48">
        <w:t xml:space="preserve">measurements (and reporting) for a deactivated </w:t>
      </w:r>
      <w:proofErr w:type="spellStart"/>
      <w:r w:rsidR="00A62D48">
        <w:t>PSCell</w:t>
      </w:r>
      <w:proofErr w:type="spellEnd"/>
      <w:r w:rsidR="00A62D48">
        <w:t>.</w:t>
      </w:r>
    </w:p>
    <w:p w14:paraId="0201CF31" w14:textId="7A927052" w:rsidR="0039133C" w:rsidRDefault="0039133C" w:rsidP="0039133C">
      <w:pPr>
        <w:pStyle w:val="RAN4proposal"/>
      </w:pPr>
      <w:r>
        <w:t xml:space="preserve">Define measurement requirements for deactivated </w:t>
      </w:r>
      <w:proofErr w:type="spellStart"/>
      <w:r>
        <w:t>PSCell</w:t>
      </w:r>
      <w:proofErr w:type="spellEnd"/>
      <w:r>
        <w:t xml:space="preserve"> being the same for an activated </w:t>
      </w:r>
      <w:proofErr w:type="spellStart"/>
      <w:r>
        <w:t>PSCell</w:t>
      </w:r>
      <w:proofErr w:type="spellEnd"/>
      <w:r w:rsidR="00FE4336">
        <w:t xml:space="preserve"> (legacy).</w:t>
      </w:r>
    </w:p>
    <w:p w14:paraId="42E95E87" w14:textId="1D3C2644" w:rsidR="00FE4336" w:rsidRPr="00FE4336" w:rsidRDefault="00FE4336" w:rsidP="00FE4336">
      <w:pPr>
        <w:pStyle w:val="RAN4proposal"/>
      </w:pPr>
      <w:r>
        <w:t xml:space="preserve">Define the measurement accuracy requirements for deactivated </w:t>
      </w:r>
      <w:proofErr w:type="spellStart"/>
      <w:r>
        <w:t>PSCell</w:t>
      </w:r>
      <w:proofErr w:type="spellEnd"/>
      <w:r>
        <w:t xml:space="preserve"> being the same as for an activated </w:t>
      </w:r>
      <w:proofErr w:type="spellStart"/>
      <w:r>
        <w:t>PSCell</w:t>
      </w:r>
      <w:proofErr w:type="spellEnd"/>
      <w:r>
        <w:t xml:space="preserve"> (legacy).</w:t>
      </w:r>
    </w:p>
    <w:p w14:paraId="07FCCDC8" w14:textId="77777777" w:rsidR="00665100" w:rsidRDefault="00665100" w:rsidP="008C7ADD">
      <w:pPr>
        <w:rPr>
          <w:b/>
          <w:bCs/>
          <w:u w:val="single"/>
        </w:rPr>
      </w:pPr>
    </w:p>
    <w:p w14:paraId="220297E4" w14:textId="3AA28609" w:rsidR="00F507D3" w:rsidRPr="00665100" w:rsidRDefault="00F507D3" w:rsidP="008C7ADD">
      <w:pPr>
        <w:rPr>
          <w:b/>
          <w:bCs/>
          <w:u w:val="single"/>
        </w:rPr>
      </w:pPr>
      <w:r w:rsidRPr="00665100">
        <w:rPr>
          <w:b/>
          <w:bCs/>
          <w:u w:val="single"/>
        </w:rPr>
        <w:t>Activation delay requirement:</w:t>
      </w:r>
    </w:p>
    <w:p w14:paraId="71F01189" w14:textId="4768FEF5" w:rsidR="00767EE6" w:rsidRDefault="00767EE6" w:rsidP="008C7ADD">
      <w:r>
        <w:t xml:space="preserve">Considering the delay requirements for activation of a deactivated </w:t>
      </w:r>
      <w:proofErr w:type="spellStart"/>
      <w:r>
        <w:t>PSCell</w:t>
      </w:r>
      <w:proofErr w:type="spellEnd"/>
      <w:r>
        <w:t xml:space="preserve"> RAN4 would need to discuss two cases as also pointed out in the earlier discussion:</w:t>
      </w:r>
    </w:p>
    <w:p w14:paraId="3BC16472" w14:textId="7EA3F281" w:rsidR="000E310D" w:rsidRDefault="00767EE6" w:rsidP="008C6428">
      <w:pPr>
        <w:pStyle w:val="ListParagraph"/>
        <w:numPr>
          <w:ilvl w:val="0"/>
          <w:numId w:val="42"/>
        </w:numPr>
      </w:pPr>
      <w:proofErr w:type="spellStart"/>
      <w:r>
        <w:t>PSCell</w:t>
      </w:r>
      <w:proofErr w:type="spellEnd"/>
      <w:r>
        <w:t xml:space="preserve"> a</w:t>
      </w:r>
      <w:r w:rsidR="000E310D">
        <w:t xml:space="preserve">ctivation </w:t>
      </w:r>
      <w:r>
        <w:t xml:space="preserve">by </w:t>
      </w:r>
      <w:proofErr w:type="spellStart"/>
      <w:r>
        <w:t>RRCReconfiguration</w:t>
      </w:r>
      <w:proofErr w:type="spellEnd"/>
      <w:r>
        <w:t xml:space="preserve"> </w:t>
      </w:r>
      <w:r w:rsidR="000E310D">
        <w:t>(not directly</w:t>
      </w:r>
      <w:r>
        <w:t xml:space="preserve"> activated</w:t>
      </w:r>
      <w:r w:rsidR="004D269D">
        <w:t xml:space="preserve"> when configured</w:t>
      </w:r>
      <w:r w:rsidR="000E310D">
        <w:t>)</w:t>
      </w:r>
    </w:p>
    <w:p w14:paraId="53582134" w14:textId="0DCA3C5E" w:rsidR="000E310D" w:rsidRDefault="00767EE6" w:rsidP="008C6428">
      <w:pPr>
        <w:pStyle w:val="ListParagraph"/>
        <w:numPr>
          <w:ilvl w:val="0"/>
          <w:numId w:val="42"/>
        </w:numPr>
      </w:pPr>
      <w:proofErr w:type="spellStart"/>
      <w:r>
        <w:t>PSCell</w:t>
      </w:r>
      <w:proofErr w:type="spellEnd"/>
      <w:r>
        <w:t xml:space="preserve"> activation by </w:t>
      </w:r>
      <w:proofErr w:type="spellStart"/>
      <w:r>
        <w:t>RRCReconfiguration</w:t>
      </w:r>
      <w:proofErr w:type="spellEnd"/>
      <w:r>
        <w:t xml:space="preserve"> </w:t>
      </w:r>
      <w:r w:rsidR="004D269D">
        <w:t>(d</w:t>
      </w:r>
      <w:r w:rsidR="000E310D">
        <w:t>irect</w:t>
      </w:r>
      <w:r w:rsidR="00CA150F">
        <w:t>ly activated when configured)</w:t>
      </w:r>
    </w:p>
    <w:p w14:paraId="79628A2F" w14:textId="41EB3384" w:rsidR="00900691" w:rsidRDefault="008C6428" w:rsidP="008C6428">
      <w:r>
        <w:t xml:space="preserve">For 1) RAN4 can consider either to reusing the current SCell activation or current </w:t>
      </w:r>
      <w:proofErr w:type="spellStart"/>
      <w:r>
        <w:t>PSCell</w:t>
      </w:r>
      <w:proofErr w:type="spellEnd"/>
      <w:r>
        <w:t xml:space="preserve"> addition. As the RAN2 agreement seems to indicate, the activation of the deactivated </w:t>
      </w:r>
      <w:proofErr w:type="spellStart"/>
      <w:r>
        <w:t>PSCell</w:t>
      </w:r>
      <w:proofErr w:type="spellEnd"/>
      <w:r>
        <w:t xml:space="preserve"> is currently only possible by use of </w:t>
      </w:r>
      <w:proofErr w:type="spellStart"/>
      <w:r>
        <w:t>RRCReconfiguration</w:t>
      </w:r>
      <w:proofErr w:type="spellEnd"/>
      <w:r>
        <w:t xml:space="preserve"> (RRC) message, </w:t>
      </w:r>
      <w:r w:rsidR="00203700">
        <w:t>and therefore the activation delay</w:t>
      </w:r>
      <w:r>
        <w:t xml:space="preserve"> </w:t>
      </w:r>
      <w:r w:rsidR="001C2B97">
        <w:t>sh</w:t>
      </w:r>
      <w:r>
        <w:t>ould include a RRC processing delay on UE side</w:t>
      </w:r>
      <w:r w:rsidR="00900691">
        <w:t>.</w:t>
      </w:r>
    </w:p>
    <w:p w14:paraId="5FB39DF7" w14:textId="0188E740" w:rsidR="008C6428" w:rsidRDefault="00900691" w:rsidP="008C6428">
      <w:r>
        <w:t xml:space="preserve">However, as the </w:t>
      </w:r>
      <w:proofErr w:type="spellStart"/>
      <w:r>
        <w:t>PSCell</w:t>
      </w:r>
      <w:proofErr w:type="spellEnd"/>
      <w:r>
        <w:t xml:space="preserve"> is configured</w:t>
      </w:r>
      <w:r w:rsidR="00E45988">
        <w:t xml:space="preserve"> and regarded as a serving cell,</w:t>
      </w:r>
      <w:r w:rsidR="008C6428">
        <w:t xml:space="preserve"> it may be </w:t>
      </w:r>
      <w:r w:rsidR="000D3BA7">
        <w:t xml:space="preserve">more aligned with </w:t>
      </w:r>
      <w:r w:rsidR="005C713B">
        <w:t>RAN4 approach and other requirements</w:t>
      </w:r>
      <w:r w:rsidR="008C6428">
        <w:t xml:space="preserve"> to use the current SCell </w:t>
      </w:r>
      <w:r w:rsidR="00E45988">
        <w:t>activation</w:t>
      </w:r>
      <w:r w:rsidR="008C6428">
        <w:t xml:space="preserve"> </w:t>
      </w:r>
      <w:r w:rsidR="00061CBE">
        <w:t xml:space="preserve">delay </w:t>
      </w:r>
      <w:r w:rsidR="008C6428">
        <w:t xml:space="preserve">as baseline for defining the </w:t>
      </w:r>
      <w:proofErr w:type="spellStart"/>
      <w:r w:rsidR="008C6428">
        <w:t>PSCell</w:t>
      </w:r>
      <w:proofErr w:type="spellEnd"/>
      <w:r w:rsidR="008C6428">
        <w:t xml:space="preserve"> activation delay requirements.</w:t>
      </w:r>
      <w:r w:rsidR="00AA3566">
        <w:t xml:space="preserve"> But as is evident from the </w:t>
      </w:r>
      <w:r w:rsidR="00E779DC">
        <w:t xml:space="preserve">current SCell requirements, there is clearly a need to </w:t>
      </w:r>
      <w:r w:rsidR="006E278F">
        <w:t xml:space="preserve">define </w:t>
      </w:r>
      <w:r w:rsidR="005B2BDF">
        <w:t>s</w:t>
      </w:r>
      <w:r w:rsidR="00AA7D95">
        <w:t>eparate</w:t>
      </w:r>
      <w:r w:rsidR="006E278F">
        <w:t xml:space="preserve"> </w:t>
      </w:r>
      <w:proofErr w:type="spellStart"/>
      <w:r w:rsidR="006E278F">
        <w:t>PSCell</w:t>
      </w:r>
      <w:proofErr w:type="spellEnd"/>
      <w:r w:rsidR="006E278F">
        <w:t xml:space="preserve"> activation </w:t>
      </w:r>
      <w:r w:rsidR="005B2BDF">
        <w:t xml:space="preserve">delay requirements as the only current means that can be used for </w:t>
      </w:r>
      <w:r w:rsidR="00DC7ACE">
        <w:t xml:space="preserve">activation of </w:t>
      </w:r>
      <w:proofErr w:type="spellStart"/>
      <w:r w:rsidR="005B2BDF">
        <w:t>PSCell</w:t>
      </w:r>
      <w:proofErr w:type="spellEnd"/>
      <w:r w:rsidR="005B2BDF">
        <w:t xml:space="preserve"> is RRC</w:t>
      </w:r>
      <w:r w:rsidR="00DC7ACE">
        <w:t>. Hence,</w:t>
      </w:r>
      <w:r w:rsidR="006E278F">
        <w:t xml:space="preserve"> </w:t>
      </w:r>
      <w:r w:rsidR="00DC7ACE">
        <w:t xml:space="preserve">the </w:t>
      </w:r>
      <w:r w:rsidR="006E278F">
        <w:t xml:space="preserve">SCell requirements cannot be </w:t>
      </w:r>
      <w:r w:rsidR="009C2E4C">
        <w:t>applied directly</w:t>
      </w:r>
      <w:r w:rsidR="002D4E49">
        <w:t xml:space="preserve"> but RAN4 can discuss the delay parameters</w:t>
      </w:r>
      <w:r w:rsidR="00EC0265">
        <w:t>,</w:t>
      </w:r>
      <w:r w:rsidR="00BB3F30">
        <w:t xml:space="preserve"> </w:t>
      </w:r>
      <w:r w:rsidR="002D4E49">
        <w:t>parameter by parameter</w:t>
      </w:r>
      <w:r w:rsidR="00BB3F30">
        <w:t>.</w:t>
      </w:r>
    </w:p>
    <w:p w14:paraId="172B3DC5" w14:textId="0770CCA9" w:rsidR="00E65F63" w:rsidRDefault="00E65F63" w:rsidP="008C6428">
      <w:r>
        <w:t xml:space="preserve">For 2) where the </w:t>
      </w:r>
      <w:proofErr w:type="spellStart"/>
      <w:r>
        <w:t>PSCell</w:t>
      </w:r>
      <w:proofErr w:type="spellEnd"/>
      <w:r>
        <w:t xml:space="preserve"> is directly activated upon configuration we suggest </w:t>
      </w:r>
      <w:r w:rsidR="0001043C">
        <w:t>considering</w:t>
      </w:r>
      <w:r>
        <w:t xml:space="preserve"> using the direct SCell activation delay requirements as a starting point for the direct </w:t>
      </w:r>
      <w:proofErr w:type="spellStart"/>
      <w:r>
        <w:t>PSCell</w:t>
      </w:r>
      <w:proofErr w:type="spellEnd"/>
      <w:r>
        <w:t xml:space="preserve"> activation delay requirements. Here we do not see that the current </w:t>
      </w:r>
      <w:proofErr w:type="spellStart"/>
      <w:r>
        <w:t>PSCell</w:t>
      </w:r>
      <w:proofErr w:type="spellEnd"/>
      <w:r>
        <w:t xml:space="preserve"> addition delay requirements being suitable as these requirements include delay parameters which would not be applicable to Direct </w:t>
      </w:r>
      <w:proofErr w:type="spellStart"/>
      <w:r>
        <w:t>PSCell</w:t>
      </w:r>
      <w:proofErr w:type="spellEnd"/>
      <w:r>
        <w:t xml:space="preserve"> activation.</w:t>
      </w:r>
    </w:p>
    <w:p w14:paraId="6DBE45D0" w14:textId="77777777" w:rsidR="00CB4CE8" w:rsidRDefault="00CB4CE8" w:rsidP="00CB4CE8">
      <w:r>
        <w:t xml:space="preserve">However, as the current </w:t>
      </w:r>
      <w:proofErr w:type="spellStart"/>
      <w:r>
        <w:t>PSCell</w:t>
      </w:r>
      <w:proofErr w:type="spellEnd"/>
      <w:r>
        <w:t xml:space="preserve"> addition delay requirements include the </w:t>
      </w:r>
      <w:proofErr w:type="spellStart"/>
      <w:r w:rsidRPr="009C5807">
        <w:t>T</w:t>
      </w:r>
      <w:r w:rsidRPr="009C5807">
        <w:rPr>
          <w:vertAlign w:val="subscript"/>
        </w:rPr>
        <w:t>PSCell</w:t>
      </w:r>
      <w:proofErr w:type="spellEnd"/>
      <w:r w:rsidRPr="009C5807">
        <w:rPr>
          <w:vertAlign w:val="subscript"/>
        </w:rPr>
        <w:t>_ DU</w:t>
      </w:r>
      <w:r>
        <w:t xml:space="preserve"> which depend on the pending PRACH agreement in RAN2, we believe that some changes may be necessary. Hence, the current legacy </w:t>
      </w:r>
      <w:proofErr w:type="spellStart"/>
      <w:r>
        <w:t>PSCell</w:t>
      </w:r>
      <w:proofErr w:type="spellEnd"/>
      <w:r>
        <w:t xml:space="preserve"> addition requirements can only be seen as the starting point for defining </w:t>
      </w:r>
      <w:proofErr w:type="spellStart"/>
      <w:r>
        <w:t>PSCell</w:t>
      </w:r>
      <w:proofErr w:type="spellEnd"/>
      <w:r>
        <w:t xml:space="preserve"> activation delay requirements.</w:t>
      </w:r>
    </w:p>
    <w:p w14:paraId="1428532F" w14:textId="18F719AA" w:rsidR="0001043C" w:rsidRDefault="0001043C" w:rsidP="0001043C">
      <w:pPr>
        <w:pStyle w:val="RAN4proposal"/>
      </w:pPr>
      <w:r>
        <w:t xml:space="preserve">Use the current </w:t>
      </w:r>
      <w:r w:rsidR="00AB24A6">
        <w:t xml:space="preserve">PUCCH </w:t>
      </w:r>
      <w:r w:rsidR="001E1969">
        <w:t>SCell</w:t>
      </w:r>
      <w:r w:rsidR="009C2E4C">
        <w:t xml:space="preserve"> (not finalized yet)</w:t>
      </w:r>
      <w:r w:rsidR="001E1969">
        <w:t xml:space="preserve"> or </w:t>
      </w:r>
      <w:r>
        <w:t xml:space="preserve">SCell addition as baseline for </w:t>
      </w:r>
      <w:r w:rsidR="00BB3F30">
        <w:t xml:space="preserve">discussing which delay parameters would be needed when </w:t>
      </w:r>
      <w:r>
        <w:t xml:space="preserve">defining the </w:t>
      </w:r>
      <w:proofErr w:type="spellStart"/>
      <w:r>
        <w:t>PSCell</w:t>
      </w:r>
      <w:proofErr w:type="spellEnd"/>
      <w:r>
        <w:t xml:space="preserve"> activation delay requirements.</w:t>
      </w:r>
    </w:p>
    <w:p w14:paraId="3FD6048F" w14:textId="3B4666CB" w:rsidR="0001043C" w:rsidRPr="00DC431E" w:rsidRDefault="0001043C" w:rsidP="0001043C">
      <w:pPr>
        <w:pStyle w:val="RAN4proposal"/>
      </w:pPr>
      <w:r w:rsidRPr="00DC431E">
        <w:t xml:space="preserve">Use </w:t>
      </w:r>
      <w:r w:rsidR="0063404B" w:rsidRPr="00DC431E">
        <w:t xml:space="preserve">current </w:t>
      </w:r>
      <w:proofErr w:type="spellStart"/>
      <w:r w:rsidR="0063404B" w:rsidRPr="00DC431E">
        <w:t>PSCell</w:t>
      </w:r>
      <w:proofErr w:type="spellEnd"/>
      <w:r w:rsidR="0063404B" w:rsidRPr="00DC431E">
        <w:t xml:space="preserve"> addition </w:t>
      </w:r>
      <w:r w:rsidRPr="00DC431E">
        <w:t xml:space="preserve">delay requirements as a starting point for the direct </w:t>
      </w:r>
      <w:proofErr w:type="spellStart"/>
      <w:r w:rsidRPr="00DC431E">
        <w:t>PSCell</w:t>
      </w:r>
      <w:proofErr w:type="spellEnd"/>
      <w:r w:rsidRPr="00DC431E">
        <w:t xml:space="preserve"> activation delay requirements.</w:t>
      </w:r>
    </w:p>
    <w:p w14:paraId="35F2DEB3" w14:textId="760FAB93" w:rsidR="008C7ADD" w:rsidRDefault="0001043C" w:rsidP="008C7ADD">
      <w:r>
        <w:t>Again, we would like to emphasize</w:t>
      </w:r>
      <w:r w:rsidR="008C7ADD">
        <w:t xml:space="preserve">, </w:t>
      </w:r>
      <w:r>
        <w:t>that our view is that, for</w:t>
      </w:r>
      <w:r w:rsidR="008C7ADD">
        <w:t xml:space="preserve"> SCG deactivation </w:t>
      </w:r>
      <w:r>
        <w:t xml:space="preserve">feature </w:t>
      </w:r>
      <w:r w:rsidR="008C7ADD">
        <w:t xml:space="preserve">to actually provide any reasonable gains the feature needs to </w:t>
      </w:r>
      <w:r>
        <w:t>provide</w:t>
      </w:r>
      <w:r w:rsidR="008C7ADD">
        <w:t xml:space="preserve"> </w:t>
      </w:r>
      <w:r>
        <w:t xml:space="preserve">a </w:t>
      </w:r>
      <w:r w:rsidR="008C7ADD">
        <w:t xml:space="preserve">significantly </w:t>
      </w:r>
      <w:r>
        <w:t>shorter</w:t>
      </w:r>
      <w:r w:rsidR="008C7ADD">
        <w:t xml:space="preserve"> </w:t>
      </w:r>
      <w:r>
        <w:t xml:space="preserve">delay </w:t>
      </w:r>
      <w:r w:rsidR="008C7ADD">
        <w:t xml:space="preserve">than </w:t>
      </w:r>
      <w:r>
        <w:t xml:space="preserve">what the current </w:t>
      </w:r>
      <w:proofErr w:type="spellStart"/>
      <w:r>
        <w:t>PSCell</w:t>
      </w:r>
      <w:proofErr w:type="spellEnd"/>
      <w:r>
        <w:t xml:space="preserve"> and SCG addition delay provides</w:t>
      </w:r>
      <w:r w:rsidR="008C7ADD">
        <w:t xml:space="preserve">. </w:t>
      </w:r>
    </w:p>
    <w:p w14:paraId="204D60BE" w14:textId="77777777" w:rsidR="00BE2A78" w:rsidRDefault="00BE2A78" w:rsidP="003B659E">
      <w:pPr>
        <w:ind w:right="-22"/>
        <w:rPr>
          <w:rFonts w:cs="Times New Roman"/>
        </w:rPr>
      </w:pPr>
    </w:p>
    <w:p w14:paraId="761516E1" w14:textId="018A980C" w:rsidR="00CD7492" w:rsidRPr="002D056A" w:rsidRDefault="00CD7492" w:rsidP="00A37002">
      <w:pPr>
        <w:pStyle w:val="RAN4H1"/>
      </w:pPr>
      <w:r w:rsidRPr="002D056A">
        <w:t>Conclusion</w:t>
      </w:r>
    </w:p>
    <w:p w14:paraId="3CF7C5C6" w14:textId="7CA99B34" w:rsidR="00DC431E" w:rsidRDefault="00DC431E" w:rsidP="00DC431E">
      <w:pPr>
        <w:rPr>
          <w:rStyle w:val="normaltextrun"/>
          <w:szCs w:val="20"/>
        </w:rPr>
      </w:pPr>
      <w:r>
        <w:rPr>
          <w:rStyle w:val="normaltextrun"/>
          <w:szCs w:val="20"/>
        </w:rPr>
        <w:t>In this contribution we discuss UE requirements related to objective 1 and the aspect of support efficient activation/de-activation mechanism for one SCG.</w:t>
      </w:r>
      <w:r>
        <w:rPr>
          <w:rStyle w:val="normaltextrun"/>
          <w:szCs w:val="20"/>
        </w:rPr>
        <w:t xml:space="preserve"> We look at the needed UE requirements to be defined </w:t>
      </w:r>
      <w:proofErr w:type="gramStart"/>
      <w:r>
        <w:rPr>
          <w:rStyle w:val="normaltextrun"/>
          <w:szCs w:val="20"/>
        </w:rPr>
        <w:t>and also</w:t>
      </w:r>
      <w:proofErr w:type="gramEnd"/>
      <w:r>
        <w:rPr>
          <w:rStyle w:val="normaltextrun"/>
          <w:szCs w:val="20"/>
        </w:rPr>
        <w:t xml:space="preserve"> provide our initial views on the actual UE requirements.</w:t>
      </w:r>
    </w:p>
    <w:p w14:paraId="7144208E" w14:textId="77777777" w:rsidR="00DC431E" w:rsidRPr="00DC431E" w:rsidRDefault="00DC431E" w:rsidP="00DC431E">
      <w:pPr>
        <w:pStyle w:val="RAN4proposal"/>
        <w:numPr>
          <w:ilvl w:val="0"/>
          <w:numId w:val="43"/>
        </w:numPr>
        <w:rPr>
          <w:lang w:val="en-GB"/>
        </w:rPr>
      </w:pPr>
      <w:r w:rsidRPr="00DC431E">
        <w:rPr>
          <w:rFonts w:eastAsia="Calibri" w:cs="Times New Roman"/>
          <w:szCs w:val="20"/>
          <w:lang w:val="en-GB"/>
        </w:rPr>
        <w:t>RAN4 to define requirements for EN-DC with deactivated SCG when the SCG is in NR FR1 and FR2.</w:t>
      </w:r>
    </w:p>
    <w:p w14:paraId="57CB68D6" w14:textId="5083F2A4" w:rsidR="00DC431E" w:rsidRDefault="00DC431E" w:rsidP="00DC431E">
      <w:pPr>
        <w:pStyle w:val="RAN4proposal"/>
        <w:numPr>
          <w:ilvl w:val="0"/>
          <w:numId w:val="43"/>
        </w:numPr>
        <w:rPr>
          <w:rFonts w:eastAsia="Calibri" w:cs="Times New Roman"/>
          <w:szCs w:val="20"/>
          <w:lang w:val="en-GB"/>
        </w:rPr>
      </w:pPr>
      <w:r w:rsidRPr="00DC431E">
        <w:rPr>
          <w:rFonts w:eastAsia="Calibri" w:cs="Times New Roman"/>
          <w:szCs w:val="20"/>
          <w:lang w:val="en-GB"/>
        </w:rPr>
        <w:t>RAN4 to define requirements for NR-DC with deactivated SCG when the SCG is in FR1 and FR2.</w:t>
      </w:r>
    </w:p>
    <w:p w14:paraId="71005458" w14:textId="76313971" w:rsidR="00DC431E" w:rsidRPr="00DC431E" w:rsidRDefault="00DC431E" w:rsidP="00DC431E">
      <w:pPr>
        <w:rPr>
          <w:u w:val="single"/>
          <w:lang w:val="en-GB"/>
        </w:rPr>
      </w:pPr>
      <w:r w:rsidRPr="00DC431E">
        <w:rPr>
          <w:u w:val="single"/>
          <w:lang w:val="en-GB"/>
        </w:rPr>
        <w:t>Measurement Requirements to be defined</w:t>
      </w:r>
      <w:r w:rsidRPr="00DC431E">
        <w:rPr>
          <w:u w:val="single"/>
          <w:lang w:val="en-GB"/>
        </w:rPr>
        <w:t>:</w:t>
      </w:r>
    </w:p>
    <w:p w14:paraId="22E30FB5" w14:textId="77777777" w:rsidR="00DC431E" w:rsidRDefault="00DC431E" w:rsidP="00DC431E">
      <w:pPr>
        <w:pStyle w:val="RAN4proposal"/>
        <w:numPr>
          <w:ilvl w:val="0"/>
          <w:numId w:val="43"/>
        </w:numPr>
      </w:pPr>
      <w:r>
        <w:t>RAN4 should evaluate whether the current MN measurement requirements can apply directly or not when the SCG is deactivated.</w:t>
      </w:r>
    </w:p>
    <w:p w14:paraId="74468302" w14:textId="77777777" w:rsidR="00DC431E" w:rsidRDefault="00DC431E" w:rsidP="00DC431E">
      <w:pPr>
        <w:pStyle w:val="RAN4proposal"/>
        <w:numPr>
          <w:ilvl w:val="0"/>
          <w:numId w:val="43"/>
        </w:numPr>
      </w:pPr>
      <w:r>
        <w:t xml:space="preserve">RAN4 need to define measurement requirements for a deactivated </w:t>
      </w:r>
      <w:proofErr w:type="spellStart"/>
      <w:r>
        <w:t>PSCell</w:t>
      </w:r>
      <w:proofErr w:type="spellEnd"/>
    </w:p>
    <w:p w14:paraId="7EEB0369" w14:textId="77777777" w:rsidR="00DC431E" w:rsidRDefault="00DC431E" w:rsidP="00DC431E">
      <w:pPr>
        <w:pStyle w:val="RAN4proposal"/>
        <w:numPr>
          <w:ilvl w:val="0"/>
          <w:numId w:val="43"/>
        </w:numPr>
      </w:pPr>
      <w:r>
        <w:t>RAN4 should discuss if existing measurements reporting requirements apply also for deactivated SCG.</w:t>
      </w:r>
    </w:p>
    <w:p w14:paraId="595F3140" w14:textId="77777777" w:rsidR="00DC431E" w:rsidRDefault="00DC431E" w:rsidP="00DC431E">
      <w:pPr>
        <w:pStyle w:val="RAN4proposal"/>
        <w:numPr>
          <w:ilvl w:val="0"/>
          <w:numId w:val="43"/>
        </w:numPr>
      </w:pPr>
      <w:r>
        <w:lastRenderedPageBreak/>
        <w:t>RAN4 to discuss measurement accuracy requirements and reporting delay requirements for deactivated SCG.</w:t>
      </w:r>
    </w:p>
    <w:p w14:paraId="61436047" w14:textId="77777777" w:rsidR="00DC431E" w:rsidRDefault="00DC431E" w:rsidP="00DC431E">
      <w:pPr>
        <w:pStyle w:val="RAN4proposal"/>
        <w:numPr>
          <w:ilvl w:val="0"/>
          <w:numId w:val="43"/>
        </w:numPr>
      </w:pPr>
      <w:r>
        <w:t>Postpone beam related measurements on a deactivated SCG until RAN2 decision has been reached.</w:t>
      </w:r>
    </w:p>
    <w:p w14:paraId="11B40497" w14:textId="5554EF3E" w:rsidR="00DC431E" w:rsidRPr="00DC431E" w:rsidRDefault="00DC431E" w:rsidP="00DC431E">
      <w:pPr>
        <w:rPr>
          <w:u w:val="single"/>
        </w:rPr>
      </w:pPr>
      <w:r w:rsidRPr="00DC431E">
        <w:rPr>
          <w:u w:val="single"/>
        </w:rPr>
        <w:t>Signaling Requirements to be defined</w:t>
      </w:r>
      <w:r w:rsidRPr="00DC431E">
        <w:rPr>
          <w:u w:val="single"/>
        </w:rPr>
        <w:t>:</w:t>
      </w:r>
    </w:p>
    <w:p w14:paraId="04533D49" w14:textId="77777777" w:rsidR="00DC431E" w:rsidRDefault="00DC431E" w:rsidP="00DC431E">
      <w:pPr>
        <w:pStyle w:val="RAN4proposal"/>
      </w:pPr>
      <w:r>
        <w:t>RAN4 to develop SCG activation and deactivation delay requirements based on RRC signaling.</w:t>
      </w:r>
    </w:p>
    <w:p w14:paraId="53D787DB" w14:textId="77777777" w:rsidR="00DC431E" w:rsidRPr="00023C1D" w:rsidRDefault="00DC431E" w:rsidP="00DC431E">
      <w:pPr>
        <w:pStyle w:val="RAN4proposal"/>
      </w:pPr>
      <w:r>
        <w:t>RAN4 to develop direct SCG activation delay requirements.</w:t>
      </w:r>
    </w:p>
    <w:p w14:paraId="70046130" w14:textId="77777777" w:rsidR="00DC431E" w:rsidRDefault="00DC431E" w:rsidP="00DC431E">
      <w:pPr>
        <w:pStyle w:val="RAN4proposal"/>
      </w:pPr>
      <w:r>
        <w:t xml:space="preserve">RAN4 to discuss the SCG deactivation delay requirement if SCG contain activated or dormant </w:t>
      </w:r>
      <w:proofErr w:type="spellStart"/>
      <w:r>
        <w:t>SCells</w:t>
      </w:r>
      <w:proofErr w:type="spellEnd"/>
      <w:r>
        <w:t>.</w:t>
      </w:r>
    </w:p>
    <w:p w14:paraId="7B928091" w14:textId="77777777" w:rsidR="00DC431E" w:rsidRDefault="00DC431E" w:rsidP="00DC431E">
      <w:pPr>
        <w:pStyle w:val="RAN4proposal"/>
      </w:pPr>
      <w:r>
        <w:t>RAN4 should also discuss if any interruptions are expected due UE operations on a deactivated SCG.</w:t>
      </w:r>
    </w:p>
    <w:p w14:paraId="366AF929" w14:textId="5CE5A509" w:rsidR="00DC431E" w:rsidRPr="002D056A" w:rsidRDefault="00DC431E" w:rsidP="00DC431E">
      <w:pPr>
        <w:rPr>
          <w:u w:val="single"/>
        </w:rPr>
      </w:pPr>
      <w:r w:rsidRPr="002D056A">
        <w:rPr>
          <w:u w:val="single"/>
        </w:rPr>
        <w:t>UE Measurement Requirements for deactivated SCG</w:t>
      </w:r>
      <w:r w:rsidRPr="002D056A">
        <w:rPr>
          <w:u w:val="single"/>
        </w:rPr>
        <w:t xml:space="preserve"> – measurement requirement:</w:t>
      </w:r>
    </w:p>
    <w:p w14:paraId="06ED7FA9" w14:textId="77777777" w:rsidR="00DC431E" w:rsidRDefault="00DC431E" w:rsidP="00DC431E">
      <w:pPr>
        <w:pStyle w:val="RAN4proposal"/>
      </w:pPr>
      <w:r>
        <w:t xml:space="preserve">Define measurement requirements for deactivated </w:t>
      </w:r>
      <w:proofErr w:type="spellStart"/>
      <w:r>
        <w:t>PSCell</w:t>
      </w:r>
      <w:proofErr w:type="spellEnd"/>
      <w:r>
        <w:t xml:space="preserve"> being the same for an activated </w:t>
      </w:r>
      <w:proofErr w:type="spellStart"/>
      <w:r>
        <w:t>PSCell</w:t>
      </w:r>
      <w:proofErr w:type="spellEnd"/>
      <w:r>
        <w:t xml:space="preserve"> (legacy).</w:t>
      </w:r>
    </w:p>
    <w:p w14:paraId="77214F84" w14:textId="77777777" w:rsidR="00DC431E" w:rsidRPr="00FE4336" w:rsidRDefault="00DC431E" w:rsidP="00DC431E">
      <w:pPr>
        <w:pStyle w:val="RAN4proposal"/>
      </w:pPr>
      <w:r>
        <w:t xml:space="preserve">Define the measurement accuracy requirements for deactivated </w:t>
      </w:r>
      <w:proofErr w:type="spellStart"/>
      <w:r>
        <w:t>PSCell</w:t>
      </w:r>
      <w:proofErr w:type="spellEnd"/>
      <w:r>
        <w:t xml:space="preserve"> being the same as for an activated </w:t>
      </w:r>
      <w:proofErr w:type="spellStart"/>
      <w:r>
        <w:t>PSCell</w:t>
      </w:r>
      <w:proofErr w:type="spellEnd"/>
      <w:r>
        <w:t xml:space="preserve"> (legacy).</w:t>
      </w:r>
    </w:p>
    <w:p w14:paraId="3A3D6513" w14:textId="1BE134A3" w:rsidR="002D056A" w:rsidRPr="002D056A" w:rsidRDefault="002D056A" w:rsidP="002D056A">
      <w:pPr>
        <w:rPr>
          <w:u w:val="single"/>
        </w:rPr>
      </w:pPr>
      <w:r w:rsidRPr="002D056A">
        <w:rPr>
          <w:u w:val="single"/>
        </w:rPr>
        <w:t xml:space="preserve">UE Measurement Requirements for deactivated SCG – </w:t>
      </w:r>
      <w:r>
        <w:rPr>
          <w:u w:val="single"/>
        </w:rPr>
        <w:t>activation delay</w:t>
      </w:r>
      <w:r w:rsidRPr="002D056A">
        <w:rPr>
          <w:u w:val="single"/>
        </w:rPr>
        <w:t xml:space="preserve"> requirement:</w:t>
      </w:r>
    </w:p>
    <w:p w14:paraId="3CD16F5F" w14:textId="77777777" w:rsidR="002D056A" w:rsidRDefault="002D056A" w:rsidP="002D056A">
      <w:pPr>
        <w:pStyle w:val="RAN4proposal"/>
      </w:pPr>
      <w:r>
        <w:t xml:space="preserve">Use the current PUCCH SCell (not finalized yet) or SCell addition as baseline for discussing which delay parameters would be needed when defining the </w:t>
      </w:r>
      <w:proofErr w:type="spellStart"/>
      <w:r>
        <w:t>PSCell</w:t>
      </w:r>
      <w:proofErr w:type="spellEnd"/>
      <w:r>
        <w:t xml:space="preserve"> activation delay requirements.</w:t>
      </w:r>
    </w:p>
    <w:p w14:paraId="2A648A30" w14:textId="77777777" w:rsidR="002D056A" w:rsidRPr="00DC431E" w:rsidRDefault="002D056A" w:rsidP="002D056A">
      <w:pPr>
        <w:pStyle w:val="RAN4proposal"/>
      </w:pPr>
      <w:r w:rsidRPr="00DC431E">
        <w:t xml:space="preserve">Use current </w:t>
      </w:r>
      <w:proofErr w:type="spellStart"/>
      <w:r w:rsidRPr="00DC431E">
        <w:t>PSCell</w:t>
      </w:r>
      <w:proofErr w:type="spellEnd"/>
      <w:r w:rsidRPr="00DC431E">
        <w:t xml:space="preserve"> addition delay requirements as a starting point for the direct </w:t>
      </w:r>
      <w:proofErr w:type="spellStart"/>
      <w:r w:rsidRPr="00DC431E">
        <w:t>PSCell</w:t>
      </w:r>
      <w:proofErr w:type="spellEnd"/>
      <w:r w:rsidRPr="00DC431E">
        <w:t xml:space="preserve"> activation delay requirements.</w:t>
      </w:r>
    </w:p>
    <w:p w14:paraId="2FF73873" w14:textId="77777777" w:rsidR="002D056A" w:rsidRDefault="002D056A" w:rsidP="00DC431E">
      <w:pPr>
        <w:rPr>
          <w:highlight w:val="yellow"/>
        </w:rPr>
      </w:pPr>
    </w:p>
    <w:p w14:paraId="3DAFBD41" w14:textId="77777777" w:rsidR="003B659E" w:rsidRPr="0095295C" w:rsidRDefault="003B659E" w:rsidP="0008612A">
      <w:pPr>
        <w:pStyle w:val="RAN4H1"/>
      </w:pPr>
      <w:r w:rsidRPr="0095295C">
        <w:t>References</w:t>
      </w:r>
    </w:p>
    <w:p w14:paraId="19FC2F12" w14:textId="682A26C1" w:rsidR="003B659E" w:rsidRPr="0060104C" w:rsidRDefault="002C4A07"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4" w:name="_Ref431017336"/>
      <w:r w:rsidRPr="0060104C">
        <w:rPr>
          <w:rFonts w:eastAsia="Times New Roman" w:cs="Times New Roman"/>
          <w:szCs w:val="20"/>
          <w:lang w:val="en-GB"/>
        </w:rPr>
        <w:t xml:space="preserve">RP-202658, </w:t>
      </w:r>
      <w:r w:rsidRPr="0060104C">
        <w:rPr>
          <w:rFonts w:eastAsia="Times New Roman" w:cs="Times New Roman"/>
          <w:bCs/>
          <w:szCs w:val="20"/>
          <w:lang w:val="en-GB"/>
        </w:rPr>
        <w:t>Revised WID on NR and MR-DC measurement gap enhancements</w:t>
      </w:r>
      <w:r w:rsidRPr="0060104C">
        <w:rPr>
          <w:rFonts w:eastAsia="Times New Roman" w:cs="Times New Roman"/>
          <w:szCs w:val="20"/>
          <w:lang w:val="en-GB"/>
        </w:rPr>
        <w:t>, Intel Corporation, MediaTek Inc.</w:t>
      </w:r>
      <w:r w:rsidR="003B659E" w:rsidRPr="0060104C" w:rsidDel="00C651B9">
        <w:rPr>
          <w:rFonts w:eastAsia="Times New Roman" w:cs="Times New Roman"/>
          <w:szCs w:val="20"/>
          <w:lang w:val="en-GB"/>
        </w:rPr>
        <w:t xml:space="preserve"> </w:t>
      </w:r>
      <w:bookmarkEnd w:id="4"/>
    </w:p>
    <w:p w14:paraId="341DAF61" w14:textId="454EA459" w:rsidR="0060104C" w:rsidRPr="0060104C" w:rsidRDefault="0060104C"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60104C">
        <w:rPr>
          <w:rFonts w:eastAsia="Times New Roman" w:cs="Times New Roman"/>
          <w:szCs w:val="20"/>
          <w:lang w:val="en-GB"/>
        </w:rPr>
        <w:t xml:space="preserve">R4-2108363, </w:t>
      </w:r>
      <w:r w:rsidRPr="0060104C">
        <w:rPr>
          <w:rFonts w:eastAsia="Times New Roman" w:cs="Times New Roman"/>
          <w:szCs w:val="20"/>
        </w:rPr>
        <w:t xml:space="preserve">WF on R17 further Multi-RAT Dual-Connectivity enhancements, Huawei, </w:t>
      </w:r>
      <w:proofErr w:type="spellStart"/>
      <w:r w:rsidRPr="0060104C">
        <w:rPr>
          <w:rFonts w:eastAsia="Times New Roman" w:cs="Times New Roman"/>
          <w:szCs w:val="20"/>
        </w:rPr>
        <w:t>HiSilicon</w:t>
      </w:r>
      <w:proofErr w:type="spellEnd"/>
    </w:p>
    <w:p w14:paraId="3EF87422" w14:textId="4EECA95D" w:rsidR="002C4A07" w:rsidRPr="0060104C" w:rsidRDefault="0060104C"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60104C">
        <w:rPr>
          <w:rFonts w:eastAsia="Times New Roman" w:cs="Times New Roman"/>
          <w:szCs w:val="20"/>
        </w:rPr>
        <w:t>R4-2111283</w:t>
      </w:r>
      <w:r w:rsidR="002C4A07" w:rsidRPr="0060104C">
        <w:rPr>
          <w:rFonts w:eastAsia="Times New Roman" w:cs="Times New Roman"/>
          <w:szCs w:val="20"/>
        </w:rPr>
        <w:t xml:space="preserve">, </w:t>
      </w:r>
      <w:r w:rsidRPr="0060104C">
        <w:rPr>
          <w:rFonts w:eastAsia="Times New Roman" w:cs="Times New Roman"/>
          <w:szCs w:val="20"/>
        </w:rPr>
        <w:t>Discussion on LTE_NR_DC_enh2-Core</w:t>
      </w:r>
      <w:r w:rsidR="002C4A07" w:rsidRPr="0060104C">
        <w:rPr>
          <w:rFonts w:eastAsia="Times New Roman" w:cs="Times New Roman"/>
          <w:szCs w:val="20"/>
        </w:rPr>
        <w:t xml:space="preserve">, </w:t>
      </w:r>
      <w:r w:rsidRPr="0060104C">
        <w:rPr>
          <w:rFonts w:eastAsia="Times New Roman" w:cs="Times New Roman"/>
          <w:szCs w:val="20"/>
        </w:rPr>
        <w:t>Nokia, Nokia Shanghai Bell</w:t>
      </w:r>
      <w:r w:rsidR="002C4A07" w:rsidRPr="0060104C">
        <w:rPr>
          <w:rFonts w:eastAsia="Times New Roman" w:cs="Times New Roman"/>
          <w:szCs w:val="20"/>
        </w:rPr>
        <w:t>.</w:t>
      </w:r>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FD607D" w14:textId="77777777" w:rsidR="007610A0" w:rsidRDefault="007610A0" w:rsidP="00001C9B">
      <w:pPr>
        <w:spacing w:after="0" w:line="240" w:lineRule="auto"/>
      </w:pPr>
      <w:r>
        <w:separator/>
      </w:r>
    </w:p>
  </w:endnote>
  <w:endnote w:type="continuationSeparator" w:id="0">
    <w:p w14:paraId="39B76756" w14:textId="77777777" w:rsidR="007610A0" w:rsidRDefault="007610A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MT"/>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4325AD" w14:textId="77777777" w:rsidR="007610A0" w:rsidRDefault="007610A0" w:rsidP="00001C9B">
      <w:pPr>
        <w:spacing w:after="0" w:line="240" w:lineRule="auto"/>
      </w:pPr>
      <w:r>
        <w:separator/>
      </w:r>
    </w:p>
  </w:footnote>
  <w:footnote w:type="continuationSeparator" w:id="0">
    <w:p w14:paraId="4B607508" w14:textId="77777777" w:rsidR="007610A0" w:rsidRDefault="007610A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82BF3"/>
    <w:multiLevelType w:val="hybridMultilevel"/>
    <w:tmpl w:val="72269F0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D81C05"/>
    <w:multiLevelType w:val="hybridMultilevel"/>
    <w:tmpl w:val="48E28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F700A8"/>
    <w:multiLevelType w:val="hybridMultilevel"/>
    <w:tmpl w:val="80D85CC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E466E384">
      <w:start w:val="9"/>
      <w:numFmt w:val="bullet"/>
      <w:lvlText w:val="-"/>
      <w:lvlJc w:val="left"/>
      <w:pPr>
        <w:ind w:left="2340" w:hanging="360"/>
      </w:pPr>
      <w:rPr>
        <w:rFonts w:ascii="Times New Roman" w:eastAsiaTheme="minorHAnsi" w:hAnsi="Times New Roman" w:cs="Times New Roman" w:hint="default"/>
      </w:rPr>
    </w:lvl>
    <w:lvl w:ilvl="3" w:tplc="C052BE9C">
      <w:start w:val="9"/>
      <w:numFmt w:val="bullet"/>
      <w:lvlText w:val=""/>
      <w:lvlJc w:val="left"/>
      <w:pPr>
        <w:ind w:left="2880" w:hanging="360"/>
      </w:pPr>
      <w:rPr>
        <w:rFonts w:ascii="Symbol" w:eastAsiaTheme="minorHAnsi" w:hAnsi="Symbol" w:cstheme="minorBidi"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89A3142"/>
    <w:multiLevelType w:val="hybridMultilevel"/>
    <w:tmpl w:val="5F1E77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8E7D79"/>
    <w:multiLevelType w:val="hybridMultilevel"/>
    <w:tmpl w:val="191CCB2C"/>
    <w:lvl w:ilvl="0" w:tplc="26E812DE">
      <w:start w:val="9"/>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0849AE"/>
    <w:multiLevelType w:val="hybridMultilevel"/>
    <w:tmpl w:val="4E661E96"/>
    <w:lvl w:ilvl="0" w:tplc="08090011">
      <w:start w:val="1"/>
      <w:numFmt w:val="decimal"/>
      <w:lvlText w:val="%1)"/>
      <w:lvlJc w:val="left"/>
      <w:pPr>
        <w:ind w:left="360" w:hanging="360"/>
      </w:pPr>
    </w:lvl>
    <w:lvl w:ilvl="1" w:tplc="D25ED6D2">
      <w:start w:val="1"/>
      <w:numFmt w:val="decimal"/>
      <w:lvlText w:val="%2"/>
      <w:lvlJc w:val="left"/>
      <w:pPr>
        <w:ind w:left="1080" w:hanging="360"/>
      </w:pPr>
      <w:rPr>
        <w:rFonts w:hint="default"/>
      </w:rPr>
    </w:lvl>
    <w:lvl w:ilvl="2" w:tplc="C12AED00">
      <w:start w:val="1"/>
      <w:numFmt w:val="bullet"/>
      <w:lvlText w:val="-"/>
      <w:lvlJc w:val="left"/>
      <w:pPr>
        <w:ind w:left="1980" w:hanging="360"/>
      </w:pPr>
      <w:rPr>
        <w:rFonts w:ascii="Arial" w:eastAsia="MS Mincho" w:hAnsi="Arial" w:cs="Arial" w:hint="default"/>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A8C32D9"/>
    <w:multiLevelType w:val="hybridMultilevel"/>
    <w:tmpl w:val="E9FCEDDE"/>
    <w:lvl w:ilvl="0" w:tplc="23503A08">
      <w:start w:val="1"/>
      <w:numFmt w:val="bullet"/>
      <w:lvlText w:val="–"/>
      <w:lvlJc w:val="left"/>
      <w:pPr>
        <w:tabs>
          <w:tab w:val="num" w:pos="360"/>
        </w:tabs>
        <w:ind w:left="360" w:hanging="360"/>
      </w:pPr>
      <w:rPr>
        <w:rFonts w:ascii="Arial" w:hAnsi="Arial" w:hint="default"/>
      </w:rPr>
    </w:lvl>
    <w:lvl w:ilvl="1" w:tplc="AEE87138">
      <w:start w:val="1"/>
      <w:numFmt w:val="bullet"/>
      <w:lvlText w:val="–"/>
      <w:lvlJc w:val="left"/>
      <w:pPr>
        <w:tabs>
          <w:tab w:val="num" w:pos="1080"/>
        </w:tabs>
        <w:ind w:left="1080" w:hanging="360"/>
      </w:pPr>
      <w:rPr>
        <w:rFonts w:ascii="Arial" w:hAnsi="Arial" w:hint="default"/>
      </w:rPr>
    </w:lvl>
    <w:lvl w:ilvl="2" w:tplc="06C297D6" w:tentative="1">
      <w:start w:val="1"/>
      <w:numFmt w:val="bullet"/>
      <w:lvlText w:val="–"/>
      <w:lvlJc w:val="left"/>
      <w:pPr>
        <w:tabs>
          <w:tab w:val="num" w:pos="1800"/>
        </w:tabs>
        <w:ind w:left="1800" w:hanging="360"/>
      </w:pPr>
      <w:rPr>
        <w:rFonts w:ascii="Arial" w:hAnsi="Arial" w:hint="default"/>
      </w:rPr>
    </w:lvl>
    <w:lvl w:ilvl="3" w:tplc="8A28C7EA" w:tentative="1">
      <w:start w:val="1"/>
      <w:numFmt w:val="bullet"/>
      <w:lvlText w:val="–"/>
      <w:lvlJc w:val="left"/>
      <w:pPr>
        <w:tabs>
          <w:tab w:val="num" w:pos="2520"/>
        </w:tabs>
        <w:ind w:left="2520" w:hanging="360"/>
      </w:pPr>
      <w:rPr>
        <w:rFonts w:ascii="Arial" w:hAnsi="Arial" w:hint="default"/>
      </w:rPr>
    </w:lvl>
    <w:lvl w:ilvl="4" w:tplc="D56AF976" w:tentative="1">
      <w:start w:val="1"/>
      <w:numFmt w:val="bullet"/>
      <w:lvlText w:val="–"/>
      <w:lvlJc w:val="left"/>
      <w:pPr>
        <w:tabs>
          <w:tab w:val="num" w:pos="3240"/>
        </w:tabs>
        <w:ind w:left="3240" w:hanging="360"/>
      </w:pPr>
      <w:rPr>
        <w:rFonts w:ascii="Arial" w:hAnsi="Arial" w:hint="default"/>
      </w:rPr>
    </w:lvl>
    <w:lvl w:ilvl="5" w:tplc="C64AAF08" w:tentative="1">
      <w:start w:val="1"/>
      <w:numFmt w:val="bullet"/>
      <w:lvlText w:val="–"/>
      <w:lvlJc w:val="left"/>
      <w:pPr>
        <w:tabs>
          <w:tab w:val="num" w:pos="3960"/>
        </w:tabs>
        <w:ind w:left="3960" w:hanging="360"/>
      </w:pPr>
      <w:rPr>
        <w:rFonts w:ascii="Arial" w:hAnsi="Arial" w:hint="default"/>
      </w:rPr>
    </w:lvl>
    <w:lvl w:ilvl="6" w:tplc="450EAF98" w:tentative="1">
      <w:start w:val="1"/>
      <w:numFmt w:val="bullet"/>
      <w:lvlText w:val="–"/>
      <w:lvlJc w:val="left"/>
      <w:pPr>
        <w:tabs>
          <w:tab w:val="num" w:pos="4680"/>
        </w:tabs>
        <w:ind w:left="4680" w:hanging="360"/>
      </w:pPr>
      <w:rPr>
        <w:rFonts w:ascii="Arial" w:hAnsi="Arial" w:hint="default"/>
      </w:rPr>
    </w:lvl>
    <w:lvl w:ilvl="7" w:tplc="FB5A7686" w:tentative="1">
      <w:start w:val="1"/>
      <w:numFmt w:val="bullet"/>
      <w:lvlText w:val="–"/>
      <w:lvlJc w:val="left"/>
      <w:pPr>
        <w:tabs>
          <w:tab w:val="num" w:pos="5400"/>
        </w:tabs>
        <w:ind w:left="5400" w:hanging="360"/>
      </w:pPr>
      <w:rPr>
        <w:rFonts w:ascii="Arial" w:hAnsi="Arial" w:hint="default"/>
      </w:rPr>
    </w:lvl>
    <w:lvl w:ilvl="8" w:tplc="4FA0070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E944E60"/>
    <w:multiLevelType w:val="hybridMultilevel"/>
    <w:tmpl w:val="16923FCA"/>
    <w:lvl w:ilvl="0" w:tplc="BC4AD5E8">
      <w:start w:val="1"/>
      <w:numFmt w:val="bullet"/>
      <w:lvlText w:val="•"/>
      <w:lvlJc w:val="left"/>
      <w:pPr>
        <w:tabs>
          <w:tab w:val="num" w:pos="720"/>
        </w:tabs>
        <w:ind w:left="720" w:hanging="360"/>
      </w:pPr>
      <w:rPr>
        <w:rFonts w:ascii="Arial" w:hAnsi="Arial" w:hint="default"/>
      </w:rPr>
    </w:lvl>
    <w:lvl w:ilvl="1" w:tplc="C24C728C">
      <w:numFmt w:val="bullet"/>
      <w:lvlText w:val="–"/>
      <w:lvlJc w:val="left"/>
      <w:pPr>
        <w:tabs>
          <w:tab w:val="num" w:pos="1440"/>
        </w:tabs>
        <w:ind w:left="1440" w:hanging="360"/>
      </w:pPr>
      <w:rPr>
        <w:rFonts w:ascii="Arial" w:hAnsi="Arial" w:hint="default"/>
      </w:rPr>
    </w:lvl>
    <w:lvl w:ilvl="2" w:tplc="D9B8050A">
      <w:numFmt w:val="bullet"/>
      <w:lvlText w:val="•"/>
      <w:lvlJc w:val="left"/>
      <w:pPr>
        <w:tabs>
          <w:tab w:val="num" w:pos="2160"/>
        </w:tabs>
        <w:ind w:left="2160" w:hanging="360"/>
      </w:pPr>
      <w:rPr>
        <w:rFonts w:ascii="Arial" w:hAnsi="Arial" w:hint="default"/>
      </w:rPr>
    </w:lvl>
    <w:lvl w:ilvl="3" w:tplc="D350460A" w:tentative="1">
      <w:start w:val="1"/>
      <w:numFmt w:val="bullet"/>
      <w:lvlText w:val="•"/>
      <w:lvlJc w:val="left"/>
      <w:pPr>
        <w:tabs>
          <w:tab w:val="num" w:pos="2880"/>
        </w:tabs>
        <w:ind w:left="2880" w:hanging="360"/>
      </w:pPr>
      <w:rPr>
        <w:rFonts w:ascii="Arial" w:hAnsi="Arial" w:hint="default"/>
      </w:rPr>
    </w:lvl>
    <w:lvl w:ilvl="4" w:tplc="82184EC2" w:tentative="1">
      <w:start w:val="1"/>
      <w:numFmt w:val="bullet"/>
      <w:lvlText w:val="•"/>
      <w:lvlJc w:val="left"/>
      <w:pPr>
        <w:tabs>
          <w:tab w:val="num" w:pos="3600"/>
        </w:tabs>
        <w:ind w:left="3600" w:hanging="360"/>
      </w:pPr>
      <w:rPr>
        <w:rFonts w:ascii="Arial" w:hAnsi="Arial" w:hint="default"/>
      </w:rPr>
    </w:lvl>
    <w:lvl w:ilvl="5" w:tplc="F26E04E4" w:tentative="1">
      <w:start w:val="1"/>
      <w:numFmt w:val="bullet"/>
      <w:lvlText w:val="•"/>
      <w:lvlJc w:val="left"/>
      <w:pPr>
        <w:tabs>
          <w:tab w:val="num" w:pos="4320"/>
        </w:tabs>
        <w:ind w:left="4320" w:hanging="360"/>
      </w:pPr>
      <w:rPr>
        <w:rFonts w:ascii="Arial" w:hAnsi="Arial" w:hint="default"/>
      </w:rPr>
    </w:lvl>
    <w:lvl w:ilvl="6" w:tplc="FCF62A20" w:tentative="1">
      <w:start w:val="1"/>
      <w:numFmt w:val="bullet"/>
      <w:lvlText w:val="•"/>
      <w:lvlJc w:val="left"/>
      <w:pPr>
        <w:tabs>
          <w:tab w:val="num" w:pos="5040"/>
        </w:tabs>
        <w:ind w:left="5040" w:hanging="360"/>
      </w:pPr>
      <w:rPr>
        <w:rFonts w:ascii="Arial" w:hAnsi="Arial" w:hint="default"/>
      </w:rPr>
    </w:lvl>
    <w:lvl w:ilvl="7" w:tplc="699A9640" w:tentative="1">
      <w:start w:val="1"/>
      <w:numFmt w:val="bullet"/>
      <w:lvlText w:val="•"/>
      <w:lvlJc w:val="left"/>
      <w:pPr>
        <w:tabs>
          <w:tab w:val="num" w:pos="5760"/>
        </w:tabs>
        <w:ind w:left="5760" w:hanging="360"/>
      </w:pPr>
      <w:rPr>
        <w:rFonts w:ascii="Arial" w:hAnsi="Arial" w:hint="default"/>
      </w:rPr>
    </w:lvl>
    <w:lvl w:ilvl="8" w:tplc="B358C1C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0F19D1"/>
    <w:multiLevelType w:val="hybridMultilevel"/>
    <w:tmpl w:val="4926BBDE"/>
    <w:lvl w:ilvl="0" w:tplc="CAD03A76">
      <w:start w:val="1"/>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3B27DE"/>
    <w:multiLevelType w:val="hybridMultilevel"/>
    <w:tmpl w:val="612A06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3A9C30AC"/>
    <w:multiLevelType w:val="multilevel"/>
    <w:tmpl w:val="F72CD5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3EC963ED"/>
    <w:multiLevelType w:val="hybridMultilevel"/>
    <w:tmpl w:val="FC3896F8"/>
    <w:lvl w:ilvl="0" w:tplc="F7507626">
      <w:start w:val="9"/>
      <w:numFmt w:val="bullet"/>
      <w:lvlText w:val="-"/>
      <w:lvlJc w:val="left"/>
      <w:pPr>
        <w:ind w:left="1080" w:hanging="360"/>
      </w:pPr>
      <w:rPr>
        <w:rFonts w:ascii="Times New Roman" w:eastAsiaTheme="minorHAns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B43B9D"/>
    <w:multiLevelType w:val="hybridMultilevel"/>
    <w:tmpl w:val="89BC83D2"/>
    <w:lvl w:ilvl="0" w:tplc="841EF9B6">
      <w:start w:val="1"/>
      <w:numFmt w:val="decimal"/>
      <w:pStyle w:val="RAN4Observation"/>
      <w:suff w:val="space"/>
      <w:lvlText w:val="Observation %1:"/>
      <w:lvlJc w:val="left"/>
      <w:pPr>
        <w:ind w:left="360" w:hanging="360"/>
      </w:pPr>
      <w:rPr>
        <w:rFonts w:ascii="Times New Roman" w:hAnsi="Times New Roman" w:hint="default"/>
        <w:b/>
        <w:i w:val="0"/>
        <w:color w:val="auto"/>
        <w:sz w:val="2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6E3167"/>
    <w:multiLevelType w:val="hybridMultilevel"/>
    <w:tmpl w:val="CFC0713A"/>
    <w:lvl w:ilvl="0" w:tplc="2FDC77C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695AA0"/>
    <w:multiLevelType w:val="hybridMultilevel"/>
    <w:tmpl w:val="CD6AF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E32693"/>
    <w:multiLevelType w:val="hybridMultilevel"/>
    <w:tmpl w:val="80D85CC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E466E384">
      <w:start w:val="9"/>
      <w:numFmt w:val="bullet"/>
      <w:lvlText w:val="-"/>
      <w:lvlJc w:val="left"/>
      <w:pPr>
        <w:ind w:left="2340" w:hanging="360"/>
      </w:pPr>
      <w:rPr>
        <w:rFonts w:ascii="Times New Roman" w:eastAsiaTheme="minorHAnsi" w:hAnsi="Times New Roman" w:cs="Times New Roman" w:hint="default"/>
      </w:rPr>
    </w:lvl>
    <w:lvl w:ilvl="3" w:tplc="C052BE9C">
      <w:start w:val="9"/>
      <w:numFmt w:val="bullet"/>
      <w:lvlText w:val=""/>
      <w:lvlJc w:val="left"/>
      <w:pPr>
        <w:ind w:left="2880" w:hanging="360"/>
      </w:pPr>
      <w:rPr>
        <w:rFonts w:ascii="Symbol" w:eastAsiaTheme="minorHAnsi" w:hAnsi="Symbol" w:cstheme="minorBidi"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2391002"/>
    <w:multiLevelType w:val="hybridMultilevel"/>
    <w:tmpl w:val="925A00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5E26296F"/>
    <w:multiLevelType w:val="multilevel"/>
    <w:tmpl w:val="9F6452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C77547A"/>
    <w:multiLevelType w:val="hybridMultilevel"/>
    <w:tmpl w:val="F4E6B3C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BF111C"/>
    <w:multiLevelType w:val="hybridMultilevel"/>
    <w:tmpl w:val="15FA6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281144"/>
    <w:multiLevelType w:val="multilevel"/>
    <w:tmpl w:val="32845C5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C0F241B"/>
    <w:multiLevelType w:val="multilevel"/>
    <w:tmpl w:val="CCD6A58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2"/>
  </w:num>
  <w:num w:numId="3">
    <w:abstractNumId w:val="19"/>
  </w:num>
  <w:num w:numId="4">
    <w:abstractNumId w:val="11"/>
  </w:num>
  <w:num w:numId="5">
    <w:abstractNumId w:val="26"/>
  </w:num>
  <w:num w:numId="6">
    <w:abstractNumId w:val="17"/>
  </w:num>
  <w:num w:numId="7">
    <w:abstractNumId w:val="18"/>
  </w:num>
  <w:num w:numId="8">
    <w:abstractNumId w:val="18"/>
    <w:lvlOverride w:ilvl="0">
      <w:startOverride w:val="1"/>
    </w:lvlOverride>
  </w:num>
  <w:num w:numId="9">
    <w:abstractNumId w:val="18"/>
    <w:lvlOverride w:ilvl="0">
      <w:startOverride w:val="1"/>
    </w:lvlOverride>
  </w:num>
  <w:num w:numId="10">
    <w:abstractNumId w:val="18"/>
    <w:lvlOverride w:ilvl="0">
      <w:startOverride w:val="1"/>
    </w:lvlOverride>
  </w:num>
  <w:num w:numId="11">
    <w:abstractNumId w:val="17"/>
    <w:lvlOverride w:ilvl="0">
      <w:startOverride w:val="1"/>
    </w:lvlOverride>
  </w:num>
  <w:num w:numId="12">
    <w:abstractNumId w:val="18"/>
    <w:lvlOverride w:ilvl="0">
      <w:startOverride w:val="1"/>
    </w:lvlOverride>
  </w:num>
  <w:num w:numId="13">
    <w:abstractNumId w:val="17"/>
    <w:lvlOverride w:ilvl="0">
      <w:startOverride w:val="1"/>
    </w:lvlOverride>
  </w:num>
  <w:num w:numId="14">
    <w:abstractNumId w:val="18"/>
    <w:lvlOverride w:ilvl="0">
      <w:startOverride w:val="1"/>
    </w:lvlOverride>
  </w:num>
  <w:num w:numId="15">
    <w:abstractNumId w:val="30"/>
  </w:num>
  <w:num w:numId="16">
    <w:abstractNumId w:val="8"/>
  </w:num>
  <w:num w:numId="17">
    <w:abstractNumId w:val="25"/>
  </w:num>
  <w:num w:numId="18">
    <w:abstractNumId w:val="2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3"/>
  </w:num>
  <w:num w:numId="22">
    <w:abstractNumId w:val="29"/>
  </w:num>
  <w:num w:numId="23">
    <w:abstractNumId w:val="9"/>
  </w:num>
  <w:num w:numId="24">
    <w:abstractNumId w:val="20"/>
  </w:num>
  <w:num w:numId="25">
    <w:abstractNumId w:val="1"/>
  </w:num>
  <w:num w:numId="26">
    <w:abstractNumId w:val="7"/>
  </w:num>
  <w:num w:numId="27">
    <w:abstractNumId w:val="13"/>
  </w:num>
  <w:num w:numId="28">
    <w:abstractNumId w:val="24"/>
  </w:num>
  <w:num w:numId="29">
    <w:abstractNumId w:val="14"/>
  </w:num>
  <w:num w:numId="30">
    <w:abstractNumId w:val="31"/>
  </w:num>
  <w:num w:numId="31">
    <w:abstractNumId w:val="32"/>
  </w:num>
  <w:num w:numId="32">
    <w:abstractNumId w:val="22"/>
  </w:num>
  <w:num w:numId="33">
    <w:abstractNumId w:val="28"/>
  </w:num>
  <w:num w:numId="34">
    <w:abstractNumId w:val="6"/>
  </w:num>
  <w:num w:numId="35">
    <w:abstractNumId w:val="0"/>
  </w:num>
  <w:num w:numId="36">
    <w:abstractNumId w:val="21"/>
  </w:num>
  <w:num w:numId="37">
    <w:abstractNumId w:val="10"/>
  </w:num>
  <w:num w:numId="38">
    <w:abstractNumId w:val="4"/>
  </w:num>
  <w:num w:numId="39">
    <w:abstractNumId w:val="5"/>
  </w:num>
  <w:num w:numId="40">
    <w:abstractNumId w:val="15"/>
  </w:num>
  <w:num w:numId="41">
    <w:abstractNumId w:val="3"/>
  </w:num>
  <w:num w:numId="42">
    <w:abstractNumId w:val="27"/>
  </w:num>
  <w:num w:numId="43">
    <w:abstractNumId w:val="1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1A"/>
    <w:rsid w:val="00001C9B"/>
    <w:rsid w:val="0001043C"/>
    <w:rsid w:val="000132EC"/>
    <w:rsid w:val="00023C1D"/>
    <w:rsid w:val="000427BE"/>
    <w:rsid w:val="00050987"/>
    <w:rsid w:val="00061CBE"/>
    <w:rsid w:val="00064500"/>
    <w:rsid w:val="00065E87"/>
    <w:rsid w:val="00066DCA"/>
    <w:rsid w:val="00077852"/>
    <w:rsid w:val="0008155F"/>
    <w:rsid w:val="0008612A"/>
    <w:rsid w:val="00087E9F"/>
    <w:rsid w:val="000A576C"/>
    <w:rsid w:val="000B0056"/>
    <w:rsid w:val="000B24CE"/>
    <w:rsid w:val="000D3BA7"/>
    <w:rsid w:val="000D60B4"/>
    <w:rsid w:val="000E016F"/>
    <w:rsid w:val="000E310D"/>
    <w:rsid w:val="000E766D"/>
    <w:rsid w:val="000F5F5A"/>
    <w:rsid w:val="00103A17"/>
    <w:rsid w:val="0010671C"/>
    <w:rsid w:val="00136252"/>
    <w:rsid w:val="00141D43"/>
    <w:rsid w:val="00154690"/>
    <w:rsid w:val="00167E25"/>
    <w:rsid w:val="001745F8"/>
    <w:rsid w:val="00176671"/>
    <w:rsid w:val="001838CF"/>
    <w:rsid w:val="00192097"/>
    <w:rsid w:val="00192659"/>
    <w:rsid w:val="001B542E"/>
    <w:rsid w:val="001C2B97"/>
    <w:rsid w:val="001C2F6D"/>
    <w:rsid w:val="001D2B8F"/>
    <w:rsid w:val="001D2CD3"/>
    <w:rsid w:val="001D43DF"/>
    <w:rsid w:val="001E1969"/>
    <w:rsid w:val="001E30F6"/>
    <w:rsid w:val="001E6A63"/>
    <w:rsid w:val="001F7D11"/>
    <w:rsid w:val="00202C59"/>
    <w:rsid w:val="00203700"/>
    <w:rsid w:val="0020449E"/>
    <w:rsid w:val="00235F5C"/>
    <w:rsid w:val="00287678"/>
    <w:rsid w:val="00295EAF"/>
    <w:rsid w:val="002B4922"/>
    <w:rsid w:val="002B5C89"/>
    <w:rsid w:val="002C2D19"/>
    <w:rsid w:val="002C4A07"/>
    <w:rsid w:val="002D056A"/>
    <w:rsid w:val="002D10FA"/>
    <w:rsid w:val="002D4C55"/>
    <w:rsid w:val="002D4E49"/>
    <w:rsid w:val="002E7B74"/>
    <w:rsid w:val="003175D5"/>
    <w:rsid w:val="00346683"/>
    <w:rsid w:val="00363CF1"/>
    <w:rsid w:val="0039133C"/>
    <w:rsid w:val="003A2D22"/>
    <w:rsid w:val="003B659E"/>
    <w:rsid w:val="003B6EA0"/>
    <w:rsid w:val="003C5481"/>
    <w:rsid w:val="003F00CB"/>
    <w:rsid w:val="003F514F"/>
    <w:rsid w:val="004060BA"/>
    <w:rsid w:val="0040761C"/>
    <w:rsid w:val="00417AA0"/>
    <w:rsid w:val="004335B0"/>
    <w:rsid w:val="0043750A"/>
    <w:rsid w:val="00445154"/>
    <w:rsid w:val="004662C7"/>
    <w:rsid w:val="00477BD5"/>
    <w:rsid w:val="004B7B4A"/>
    <w:rsid w:val="004C1448"/>
    <w:rsid w:val="004C4011"/>
    <w:rsid w:val="004C43AF"/>
    <w:rsid w:val="004D269D"/>
    <w:rsid w:val="004E5E66"/>
    <w:rsid w:val="004E75BD"/>
    <w:rsid w:val="00503B4D"/>
    <w:rsid w:val="00504EE9"/>
    <w:rsid w:val="00520B8E"/>
    <w:rsid w:val="00521A99"/>
    <w:rsid w:val="00535856"/>
    <w:rsid w:val="005433E0"/>
    <w:rsid w:val="0054442C"/>
    <w:rsid w:val="00550285"/>
    <w:rsid w:val="00553D08"/>
    <w:rsid w:val="00567353"/>
    <w:rsid w:val="005754B5"/>
    <w:rsid w:val="00577E81"/>
    <w:rsid w:val="005836F8"/>
    <w:rsid w:val="005918FA"/>
    <w:rsid w:val="005B2BDF"/>
    <w:rsid w:val="005B39A5"/>
    <w:rsid w:val="005B7F0E"/>
    <w:rsid w:val="005C713B"/>
    <w:rsid w:val="005E12C3"/>
    <w:rsid w:val="005E3125"/>
    <w:rsid w:val="005E61A8"/>
    <w:rsid w:val="005F2651"/>
    <w:rsid w:val="005F6419"/>
    <w:rsid w:val="0060104C"/>
    <w:rsid w:val="00617400"/>
    <w:rsid w:val="00624D01"/>
    <w:rsid w:val="00627DFF"/>
    <w:rsid w:val="0063404B"/>
    <w:rsid w:val="00664950"/>
    <w:rsid w:val="00665100"/>
    <w:rsid w:val="00674798"/>
    <w:rsid w:val="00683220"/>
    <w:rsid w:val="00687FA0"/>
    <w:rsid w:val="006A12C0"/>
    <w:rsid w:val="006A6E75"/>
    <w:rsid w:val="006A7E31"/>
    <w:rsid w:val="006B382F"/>
    <w:rsid w:val="006B7010"/>
    <w:rsid w:val="006D2225"/>
    <w:rsid w:val="006D4432"/>
    <w:rsid w:val="006E0909"/>
    <w:rsid w:val="006E278F"/>
    <w:rsid w:val="006F52F0"/>
    <w:rsid w:val="00700CAE"/>
    <w:rsid w:val="00711799"/>
    <w:rsid w:val="007145FF"/>
    <w:rsid w:val="00715622"/>
    <w:rsid w:val="00751515"/>
    <w:rsid w:val="007610A0"/>
    <w:rsid w:val="00767EE6"/>
    <w:rsid w:val="00774982"/>
    <w:rsid w:val="00781E1D"/>
    <w:rsid w:val="00785232"/>
    <w:rsid w:val="007937F8"/>
    <w:rsid w:val="007C3ED0"/>
    <w:rsid w:val="007D0717"/>
    <w:rsid w:val="007D1ADB"/>
    <w:rsid w:val="007F7015"/>
    <w:rsid w:val="00806A76"/>
    <w:rsid w:val="008118F2"/>
    <w:rsid w:val="00811C9D"/>
    <w:rsid w:val="0081393E"/>
    <w:rsid w:val="008147E0"/>
    <w:rsid w:val="00815AD8"/>
    <w:rsid w:val="00816C80"/>
    <w:rsid w:val="0082748F"/>
    <w:rsid w:val="00841BCD"/>
    <w:rsid w:val="00846B38"/>
    <w:rsid w:val="0085010A"/>
    <w:rsid w:val="00875244"/>
    <w:rsid w:val="0088119B"/>
    <w:rsid w:val="008826C1"/>
    <w:rsid w:val="0088368B"/>
    <w:rsid w:val="008928C3"/>
    <w:rsid w:val="008A5B85"/>
    <w:rsid w:val="008A5FD8"/>
    <w:rsid w:val="008C45B0"/>
    <w:rsid w:val="008C60AB"/>
    <w:rsid w:val="008C6134"/>
    <w:rsid w:val="008C6428"/>
    <w:rsid w:val="008C7ADD"/>
    <w:rsid w:val="00900691"/>
    <w:rsid w:val="009042BD"/>
    <w:rsid w:val="00906D17"/>
    <w:rsid w:val="009119F1"/>
    <w:rsid w:val="009557A8"/>
    <w:rsid w:val="0096008C"/>
    <w:rsid w:val="00971F52"/>
    <w:rsid w:val="00977E1D"/>
    <w:rsid w:val="009856D5"/>
    <w:rsid w:val="009C003D"/>
    <w:rsid w:val="009C2E4C"/>
    <w:rsid w:val="009D1A4A"/>
    <w:rsid w:val="00A0293E"/>
    <w:rsid w:val="00A22B78"/>
    <w:rsid w:val="00A25AE5"/>
    <w:rsid w:val="00A312D9"/>
    <w:rsid w:val="00A37002"/>
    <w:rsid w:val="00A62D48"/>
    <w:rsid w:val="00A704F9"/>
    <w:rsid w:val="00A95089"/>
    <w:rsid w:val="00AA1B0E"/>
    <w:rsid w:val="00AA1F3B"/>
    <w:rsid w:val="00AA2E2F"/>
    <w:rsid w:val="00AA3566"/>
    <w:rsid w:val="00AA7D95"/>
    <w:rsid w:val="00AB24A6"/>
    <w:rsid w:val="00AC2A2B"/>
    <w:rsid w:val="00AC5CA7"/>
    <w:rsid w:val="00AD58AB"/>
    <w:rsid w:val="00AE56B1"/>
    <w:rsid w:val="00B20282"/>
    <w:rsid w:val="00B21469"/>
    <w:rsid w:val="00B40E2A"/>
    <w:rsid w:val="00B45158"/>
    <w:rsid w:val="00B6557F"/>
    <w:rsid w:val="00B73862"/>
    <w:rsid w:val="00B83321"/>
    <w:rsid w:val="00BA6900"/>
    <w:rsid w:val="00BA6E48"/>
    <w:rsid w:val="00BA724E"/>
    <w:rsid w:val="00BB3F30"/>
    <w:rsid w:val="00BB64BE"/>
    <w:rsid w:val="00BC5888"/>
    <w:rsid w:val="00BE2A78"/>
    <w:rsid w:val="00BF2218"/>
    <w:rsid w:val="00BF646C"/>
    <w:rsid w:val="00C175B7"/>
    <w:rsid w:val="00C176C8"/>
    <w:rsid w:val="00C3717F"/>
    <w:rsid w:val="00C9059A"/>
    <w:rsid w:val="00C94120"/>
    <w:rsid w:val="00CA150F"/>
    <w:rsid w:val="00CA5CAB"/>
    <w:rsid w:val="00CB1A0D"/>
    <w:rsid w:val="00CB4CE8"/>
    <w:rsid w:val="00CC4695"/>
    <w:rsid w:val="00CD5A78"/>
    <w:rsid w:val="00CD6ADA"/>
    <w:rsid w:val="00CD7492"/>
    <w:rsid w:val="00CD7F38"/>
    <w:rsid w:val="00CE3A6B"/>
    <w:rsid w:val="00CF0180"/>
    <w:rsid w:val="00CF7178"/>
    <w:rsid w:val="00D00211"/>
    <w:rsid w:val="00D00D7B"/>
    <w:rsid w:val="00D06309"/>
    <w:rsid w:val="00D20899"/>
    <w:rsid w:val="00D22437"/>
    <w:rsid w:val="00D23FE5"/>
    <w:rsid w:val="00D27872"/>
    <w:rsid w:val="00D351EA"/>
    <w:rsid w:val="00D417D4"/>
    <w:rsid w:val="00D4246D"/>
    <w:rsid w:val="00D43403"/>
    <w:rsid w:val="00D62E71"/>
    <w:rsid w:val="00D647AD"/>
    <w:rsid w:val="00D740CA"/>
    <w:rsid w:val="00D76897"/>
    <w:rsid w:val="00D85728"/>
    <w:rsid w:val="00D9452A"/>
    <w:rsid w:val="00D97F4E"/>
    <w:rsid w:val="00DA2EF9"/>
    <w:rsid w:val="00DB2762"/>
    <w:rsid w:val="00DC431E"/>
    <w:rsid w:val="00DC4C61"/>
    <w:rsid w:val="00DC7ACE"/>
    <w:rsid w:val="00DD555A"/>
    <w:rsid w:val="00DD585C"/>
    <w:rsid w:val="00DF2997"/>
    <w:rsid w:val="00E134F1"/>
    <w:rsid w:val="00E14F5F"/>
    <w:rsid w:val="00E30406"/>
    <w:rsid w:val="00E45988"/>
    <w:rsid w:val="00E46667"/>
    <w:rsid w:val="00E46CE3"/>
    <w:rsid w:val="00E568AC"/>
    <w:rsid w:val="00E65F63"/>
    <w:rsid w:val="00E6665C"/>
    <w:rsid w:val="00E779DC"/>
    <w:rsid w:val="00E84CEF"/>
    <w:rsid w:val="00EA17AC"/>
    <w:rsid w:val="00EB0792"/>
    <w:rsid w:val="00EC0265"/>
    <w:rsid w:val="00EC7BC3"/>
    <w:rsid w:val="00ED7600"/>
    <w:rsid w:val="00EF2A70"/>
    <w:rsid w:val="00F1362C"/>
    <w:rsid w:val="00F507D3"/>
    <w:rsid w:val="00F57376"/>
    <w:rsid w:val="00F76908"/>
    <w:rsid w:val="00F76AE3"/>
    <w:rsid w:val="00F824F5"/>
    <w:rsid w:val="00F866D2"/>
    <w:rsid w:val="00F97B7B"/>
    <w:rsid w:val="00FA3FA5"/>
    <w:rsid w:val="00FC29B9"/>
    <w:rsid w:val="00FC63EA"/>
    <w:rsid w:val="00FC68CD"/>
    <w:rsid w:val="00FC6FD3"/>
    <w:rsid w:val="00FD3A48"/>
    <w:rsid w:val="00FE4336"/>
    <w:rsid w:val="316C3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リスト段落,Lista1,?? ??,?????,????,中等深浅网格 1 - 着色 21,列表段落,목록 단락,列出段落,列出段落1,¥¡¡¡¡ì¬º¥¹¥È¶ÎÂä,ÁÐ³ö¶ÎÂä,列表段落1,—ño’i—Ž,¥ê¥¹¥È¶ÎÂä,1st level - Bullet List Paragraph,Lettre d'introduction,Paragrafo elenco,Normal bullet 2,Bullet list,목록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リスト段落 Char,Lista1 Char,?? ?? Char,????? Char,???? Char,中等深浅网格 1 - 着色 21 Char,列表段落 Char,목록 단락 Char,列出段落 Char,列出段落1 Char,¥¡¡¡¡ì¬º¥¹¥È¶ÎÂä Char,ÁÐ³ö¶ÎÂä Char,列表段落1 Char,—ño’i—Ž Char,¥ê¥¹¥È¶ÎÂä Char,Paragrafo elenco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customStyle="1" w:styleId="paragraph">
    <w:name w:val="paragraph"/>
    <w:basedOn w:val="Normal"/>
    <w:rsid w:val="005B7F0E"/>
    <w:pPr>
      <w:spacing w:before="100" w:beforeAutospacing="1" w:after="100" w:afterAutospacing="1" w:line="240" w:lineRule="auto"/>
    </w:pPr>
    <w:rPr>
      <w:rFonts w:eastAsia="Times New Roman" w:cs="Times New Roman"/>
      <w:sz w:val="24"/>
      <w:szCs w:val="24"/>
      <w:lang w:val="en-GB" w:eastAsia="en-GB"/>
    </w:rPr>
  </w:style>
  <w:style w:type="character" w:customStyle="1" w:styleId="normaltextrun">
    <w:name w:val="normaltextrun"/>
    <w:basedOn w:val="DefaultParagraphFont"/>
    <w:rsid w:val="005B7F0E"/>
  </w:style>
  <w:style w:type="character" w:customStyle="1" w:styleId="eop">
    <w:name w:val="eop"/>
    <w:basedOn w:val="DefaultParagraphFont"/>
    <w:rsid w:val="005B7F0E"/>
  </w:style>
  <w:style w:type="character" w:styleId="CommentReference">
    <w:name w:val="annotation reference"/>
    <w:basedOn w:val="DefaultParagraphFont"/>
    <w:uiPriority w:val="99"/>
    <w:semiHidden/>
    <w:unhideWhenUsed/>
    <w:rsid w:val="00521A99"/>
    <w:rPr>
      <w:sz w:val="16"/>
      <w:szCs w:val="16"/>
    </w:rPr>
  </w:style>
  <w:style w:type="paragraph" w:styleId="CommentText">
    <w:name w:val="annotation text"/>
    <w:basedOn w:val="Normal"/>
    <w:link w:val="CommentTextChar"/>
    <w:uiPriority w:val="99"/>
    <w:semiHidden/>
    <w:unhideWhenUsed/>
    <w:rsid w:val="00521A99"/>
    <w:pPr>
      <w:spacing w:line="240" w:lineRule="auto"/>
    </w:pPr>
    <w:rPr>
      <w:szCs w:val="20"/>
    </w:rPr>
  </w:style>
  <w:style w:type="character" w:customStyle="1" w:styleId="CommentTextChar">
    <w:name w:val="Comment Text Char"/>
    <w:basedOn w:val="DefaultParagraphFont"/>
    <w:link w:val="CommentText"/>
    <w:uiPriority w:val="99"/>
    <w:semiHidden/>
    <w:rsid w:val="00521A99"/>
    <w:rPr>
      <w:rFonts w:ascii="Times New Roman" w:hAnsi="Times New Roman"/>
      <w:sz w:val="20"/>
      <w:szCs w:val="20"/>
    </w:rPr>
  </w:style>
  <w:style w:type="paragraph" w:customStyle="1" w:styleId="Agreement">
    <w:name w:val="Agreement"/>
    <w:basedOn w:val="Normal"/>
    <w:next w:val="Normal"/>
    <w:qFormat/>
    <w:rsid w:val="00521A99"/>
    <w:pPr>
      <w:numPr>
        <w:numId w:val="33"/>
      </w:numPr>
      <w:spacing w:before="60" w:after="0" w:line="240" w:lineRule="auto"/>
    </w:pPr>
    <w:rPr>
      <w:rFonts w:ascii="Arial" w:eastAsia="MS Mincho" w:hAnsi="Arial" w:cs="Times New Roman"/>
      <w:b/>
      <w:szCs w:val="24"/>
      <w:lang w:val="en-GB" w:eastAsia="en-GB"/>
    </w:rPr>
  </w:style>
  <w:style w:type="paragraph" w:styleId="CommentSubject">
    <w:name w:val="annotation subject"/>
    <w:basedOn w:val="CommentText"/>
    <w:next w:val="CommentText"/>
    <w:link w:val="CommentSubjectChar"/>
    <w:uiPriority w:val="99"/>
    <w:semiHidden/>
    <w:unhideWhenUsed/>
    <w:rsid w:val="00521A99"/>
    <w:rPr>
      <w:b/>
      <w:bCs/>
    </w:rPr>
  </w:style>
  <w:style w:type="character" w:customStyle="1" w:styleId="CommentSubjectChar">
    <w:name w:val="Comment Subject Char"/>
    <w:basedOn w:val="CommentTextChar"/>
    <w:link w:val="CommentSubject"/>
    <w:uiPriority w:val="99"/>
    <w:semiHidden/>
    <w:rsid w:val="00521A99"/>
    <w:rPr>
      <w:rFonts w:ascii="Times New Roman" w:hAnsi="Times New Roman"/>
      <w:b/>
      <w:bCs/>
      <w:sz w:val="20"/>
      <w:szCs w:val="20"/>
    </w:rPr>
  </w:style>
  <w:style w:type="character" w:styleId="UnresolvedMention">
    <w:name w:val="Unresolved Mention"/>
    <w:basedOn w:val="DefaultParagraphFont"/>
    <w:uiPriority w:val="99"/>
    <w:unhideWhenUsed/>
    <w:rsid w:val="00D00D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550436">
      <w:bodyDiv w:val="1"/>
      <w:marLeft w:val="0"/>
      <w:marRight w:val="0"/>
      <w:marTop w:val="0"/>
      <w:marBottom w:val="0"/>
      <w:divBdr>
        <w:top w:val="none" w:sz="0" w:space="0" w:color="auto"/>
        <w:left w:val="none" w:sz="0" w:space="0" w:color="auto"/>
        <w:bottom w:val="none" w:sz="0" w:space="0" w:color="auto"/>
        <w:right w:val="none" w:sz="0" w:space="0" w:color="auto"/>
      </w:divBdr>
      <w:divsChild>
        <w:div w:id="544296249">
          <w:marLeft w:val="547"/>
          <w:marRight w:val="0"/>
          <w:marTop w:val="115"/>
          <w:marBottom w:val="0"/>
          <w:divBdr>
            <w:top w:val="none" w:sz="0" w:space="0" w:color="auto"/>
            <w:left w:val="none" w:sz="0" w:space="0" w:color="auto"/>
            <w:bottom w:val="none" w:sz="0" w:space="0" w:color="auto"/>
            <w:right w:val="none" w:sz="0" w:space="0" w:color="auto"/>
          </w:divBdr>
        </w:div>
        <w:div w:id="305934307">
          <w:marLeft w:val="1166"/>
          <w:marRight w:val="0"/>
          <w:marTop w:val="96"/>
          <w:marBottom w:val="0"/>
          <w:divBdr>
            <w:top w:val="none" w:sz="0" w:space="0" w:color="auto"/>
            <w:left w:val="none" w:sz="0" w:space="0" w:color="auto"/>
            <w:bottom w:val="none" w:sz="0" w:space="0" w:color="auto"/>
            <w:right w:val="none" w:sz="0" w:space="0" w:color="auto"/>
          </w:divBdr>
        </w:div>
        <w:div w:id="1832132651">
          <w:marLeft w:val="1800"/>
          <w:marRight w:val="0"/>
          <w:marTop w:val="86"/>
          <w:marBottom w:val="0"/>
          <w:divBdr>
            <w:top w:val="none" w:sz="0" w:space="0" w:color="auto"/>
            <w:left w:val="none" w:sz="0" w:space="0" w:color="auto"/>
            <w:bottom w:val="none" w:sz="0" w:space="0" w:color="auto"/>
            <w:right w:val="none" w:sz="0" w:space="0" w:color="auto"/>
          </w:divBdr>
        </w:div>
        <w:div w:id="679352233">
          <w:marLeft w:val="1800"/>
          <w:marRight w:val="0"/>
          <w:marTop w:val="86"/>
          <w:marBottom w:val="0"/>
          <w:divBdr>
            <w:top w:val="none" w:sz="0" w:space="0" w:color="auto"/>
            <w:left w:val="none" w:sz="0" w:space="0" w:color="auto"/>
            <w:bottom w:val="none" w:sz="0" w:space="0" w:color="auto"/>
            <w:right w:val="none" w:sz="0" w:space="0" w:color="auto"/>
          </w:divBdr>
        </w:div>
        <w:div w:id="1552307755">
          <w:marLeft w:val="1800"/>
          <w:marRight w:val="0"/>
          <w:marTop w:val="86"/>
          <w:marBottom w:val="0"/>
          <w:divBdr>
            <w:top w:val="none" w:sz="0" w:space="0" w:color="auto"/>
            <w:left w:val="none" w:sz="0" w:space="0" w:color="auto"/>
            <w:bottom w:val="none" w:sz="0" w:space="0" w:color="auto"/>
            <w:right w:val="none" w:sz="0" w:space="0" w:color="auto"/>
          </w:divBdr>
        </w:div>
        <w:div w:id="1117792919">
          <w:marLeft w:val="547"/>
          <w:marRight w:val="0"/>
          <w:marTop w:val="115"/>
          <w:marBottom w:val="0"/>
          <w:divBdr>
            <w:top w:val="none" w:sz="0" w:space="0" w:color="auto"/>
            <w:left w:val="none" w:sz="0" w:space="0" w:color="auto"/>
            <w:bottom w:val="none" w:sz="0" w:space="0" w:color="auto"/>
            <w:right w:val="none" w:sz="0" w:space="0" w:color="auto"/>
          </w:divBdr>
        </w:div>
        <w:div w:id="693456591">
          <w:marLeft w:val="1166"/>
          <w:marRight w:val="0"/>
          <w:marTop w:val="96"/>
          <w:marBottom w:val="0"/>
          <w:divBdr>
            <w:top w:val="none" w:sz="0" w:space="0" w:color="auto"/>
            <w:left w:val="none" w:sz="0" w:space="0" w:color="auto"/>
            <w:bottom w:val="none" w:sz="0" w:space="0" w:color="auto"/>
            <w:right w:val="none" w:sz="0" w:space="0" w:color="auto"/>
          </w:divBdr>
        </w:div>
      </w:divsChild>
    </w:div>
    <w:div w:id="340086521">
      <w:bodyDiv w:val="1"/>
      <w:marLeft w:val="0"/>
      <w:marRight w:val="0"/>
      <w:marTop w:val="0"/>
      <w:marBottom w:val="0"/>
      <w:divBdr>
        <w:top w:val="none" w:sz="0" w:space="0" w:color="auto"/>
        <w:left w:val="none" w:sz="0" w:space="0" w:color="auto"/>
        <w:bottom w:val="none" w:sz="0" w:space="0" w:color="auto"/>
        <w:right w:val="none" w:sz="0" w:space="0" w:color="auto"/>
      </w:divBdr>
      <w:divsChild>
        <w:div w:id="2085836743">
          <w:marLeft w:val="1166"/>
          <w:marRight w:val="0"/>
          <w:marTop w:val="96"/>
          <w:marBottom w:val="0"/>
          <w:divBdr>
            <w:top w:val="none" w:sz="0" w:space="0" w:color="auto"/>
            <w:left w:val="none" w:sz="0" w:space="0" w:color="auto"/>
            <w:bottom w:val="none" w:sz="0" w:space="0" w:color="auto"/>
            <w:right w:val="none" w:sz="0" w:space="0" w:color="auto"/>
          </w:divBdr>
        </w:div>
      </w:divsChild>
    </w:div>
    <w:div w:id="363602326">
      <w:bodyDiv w:val="1"/>
      <w:marLeft w:val="0"/>
      <w:marRight w:val="0"/>
      <w:marTop w:val="0"/>
      <w:marBottom w:val="0"/>
      <w:divBdr>
        <w:top w:val="none" w:sz="0" w:space="0" w:color="auto"/>
        <w:left w:val="none" w:sz="0" w:space="0" w:color="auto"/>
        <w:bottom w:val="none" w:sz="0" w:space="0" w:color="auto"/>
        <w:right w:val="none" w:sz="0" w:space="0" w:color="auto"/>
      </w:divBdr>
      <w:divsChild>
        <w:div w:id="1728723115">
          <w:marLeft w:val="1166"/>
          <w:marRight w:val="0"/>
          <w:marTop w:val="86"/>
          <w:marBottom w:val="0"/>
          <w:divBdr>
            <w:top w:val="none" w:sz="0" w:space="0" w:color="auto"/>
            <w:left w:val="none" w:sz="0" w:space="0" w:color="auto"/>
            <w:bottom w:val="none" w:sz="0" w:space="0" w:color="auto"/>
            <w:right w:val="none" w:sz="0" w:space="0" w:color="auto"/>
          </w:divBdr>
        </w:div>
      </w:divsChild>
    </w:div>
    <w:div w:id="648168856">
      <w:bodyDiv w:val="1"/>
      <w:marLeft w:val="0"/>
      <w:marRight w:val="0"/>
      <w:marTop w:val="0"/>
      <w:marBottom w:val="0"/>
      <w:divBdr>
        <w:top w:val="none" w:sz="0" w:space="0" w:color="auto"/>
        <w:left w:val="none" w:sz="0" w:space="0" w:color="auto"/>
        <w:bottom w:val="none" w:sz="0" w:space="0" w:color="auto"/>
        <w:right w:val="none" w:sz="0" w:space="0" w:color="auto"/>
      </w:divBdr>
      <w:divsChild>
        <w:div w:id="336494322">
          <w:marLeft w:val="547"/>
          <w:marRight w:val="0"/>
          <w:marTop w:val="115"/>
          <w:marBottom w:val="0"/>
          <w:divBdr>
            <w:top w:val="none" w:sz="0" w:space="0" w:color="auto"/>
            <w:left w:val="none" w:sz="0" w:space="0" w:color="auto"/>
            <w:bottom w:val="none" w:sz="0" w:space="0" w:color="auto"/>
            <w:right w:val="none" w:sz="0" w:space="0" w:color="auto"/>
          </w:divBdr>
        </w:div>
      </w:divsChild>
    </w:div>
    <w:div w:id="852450487">
      <w:bodyDiv w:val="1"/>
      <w:marLeft w:val="0"/>
      <w:marRight w:val="0"/>
      <w:marTop w:val="0"/>
      <w:marBottom w:val="0"/>
      <w:divBdr>
        <w:top w:val="none" w:sz="0" w:space="0" w:color="auto"/>
        <w:left w:val="none" w:sz="0" w:space="0" w:color="auto"/>
        <w:bottom w:val="none" w:sz="0" w:space="0" w:color="auto"/>
        <w:right w:val="none" w:sz="0" w:space="0" w:color="auto"/>
      </w:divBdr>
      <w:divsChild>
        <w:div w:id="1408574041">
          <w:marLeft w:val="547"/>
          <w:marRight w:val="0"/>
          <w:marTop w:val="86"/>
          <w:marBottom w:val="0"/>
          <w:divBdr>
            <w:top w:val="none" w:sz="0" w:space="0" w:color="auto"/>
            <w:left w:val="none" w:sz="0" w:space="0" w:color="auto"/>
            <w:bottom w:val="none" w:sz="0" w:space="0" w:color="auto"/>
            <w:right w:val="none" w:sz="0" w:space="0" w:color="auto"/>
          </w:divBdr>
        </w:div>
        <w:div w:id="1105542813">
          <w:marLeft w:val="547"/>
          <w:marRight w:val="0"/>
          <w:marTop w:val="86"/>
          <w:marBottom w:val="0"/>
          <w:divBdr>
            <w:top w:val="none" w:sz="0" w:space="0" w:color="auto"/>
            <w:left w:val="none" w:sz="0" w:space="0" w:color="auto"/>
            <w:bottom w:val="none" w:sz="0" w:space="0" w:color="auto"/>
            <w:right w:val="none" w:sz="0" w:space="0" w:color="auto"/>
          </w:divBdr>
        </w:div>
      </w:divsChild>
    </w:div>
    <w:div w:id="957100935">
      <w:bodyDiv w:val="1"/>
      <w:marLeft w:val="0"/>
      <w:marRight w:val="0"/>
      <w:marTop w:val="0"/>
      <w:marBottom w:val="0"/>
      <w:divBdr>
        <w:top w:val="none" w:sz="0" w:space="0" w:color="auto"/>
        <w:left w:val="none" w:sz="0" w:space="0" w:color="auto"/>
        <w:bottom w:val="none" w:sz="0" w:space="0" w:color="auto"/>
        <w:right w:val="none" w:sz="0" w:space="0" w:color="auto"/>
      </w:divBdr>
      <w:divsChild>
        <w:div w:id="897133706">
          <w:marLeft w:val="547"/>
          <w:marRight w:val="0"/>
          <w:marTop w:val="86"/>
          <w:marBottom w:val="0"/>
          <w:divBdr>
            <w:top w:val="none" w:sz="0" w:space="0" w:color="auto"/>
            <w:left w:val="none" w:sz="0" w:space="0" w:color="auto"/>
            <w:bottom w:val="none" w:sz="0" w:space="0" w:color="auto"/>
            <w:right w:val="none" w:sz="0" w:space="0" w:color="auto"/>
          </w:divBdr>
        </w:div>
      </w:divsChild>
    </w:div>
    <w:div w:id="1165630556">
      <w:bodyDiv w:val="1"/>
      <w:marLeft w:val="0"/>
      <w:marRight w:val="0"/>
      <w:marTop w:val="0"/>
      <w:marBottom w:val="0"/>
      <w:divBdr>
        <w:top w:val="none" w:sz="0" w:space="0" w:color="auto"/>
        <w:left w:val="none" w:sz="0" w:space="0" w:color="auto"/>
        <w:bottom w:val="none" w:sz="0" w:space="0" w:color="auto"/>
        <w:right w:val="none" w:sz="0" w:space="0" w:color="auto"/>
      </w:divBdr>
      <w:divsChild>
        <w:div w:id="2144040041">
          <w:marLeft w:val="547"/>
          <w:marRight w:val="0"/>
          <w:marTop w:val="115"/>
          <w:marBottom w:val="0"/>
          <w:divBdr>
            <w:top w:val="none" w:sz="0" w:space="0" w:color="auto"/>
            <w:left w:val="none" w:sz="0" w:space="0" w:color="auto"/>
            <w:bottom w:val="none" w:sz="0" w:space="0" w:color="auto"/>
            <w:right w:val="none" w:sz="0" w:space="0" w:color="auto"/>
          </w:divBdr>
        </w:div>
        <w:div w:id="1425765455">
          <w:marLeft w:val="1166"/>
          <w:marRight w:val="0"/>
          <w:marTop w:val="96"/>
          <w:marBottom w:val="0"/>
          <w:divBdr>
            <w:top w:val="none" w:sz="0" w:space="0" w:color="auto"/>
            <w:left w:val="none" w:sz="0" w:space="0" w:color="auto"/>
            <w:bottom w:val="none" w:sz="0" w:space="0" w:color="auto"/>
            <w:right w:val="none" w:sz="0" w:space="0" w:color="auto"/>
          </w:divBdr>
        </w:div>
        <w:div w:id="736560536">
          <w:marLeft w:val="1800"/>
          <w:marRight w:val="0"/>
          <w:marTop w:val="86"/>
          <w:marBottom w:val="0"/>
          <w:divBdr>
            <w:top w:val="none" w:sz="0" w:space="0" w:color="auto"/>
            <w:left w:val="none" w:sz="0" w:space="0" w:color="auto"/>
            <w:bottom w:val="none" w:sz="0" w:space="0" w:color="auto"/>
            <w:right w:val="none" w:sz="0" w:space="0" w:color="auto"/>
          </w:divBdr>
        </w:div>
        <w:div w:id="1749769488">
          <w:marLeft w:val="1800"/>
          <w:marRight w:val="0"/>
          <w:marTop w:val="86"/>
          <w:marBottom w:val="0"/>
          <w:divBdr>
            <w:top w:val="none" w:sz="0" w:space="0" w:color="auto"/>
            <w:left w:val="none" w:sz="0" w:space="0" w:color="auto"/>
            <w:bottom w:val="none" w:sz="0" w:space="0" w:color="auto"/>
            <w:right w:val="none" w:sz="0" w:space="0" w:color="auto"/>
          </w:divBdr>
        </w:div>
        <w:div w:id="351105562">
          <w:marLeft w:val="1800"/>
          <w:marRight w:val="0"/>
          <w:marTop w:val="86"/>
          <w:marBottom w:val="0"/>
          <w:divBdr>
            <w:top w:val="none" w:sz="0" w:space="0" w:color="auto"/>
            <w:left w:val="none" w:sz="0" w:space="0" w:color="auto"/>
            <w:bottom w:val="none" w:sz="0" w:space="0" w:color="auto"/>
            <w:right w:val="none" w:sz="0" w:space="0" w:color="auto"/>
          </w:divBdr>
        </w:div>
        <w:div w:id="44836919">
          <w:marLeft w:val="547"/>
          <w:marRight w:val="0"/>
          <w:marTop w:val="115"/>
          <w:marBottom w:val="0"/>
          <w:divBdr>
            <w:top w:val="none" w:sz="0" w:space="0" w:color="auto"/>
            <w:left w:val="none" w:sz="0" w:space="0" w:color="auto"/>
            <w:bottom w:val="none" w:sz="0" w:space="0" w:color="auto"/>
            <w:right w:val="none" w:sz="0" w:space="0" w:color="auto"/>
          </w:divBdr>
        </w:div>
        <w:div w:id="466050587">
          <w:marLeft w:val="1166"/>
          <w:marRight w:val="0"/>
          <w:marTop w:val="96"/>
          <w:marBottom w:val="0"/>
          <w:divBdr>
            <w:top w:val="none" w:sz="0" w:space="0" w:color="auto"/>
            <w:left w:val="none" w:sz="0" w:space="0" w:color="auto"/>
            <w:bottom w:val="none" w:sz="0" w:space="0" w:color="auto"/>
            <w:right w:val="none" w:sz="0" w:space="0" w:color="auto"/>
          </w:divBdr>
        </w:div>
      </w:divsChild>
    </w:div>
    <w:div w:id="1231966074">
      <w:bodyDiv w:val="1"/>
      <w:marLeft w:val="0"/>
      <w:marRight w:val="0"/>
      <w:marTop w:val="0"/>
      <w:marBottom w:val="0"/>
      <w:divBdr>
        <w:top w:val="none" w:sz="0" w:space="0" w:color="auto"/>
        <w:left w:val="none" w:sz="0" w:space="0" w:color="auto"/>
        <w:bottom w:val="none" w:sz="0" w:space="0" w:color="auto"/>
        <w:right w:val="none" w:sz="0" w:space="0" w:color="auto"/>
      </w:divBdr>
      <w:divsChild>
        <w:div w:id="1951475064">
          <w:marLeft w:val="547"/>
          <w:marRight w:val="0"/>
          <w:marTop w:val="115"/>
          <w:marBottom w:val="0"/>
          <w:divBdr>
            <w:top w:val="none" w:sz="0" w:space="0" w:color="auto"/>
            <w:left w:val="none" w:sz="0" w:space="0" w:color="auto"/>
            <w:bottom w:val="none" w:sz="0" w:space="0" w:color="auto"/>
            <w:right w:val="none" w:sz="0" w:space="0" w:color="auto"/>
          </w:divBdr>
        </w:div>
        <w:div w:id="1522544311">
          <w:marLeft w:val="1166"/>
          <w:marRight w:val="0"/>
          <w:marTop w:val="96"/>
          <w:marBottom w:val="0"/>
          <w:divBdr>
            <w:top w:val="none" w:sz="0" w:space="0" w:color="auto"/>
            <w:left w:val="none" w:sz="0" w:space="0" w:color="auto"/>
            <w:bottom w:val="none" w:sz="0" w:space="0" w:color="auto"/>
            <w:right w:val="none" w:sz="0" w:space="0" w:color="auto"/>
          </w:divBdr>
        </w:div>
        <w:div w:id="894968649">
          <w:marLeft w:val="1800"/>
          <w:marRight w:val="0"/>
          <w:marTop w:val="86"/>
          <w:marBottom w:val="0"/>
          <w:divBdr>
            <w:top w:val="none" w:sz="0" w:space="0" w:color="auto"/>
            <w:left w:val="none" w:sz="0" w:space="0" w:color="auto"/>
            <w:bottom w:val="none" w:sz="0" w:space="0" w:color="auto"/>
            <w:right w:val="none" w:sz="0" w:space="0" w:color="auto"/>
          </w:divBdr>
        </w:div>
        <w:div w:id="1863739092">
          <w:marLeft w:val="1800"/>
          <w:marRight w:val="0"/>
          <w:marTop w:val="86"/>
          <w:marBottom w:val="0"/>
          <w:divBdr>
            <w:top w:val="none" w:sz="0" w:space="0" w:color="auto"/>
            <w:left w:val="none" w:sz="0" w:space="0" w:color="auto"/>
            <w:bottom w:val="none" w:sz="0" w:space="0" w:color="auto"/>
            <w:right w:val="none" w:sz="0" w:space="0" w:color="auto"/>
          </w:divBdr>
        </w:div>
        <w:div w:id="547112664">
          <w:marLeft w:val="1800"/>
          <w:marRight w:val="0"/>
          <w:marTop w:val="86"/>
          <w:marBottom w:val="0"/>
          <w:divBdr>
            <w:top w:val="none" w:sz="0" w:space="0" w:color="auto"/>
            <w:left w:val="none" w:sz="0" w:space="0" w:color="auto"/>
            <w:bottom w:val="none" w:sz="0" w:space="0" w:color="auto"/>
            <w:right w:val="none" w:sz="0" w:space="0" w:color="auto"/>
          </w:divBdr>
        </w:div>
        <w:div w:id="2042709710">
          <w:marLeft w:val="547"/>
          <w:marRight w:val="0"/>
          <w:marTop w:val="115"/>
          <w:marBottom w:val="0"/>
          <w:divBdr>
            <w:top w:val="none" w:sz="0" w:space="0" w:color="auto"/>
            <w:left w:val="none" w:sz="0" w:space="0" w:color="auto"/>
            <w:bottom w:val="none" w:sz="0" w:space="0" w:color="auto"/>
            <w:right w:val="none" w:sz="0" w:space="0" w:color="auto"/>
          </w:divBdr>
        </w:div>
        <w:div w:id="1568952881">
          <w:marLeft w:val="1166"/>
          <w:marRight w:val="0"/>
          <w:marTop w:val="96"/>
          <w:marBottom w:val="0"/>
          <w:divBdr>
            <w:top w:val="none" w:sz="0" w:space="0" w:color="auto"/>
            <w:left w:val="none" w:sz="0" w:space="0" w:color="auto"/>
            <w:bottom w:val="none" w:sz="0" w:space="0" w:color="auto"/>
            <w:right w:val="none" w:sz="0" w:space="0" w:color="auto"/>
          </w:divBdr>
        </w:div>
      </w:divsChild>
    </w:div>
    <w:div w:id="1233276995">
      <w:bodyDiv w:val="1"/>
      <w:marLeft w:val="0"/>
      <w:marRight w:val="0"/>
      <w:marTop w:val="0"/>
      <w:marBottom w:val="0"/>
      <w:divBdr>
        <w:top w:val="none" w:sz="0" w:space="0" w:color="auto"/>
        <w:left w:val="none" w:sz="0" w:space="0" w:color="auto"/>
        <w:bottom w:val="none" w:sz="0" w:space="0" w:color="auto"/>
        <w:right w:val="none" w:sz="0" w:space="0" w:color="auto"/>
      </w:divBdr>
      <w:divsChild>
        <w:div w:id="59643429">
          <w:marLeft w:val="547"/>
          <w:marRight w:val="0"/>
          <w:marTop w:val="115"/>
          <w:marBottom w:val="0"/>
          <w:divBdr>
            <w:top w:val="none" w:sz="0" w:space="0" w:color="auto"/>
            <w:left w:val="none" w:sz="0" w:space="0" w:color="auto"/>
            <w:bottom w:val="none" w:sz="0" w:space="0" w:color="auto"/>
            <w:right w:val="none" w:sz="0" w:space="0" w:color="auto"/>
          </w:divBdr>
        </w:div>
        <w:div w:id="925966211">
          <w:marLeft w:val="1166"/>
          <w:marRight w:val="0"/>
          <w:marTop w:val="96"/>
          <w:marBottom w:val="0"/>
          <w:divBdr>
            <w:top w:val="none" w:sz="0" w:space="0" w:color="auto"/>
            <w:left w:val="none" w:sz="0" w:space="0" w:color="auto"/>
            <w:bottom w:val="none" w:sz="0" w:space="0" w:color="auto"/>
            <w:right w:val="none" w:sz="0" w:space="0" w:color="auto"/>
          </w:divBdr>
        </w:div>
        <w:div w:id="845291133">
          <w:marLeft w:val="1800"/>
          <w:marRight w:val="0"/>
          <w:marTop w:val="86"/>
          <w:marBottom w:val="0"/>
          <w:divBdr>
            <w:top w:val="none" w:sz="0" w:space="0" w:color="auto"/>
            <w:left w:val="none" w:sz="0" w:space="0" w:color="auto"/>
            <w:bottom w:val="none" w:sz="0" w:space="0" w:color="auto"/>
            <w:right w:val="none" w:sz="0" w:space="0" w:color="auto"/>
          </w:divBdr>
        </w:div>
        <w:div w:id="42559292">
          <w:marLeft w:val="1800"/>
          <w:marRight w:val="0"/>
          <w:marTop w:val="86"/>
          <w:marBottom w:val="0"/>
          <w:divBdr>
            <w:top w:val="none" w:sz="0" w:space="0" w:color="auto"/>
            <w:left w:val="none" w:sz="0" w:space="0" w:color="auto"/>
            <w:bottom w:val="none" w:sz="0" w:space="0" w:color="auto"/>
            <w:right w:val="none" w:sz="0" w:space="0" w:color="auto"/>
          </w:divBdr>
        </w:div>
        <w:div w:id="1219169003">
          <w:marLeft w:val="1800"/>
          <w:marRight w:val="0"/>
          <w:marTop w:val="86"/>
          <w:marBottom w:val="0"/>
          <w:divBdr>
            <w:top w:val="none" w:sz="0" w:space="0" w:color="auto"/>
            <w:left w:val="none" w:sz="0" w:space="0" w:color="auto"/>
            <w:bottom w:val="none" w:sz="0" w:space="0" w:color="auto"/>
            <w:right w:val="none" w:sz="0" w:space="0" w:color="auto"/>
          </w:divBdr>
        </w:div>
        <w:div w:id="2119714970">
          <w:marLeft w:val="547"/>
          <w:marRight w:val="0"/>
          <w:marTop w:val="115"/>
          <w:marBottom w:val="0"/>
          <w:divBdr>
            <w:top w:val="none" w:sz="0" w:space="0" w:color="auto"/>
            <w:left w:val="none" w:sz="0" w:space="0" w:color="auto"/>
            <w:bottom w:val="none" w:sz="0" w:space="0" w:color="auto"/>
            <w:right w:val="none" w:sz="0" w:space="0" w:color="auto"/>
          </w:divBdr>
        </w:div>
        <w:div w:id="1779637882">
          <w:marLeft w:val="1166"/>
          <w:marRight w:val="0"/>
          <w:marTop w:val="96"/>
          <w:marBottom w:val="0"/>
          <w:divBdr>
            <w:top w:val="none" w:sz="0" w:space="0" w:color="auto"/>
            <w:left w:val="none" w:sz="0" w:space="0" w:color="auto"/>
            <w:bottom w:val="none" w:sz="0" w:space="0" w:color="auto"/>
            <w:right w:val="none" w:sz="0" w:space="0" w:color="auto"/>
          </w:divBdr>
        </w:div>
      </w:divsChild>
    </w:div>
    <w:div w:id="1269040860">
      <w:bodyDiv w:val="1"/>
      <w:marLeft w:val="0"/>
      <w:marRight w:val="0"/>
      <w:marTop w:val="0"/>
      <w:marBottom w:val="0"/>
      <w:divBdr>
        <w:top w:val="none" w:sz="0" w:space="0" w:color="auto"/>
        <w:left w:val="none" w:sz="0" w:space="0" w:color="auto"/>
        <w:bottom w:val="none" w:sz="0" w:space="0" w:color="auto"/>
        <w:right w:val="none" w:sz="0" w:space="0" w:color="auto"/>
      </w:divBdr>
    </w:div>
    <w:div w:id="1311325868">
      <w:bodyDiv w:val="1"/>
      <w:marLeft w:val="0"/>
      <w:marRight w:val="0"/>
      <w:marTop w:val="0"/>
      <w:marBottom w:val="0"/>
      <w:divBdr>
        <w:top w:val="none" w:sz="0" w:space="0" w:color="auto"/>
        <w:left w:val="none" w:sz="0" w:space="0" w:color="auto"/>
        <w:bottom w:val="none" w:sz="0" w:space="0" w:color="auto"/>
        <w:right w:val="none" w:sz="0" w:space="0" w:color="auto"/>
      </w:divBdr>
      <w:divsChild>
        <w:div w:id="2070154703">
          <w:marLeft w:val="547"/>
          <w:marRight w:val="0"/>
          <w:marTop w:val="115"/>
          <w:marBottom w:val="0"/>
          <w:divBdr>
            <w:top w:val="none" w:sz="0" w:space="0" w:color="auto"/>
            <w:left w:val="none" w:sz="0" w:space="0" w:color="auto"/>
            <w:bottom w:val="none" w:sz="0" w:space="0" w:color="auto"/>
            <w:right w:val="none" w:sz="0" w:space="0" w:color="auto"/>
          </w:divBdr>
        </w:div>
      </w:divsChild>
    </w:div>
    <w:div w:id="1322587042">
      <w:bodyDiv w:val="1"/>
      <w:marLeft w:val="0"/>
      <w:marRight w:val="0"/>
      <w:marTop w:val="0"/>
      <w:marBottom w:val="0"/>
      <w:divBdr>
        <w:top w:val="none" w:sz="0" w:space="0" w:color="auto"/>
        <w:left w:val="none" w:sz="0" w:space="0" w:color="auto"/>
        <w:bottom w:val="none" w:sz="0" w:space="0" w:color="auto"/>
        <w:right w:val="none" w:sz="0" w:space="0" w:color="auto"/>
      </w:divBdr>
      <w:divsChild>
        <w:div w:id="1154370243">
          <w:marLeft w:val="547"/>
          <w:marRight w:val="0"/>
          <w:marTop w:val="115"/>
          <w:marBottom w:val="0"/>
          <w:divBdr>
            <w:top w:val="none" w:sz="0" w:space="0" w:color="auto"/>
            <w:left w:val="none" w:sz="0" w:space="0" w:color="auto"/>
            <w:bottom w:val="none" w:sz="0" w:space="0" w:color="auto"/>
            <w:right w:val="none" w:sz="0" w:space="0" w:color="auto"/>
          </w:divBdr>
        </w:div>
        <w:div w:id="1379088045">
          <w:marLeft w:val="1166"/>
          <w:marRight w:val="0"/>
          <w:marTop w:val="96"/>
          <w:marBottom w:val="0"/>
          <w:divBdr>
            <w:top w:val="none" w:sz="0" w:space="0" w:color="auto"/>
            <w:left w:val="none" w:sz="0" w:space="0" w:color="auto"/>
            <w:bottom w:val="none" w:sz="0" w:space="0" w:color="auto"/>
            <w:right w:val="none" w:sz="0" w:space="0" w:color="auto"/>
          </w:divBdr>
        </w:div>
        <w:div w:id="1045838283">
          <w:marLeft w:val="1800"/>
          <w:marRight w:val="0"/>
          <w:marTop w:val="86"/>
          <w:marBottom w:val="0"/>
          <w:divBdr>
            <w:top w:val="none" w:sz="0" w:space="0" w:color="auto"/>
            <w:left w:val="none" w:sz="0" w:space="0" w:color="auto"/>
            <w:bottom w:val="none" w:sz="0" w:space="0" w:color="auto"/>
            <w:right w:val="none" w:sz="0" w:space="0" w:color="auto"/>
          </w:divBdr>
        </w:div>
        <w:div w:id="1282148651">
          <w:marLeft w:val="1800"/>
          <w:marRight w:val="0"/>
          <w:marTop w:val="86"/>
          <w:marBottom w:val="0"/>
          <w:divBdr>
            <w:top w:val="none" w:sz="0" w:space="0" w:color="auto"/>
            <w:left w:val="none" w:sz="0" w:space="0" w:color="auto"/>
            <w:bottom w:val="none" w:sz="0" w:space="0" w:color="auto"/>
            <w:right w:val="none" w:sz="0" w:space="0" w:color="auto"/>
          </w:divBdr>
        </w:div>
        <w:div w:id="769593544">
          <w:marLeft w:val="1800"/>
          <w:marRight w:val="0"/>
          <w:marTop w:val="86"/>
          <w:marBottom w:val="0"/>
          <w:divBdr>
            <w:top w:val="none" w:sz="0" w:space="0" w:color="auto"/>
            <w:left w:val="none" w:sz="0" w:space="0" w:color="auto"/>
            <w:bottom w:val="none" w:sz="0" w:space="0" w:color="auto"/>
            <w:right w:val="none" w:sz="0" w:space="0" w:color="auto"/>
          </w:divBdr>
        </w:div>
        <w:div w:id="2113237831">
          <w:marLeft w:val="547"/>
          <w:marRight w:val="0"/>
          <w:marTop w:val="115"/>
          <w:marBottom w:val="0"/>
          <w:divBdr>
            <w:top w:val="none" w:sz="0" w:space="0" w:color="auto"/>
            <w:left w:val="none" w:sz="0" w:space="0" w:color="auto"/>
            <w:bottom w:val="none" w:sz="0" w:space="0" w:color="auto"/>
            <w:right w:val="none" w:sz="0" w:space="0" w:color="auto"/>
          </w:divBdr>
        </w:div>
        <w:div w:id="33583524">
          <w:marLeft w:val="1166"/>
          <w:marRight w:val="0"/>
          <w:marTop w:val="96"/>
          <w:marBottom w:val="0"/>
          <w:divBdr>
            <w:top w:val="none" w:sz="0" w:space="0" w:color="auto"/>
            <w:left w:val="none" w:sz="0" w:space="0" w:color="auto"/>
            <w:bottom w:val="none" w:sz="0" w:space="0" w:color="auto"/>
            <w:right w:val="none" w:sz="0" w:space="0" w:color="auto"/>
          </w:divBdr>
        </w:div>
      </w:divsChild>
    </w:div>
    <w:div w:id="1405570151">
      <w:bodyDiv w:val="1"/>
      <w:marLeft w:val="0"/>
      <w:marRight w:val="0"/>
      <w:marTop w:val="0"/>
      <w:marBottom w:val="0"/>
      <w:divBdr>
        <w:top w:val="none" w:sz="0" w:space="0" w:color="auto"/>
        <w:left w:val="none" w:sz="0" w:space="0" w:color="auto"/>
        <w:bottom w:val="none" w:sz="0" w:space="0" w:color="auto"/>
        <w:right w:val="none" w:sz="0" w:space="0" w:color="auto"/>
      </w:divBdr>
      <w:divsChild>
        <w:div w:id="55934573">
          <w:marLeft w:val="0"/>
          <w:marRight w:val="0"/>
          <w:marTop w:val="0"/>
          <w:marBottom w:val="0"/>
          <w:divBdr>
            <w:top w:val="none" w:sz="0" w:space="0" w:color="auto"/>
            <w:left w:val="none" w:sz="0" w:space="0" w:color="auto"/>
            <w:bottom w:val="none" w:sz="0" w:space="0" w:color="auto"/>
            <w:right w:val="none" w:sz="0" w:space="0" w:color="auto"/>
          </w:divBdr>
          <w:divsChild>
            <w:div w:id="1743403031">
              <w:marLeft w:val="0"/>
              <w:marRight w:val="0"/>
              <w:marTop w:val="0"/>
              <w:marBottom w:val="0"/>
              <w:divBdr>
                <w:top w:val="none" w:sz="0" w:space="0" w:color="auto"/>
                <w:left w:val="none" w:sz="0" w:space="0" w:color="auto"/>
                <w:bottom w:val="none" w:sz="0" w:space="0" w:color="auto"/>
                <w:right w:val="none" w:sz="0" w:space="0" w:color="auto"/>
              </w:divBdr>
            </w:div>
            <w:div w:id="616914824">
              <w:marLeft w:val="0"/>
              <w:marRight w:val="0"/>
              <w:marTop w:val="0"/>
              <w:marBottom w:val="0"/>
              <w:divBdr>
                <w:top w:val="none" w:sz="0" w:space="0" w:color="auto"/>
                <w:left w:val="none" w:sz="0" w:space="0" w:color="auto"/>
                <w:bottom w:val="none" w:sz="0" w:space="0" w:color="auto"/>
                <w:right w:val="none" w:sz="0" w:space="0" w:color="auto"/>
              </w:divBdr>
            </w:div>
          </w:divsChild>
        </w:div>
        <w:div w:id="775641998">
          <w:marLeft w:val="0"/>
          <w:marRight w:val="0"/>
          <w:marTop w:val="0"/>
          <w:marBottom w:val="0"/>
          <w:divBdr>
            <w:top w:val="none" w:sz="0" w:space="0" w:color="auto"/>
            <w:left w:val="none" w:sz="0" w:space="0" w:color="auto"/>
            <w:bottom w:val="none" w:sz="0" w:space="0" w:color="auto"/>
            <w:right w:val="none" w:sz="0" w:space="0" w:color="auto"/>
          </w:divBdr>
          <w:divsChild>
            <w:div w:id="1005017414">
              <w:marLeft w:val="0"/>
              <w:marRight w:val="0"/>
              <w:marTop w:val="0"/>
              <w:marBottom w:val="0"/>
              <w:divBdr>
                <w:top w:val="none" w:sz="0" w:space="0" w:color="auto"/>
                <w:left w:val="none" w:sz="0" w:space="0" w:color="auto"/>
                <w:bottom w:val="none" w:sz="0" w:space="0" w:color="auto"/>
                <w:right w:val="none" w:sz="0" w:space="0" w:color="auto"/>
              </w:divBdr>
            </w:div>
            <w:div w:id="1884174510">
              <w:marLeft w:val="0"/>
              <w:marRight w:val="0"/>
              <w:marTop w:val="0"/>
              <w:marBottom w:val="0"/>
              <w:divBdr>
                <w:top w:val="none" w:sz="0" w:space="0" w:color="auto"/>
                <w:left w:val="none" w:sz="0" w:space="0" w:color="auto"/>
                <w:bottom w:val="none" w:sz="0" w:space="0" w:color="auto"/>
                <w:right w:val="none" w:sz="0" w:space="0" w:color="auto"/>
              </w:divBdr>
            </w:div>
            <w:div w:id="1612010249">
              <w:marLeft w:val="0"/>
              <w:marRight w:val="0"/>
              <w:marTop w:val="0"/>
              <w:marBottom w:val="0"/>
              <w:divBdr>
                <w:top w:val="none" w:sz="0" w:space="0" w:color="auto"/>
                <w:left w:val="none" w:sz="0" w:space="0" w:color="auto"/>
                <w:bottom w:val="none" w:sz="0" w:space="0" w:color="auto"/>
                <w:right w:val="none" w:sz="0" w:space="0" w:color="auto"/>
              </w:divBdr>
            </w:div>
          </w:divsChild>
        </w:div>
        <w:div w:id="661082053">
          <w:marLeft w:val="0"/>
          <w:marRight w:val="0"/>
          <w:marTop w:val="0"/>
          <w:marBottom w:val="0"/>
          <w:divBdr>
            <w:top w:val="none" w:sz="0" w:space="0" w:color="auto"/>
            <w:left w:val="none" w:sz="0" w:space="0" w:color="auto"/>
            <w:bottom w:val="none" w:sz="0" w:space="0" w:color="auto"/>
            <w:right w:val="none" w:sz="0" w:space="0" w:color="auto"/>
          </w:divBdr>
          <w:divsChild>
            <w:div w:id="1723287178">
              <w:marLeft w:val="0"/>
              <w:marRight w:val="0"/>
              <w:marTop w:val="0"/>
              <w:marBottom w:val="0"/>
              <w:divBdr>
                <w:top w:val="none" w:sz="0" w:space="0" w:color="auto"/>
                <w:left w:val="none" w:sz="0" w:space="0" w:color="auto"/>
                <w:bottom w:val="none" w:sz="0" w:space="0" w:color="auto"/>
                <w:right w:val="none" w:sz="0" w:space="0" w:color="auto"/>
              </w:divBdr>
            </w:div>
            <w:div w:id="824009732">
              <w:marLeft w:val="0"/>
              <w:marRight w:val="0"/>
              <w:marTop w:val="0"/>
              <w:marBottom w:val="0"/>
              <w:divBdr>
                <w:top w:val="none" w:sz="0" w:space="0" w:color="auto"/>
                <w:left w:val="none" w:sz="0" w:space="0" w:color="auto"/>
                <w:bottom w:val="none" w:sz="0" w:space="0" w:color="auto"/>
                <w:right w:val="none" w:sz="0" w:space="0" w:color="auto"/>
              </w:divBdr>
            </w:div>
            <w:div w:id="603150377">
              <w:marLeft w:val="0"/>
              <w:marRight w:val="0"/>
              <w:marTop w:val="0"/>
              <w:marBottom w:val="0"/>
              <w:divBdr>
                <w:top w:val="none" w:sz="0" w:space="0" w:color="auto"/>
                <w:left w:val="none" w:sz="0" w:space="0" w:color="auto"/>
                <w:bottom w:val="none" w:sz="0" w:space="0" w:color="auto"/>
                <w:right w:val="none" w:sz="0" w:space="0" w:color="auto"/>
              </w:divBdr>
            </w:div>
            <w:div w:id="789014417">
              <w:marLeft w:val="0"/>
              <w:marRight w:val="0"/>
              <w:marTop w:val="0"/>
              <w:marBottom w:val="0"/>
              <w:divBdr>
                <w:top w:val="none" w:sz="0" w:space="0" w:color="auto"/>
                <w:left w:val="none" w:sz="0" w:space="0" w:color="auto"/>
                <w:bottom w:val="none" w:sz="0" w:space="0" w:color="auto"/>
                <w:right w:val="none" w:sz="0" w:space="0" w:color="auto"/>
              </w:divBdr>
            </w:div>
            <w:div w:id="1109619221">
              <w:marLeft w:val="0"/>
              <w:marRight w:val="0"/>
              <w:marTop w:val="0"/>
              <w:marBottom w:val="0"/>
              <w:divBdr>
                <w:top w:val="none" w:sz="0" w:space="0" w:color="auto"/>
                <w:left w:val="none" w:sz="0" w:space="0" w:color="auto"/>
                <w:bottom w:val="none" w:sz="0" w:space="0" w:color="auto"/>
                <w:right w:val="none" w:sz="0" w:space="0" w:color="auto"/>
              </w:divBdr>
            </w:div>
          </w:divsChild>
        </w:div>
        <w:div w:id="1428504031">
          <w:marLeft w:val="0"/>
          <w:marRight w:val="0"/>
          <w:marTop w:val="0"/>
          <w:marBottom w:val="0"/>
          <w:divBdr>
            <w:top w:val="none" w:sz="0" w:space="0" w:color="auto"/>
            <w:left w:val="none" w:sz="0" w:space="0" w:color="auto"/>
            <w:bottom w:val="none" w:sz="0" w:space="0" w:color="auto"/>
            <w:right w:val="none" w:sz="0" w:space="0" w:color="auto"/>
          </w:divBdr>
        </w:div>
        <w:div w:id="742681236">
          <w:marLeft w:val="0"/>
          <w:marRight w:val="0"/>
          <w:marTop w:val="0"/>
          <w:marBottom w:val="0"/>
          <w:divBdr>
            <w:top w:val="none" w:sz="0" w:space="0" w:color="auto"/>
            <w:left w:val="none" w:sz="0" w:space="0" w:color="auto"/>
            <w:bottom w:val="none" w:sz="0" w:space="0" w:color="auto"/>
            <w:right w:val="none" w:sz="0" w:space="0" w:color="auto"/>
          </w:divBdr>
        </w:div>
      </w:divsChild>
    </w:div>
    <w:div w:id="1598055936">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06682540">
      <w:bodyDiv w:val="1"/>
      <w:marLeft w:val="0"/>
      <w:marRight w:val="0"/>
      <w:marTop w:val="0"/>
      <w:marBottom w:val="0"/>
      <w:divBdr>
        <w:top w:val="none" w:sz="0" w:space="0" w:color="auto"/>
        <w:left w:val="none" w:sz="0" w:space="0" w:color="auto"/>
        <w:bottom w:val="none" w:sz="0" w:space="0" w:color="auto"/>
        <w:right w:val="none" w:sz="0" w:space="0" w:color="auto"/>
      </w:divBdr>
      <w:divsChild>
        <w:div w:id="1201480976">
          <w:marLeft w:val="1166"/>
          <w:marRight w:val="0"/>
          <w:marTop w:val="96"/>
          <w:marBottom w:val="0"/>
          <w:divBdr>
            <w:top w:val="none" w:sz="0" w:space="0" w:color="auto"/>
            <w:left w:val="none" w:sz="0" w:space="0" w:color="auto"/>
            <w:bottom w:val="none" w:sz="0" w:space="0" w:color="auto"/>
            <w:right w:val="none" w:sz="0" w:space="0" w:color="auto"/>
          </w:divBdr>
        </w:div>
        <w:div w:id="1611931790">
          <w:marLeft w:val="1166"/>
          <w:marRight w:val="0"/>
          <w:marTop w:val="96"/>
          <w:marBottom w:val="0"/>
          <w:divBdr>
            <w:top w:val="none" w:sz="0" w:space="0" w:color="auto"/>
            <w:left w:val="none" w:sz="0" w:space="0" w:color="auto"/>
            <w:bottom w:val="none" w:sz="0" w:space="0" w:color="auto"/>
            <w:right w:val="none" w:sz="0" w:space="0" w:color="auto"/>
          </w:divBdr>
        </w:div>
      </w:divsChild>
    </w:div>
    <w:div w:id="2131123574">
      <w:bodyDiv w:val="1"/>
      <w:marLeft w:val="0"/>
      <w:marRight w:val="0"/>
      <w:marTop w:val="0"/>
      <w:marBottom w:val="0"/>
      <w:divBdr>
        <w:top w:val="none" w:sz="0" w:space="0" w:color="auto"/>
        <w:left w:val="none" w:sz="0" w:space="0" w:color="auto"/>
        <w:bottom w:val="none" w:sz="0" w:space="0" w:color="auto"/>
        <w:right w:val="none" w:sz="0" w:space="0" w:color="auto"/>
      </w:divBdr>
      <w:divsChild>
        <w:div w:id="59205780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5AIRPNAIUNRU-1328258698-5655</_dlc_DocId>
    <_dlc_DocIdUrl xmlns="71c5aaf6-e6ce-465b-b873-5148d2a4c105">
      <Url>https://nokia.sharepoint.com/sites/c5g/5gradio/_layouts/15/DocIdRedir.aspx?ID=5AIRPNAIUNRU-1328258698-5655</Url>
      <Description>5AIRPNAIUNRU-1328258698-5655</Description>
    </_dlc_DocIdUrl>
  </documentManagement>
</p:properties>
</file>

<file path=customXml/itemProps1.xml><?xml version="1.0" encoding="utf-8"?>
<ds:datastoreItem xmlns:ds="http://schemas.openxmlformats.org/officeDocument/2006/customXml" ds:itemID="{3C4D73B7-31EF-4C38-907C-2B8C3ED5A0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45BB97-FE98-4A37-BCD4-BFAD03165EE0}">
  <ds:schemaRefs>
    <ds:schemaRef ds:uri="http://schemas.openxmlformats.org/officeDocument/2006/bibliography"/>
  </ds:schemaRefs>
</ds:datastoreItem>
</file>

<file path=customXml/itemProps3.xml><?xml version="1.0" encoding="utf-8"?>
<ds:datastoreItem xmlns:ds="http://schemas.openxmlformats.org/officeDocument/2006/customXml" ds:itemID="{FFFC6006-2AC0-41CE-84D2-D2C60E0A3550}">
  <ds:schemaRefs>
    <ds:schemaRef ds:uri="Microsoft.SharePoint.Taxonomy.ContentTypeSync"/>
  </ds:schemaRefs>
</ds:datastoreItem>
</file>

<file path=customXml/itemProps4.xml><?xml version="1.0" encoding="utf-8"?>
<ds:datastoreItem xmlns:ds="http://schemas.openxmlformats.org/officeDocument/2006/customXml" ds:itemID="{D1A0074B-1776-4887-9809-A3B670247DF0}">
  <ds:schemaRefs>
    <ds:schemaRef ds:uri="http://schemas.microsoft.com/sharepoint/events"/>
  </ds:schemaRefs>
</ds:datastoreItem>
</file>

<file path=customXml/itemProps5.xml><?xml version="1.0" encoding="utf-8"?>
<ds:datastoreItem xmlns:ds="http://schemas.openxmlformats.org/officeDocument/2006/customXml" ds:itemID="{1ED3A9C4-9159-4E6F-AC8B-3266BEF267CD}">
  <ds:schemaRefs>
    <ds:schemaRef ds:uri="http://schemas.microsoft.com/sharepoint/v3/contenttype/forms"/>
  </ds:schemaRefs>
</ds:datastoreItem>
</file>

<file path=customXml/itemProps6.xml><?xml version="1.0" encoding="utf-8"?>
<ds:datastoreItem xmlns:ds="http://schemas.openxmlformats.org/officeDocument/2006/customXml" ds:itemID="{A1844884-CFC1-497C-BE2A-710A6B55BA7F}">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b6aed8e-0313-4d17-80ff-d0e5da4931c5"/>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3068</Words>
  <Characters>17488</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2021-08-06T17:23:00Z</dcterms:created>
  <dcterms:modified xsi:type="dcterms:W3CDTF">2021-08-06T17:23:00Z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bcc985d5-a89b-40bb-9f4e-351447221231</vt:lpwstr>
  </property>
</Properties>
</file>