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017F0A" w14:textId="43404613"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3GPP TSG-RAN WG4 Meeting # 100-e</w:t>
      </w:r>
      <w:r w:rsidRPr="00F725BC">
        <w:rPr>
          <w:rFonts w:asciiTheme="minorHAnsi" w:eastAsiaTheme="minorEastAsia" w:hAnsiTheme="minorHAnsi" w:cstheme="minorHAnsi"/>
          <w:bCs/>
          <w:noProof w:val="0"/>
          <w:sz w:val="22"/>
          <w:szCs w:val="22"/>
          <w:lang w:eastAsia="zh-CN"/>
        </w:rPr>
        <w:tab/>
        <w:t>R4-21</w:t>
      </w:r>
      <w:r w:rsidR="006B2956">
        <w:rPr>
          <w:rFonts w:asciiTheme="minorHAnsi" w:eastAsiaTheme="minorEastAsia" w:hAnsiTheme="minorHAnsi" w:cstheme="minorHAnsi"/>
          <w:bCs/>
          <w:noProof w:val="0"/>
          <w:sz w:val="22"/>
          <w:szCs w:val="22"/>
          <w:lang w:eastAsia="zh-CN"/>
        </w:rPr>
        <w:t>12531</w:t>
      </w:r>
      <w:bookmarkStart w:id="0" w:name="_GoBack"/>
      <w:bookmarkEnd w:id="0"/>
    </w:p>
    <w:p w14:paraId="31735775" w14:textId="77777777"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Electronic Meeting, August 16-27, 2021</w:t>
      </w:r>
    </w:p>
    <w:p w14:paraId="2C6261C6" w14:textId="01907181"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 xml:space="preserve">Agenda Item: </w:t>
      </w:r>
      <w:r w:rsidR="000D7D35">
        <w:rPr>
          <w:rFonts w:asciiTheme="minorHAnsi" w:eastAsiaTheme="minorEastAsia" w:hAnsiTheme="minorHAnsi" w:cstheme="minorHAnsi" w:hint="eastAsia"/>
          <w:bCs/>
          <w:noProof w:val="0"/>
          <w:sz w:val="22"/>
          <w:szCs w:val="22"/>
          <w:lang w:eastAsia="zh-CN"/>
        </w:rPr>
        <w:t>9.19.3.2</w:t>
      </w:r>
    </w:p>
    <w:p w14:paraId="554DB402" w14:textId="77777777"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Source: MediaTek Inc.</w:t>
      </w:r>
    </w:p>
    <w:p w14:paraId="20FF8AB8" w14:textId="6199FCAA"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 xml:space="preserve">Title: </w:t>
      </w:r>
      <w:r w:rsidR="000D7D35" w:rsidRPr="000D7D35">
        <w:rPr>
          <w:rFonts w:asciiTheme="minorHAnsi" w:hAnsiTheme="minorHAnsi" w:cstheme="minorHAnsi"/>
          <w:bCs/>
          <w:sz w:val="22"/>
          <w:szCs w:val="22"/>
        </w:rPr>
        <w:t>Discussion on multi-beam operation enhancement in R17 feMIMO</w:t>
      </w:r>
    </w:p>
    <w:p w14:paraId="6F580D61" w14:textId="3388298F" w:rsidR="0034111C" w:rsidRPr="00F725BC" w:rsidRDefault="00F725BC" w:rsidP="00F725BC">
      <w:pPr>
        <w:pStyle w:val="a5"/>
        <w:tabs>
          <w:tab w:val="right" w:pos="9639"/>
          <w:tab w:val="right" w:pos="13323"/>
        </w:tabs>
        <w:jc w:val="both"/>
        <w:rPr>
          <w:rFonts w:asciiTheme="minorHAnsi" w:hAnsiTheme="minorHAnsi" w:cstheme="minorHAnsi"/>
          <w:b w:val="0"/>
          <w:bCs/>
          <w:sz w:val="22"/>
          <w:szCs w:val="22"/>
        </w:rPr>
      </w:pPr>
      <w:r w:rsidRPr="00F725BC">
        <w:rPr>
          <w:rFonts w:asciiTheme="minorHAnsi" w:eastAsiaTheme="minorEastAsia" w:hAnsiTheme="minorHAnsi" w:cstheme="minorHAnsi"/>
          <w:bCs/>
          <w:noProof w:val="0"/>
          <w:sz w:val="22"/>
          <w:szCs w:val="22"/>
          <w:lang w:eastAsia="zh-CN"/>
        </w:rPr>
        <w:t>Document for: 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CDF65CF" w14:textId="272EE033" w:rsidR="008873E8"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t>
      </w:r>
      <w:r w:rsidR="00FA6805">
        <w:rPr>
          <w:rFonts w:asciiTheme="minorHAnsi" w:eastAsiaTheme="minorEastAsia" w:hAnsiTheme="minorHAnsi" w:cstheme="minorBidi"/>
          <w:color w:val="auto"/>
          <w:sz w:val="22"/>
          <w:szCs w:val="22"/>
        </w:rPr>
        <w:t xml:space="preserve">we </w:t>
      </w:r>
      <w:r w:rsidR="00A67E6D">
        <w:rPr>
          <w:rFonts w:asciiTheme="minorHAnsi" w:eastAsiaTheme="minorEastAsia" w:hAnsiTheme="minorHAnsi" w:cstheme="minorBidi"/>
          <w:color w:val="auto"/>
          <w:sz w:val="22"/>
          <w:szCs w:val="22"/>
        </w:rPr>
        <w:t>provide our view</w:t>
      </w:r>
      <w:r w:rsidR="00DC25B5">
        <w:rPr>
          <w:rFonts w:asciiTheme="minorHAnsi" w:eastAsiaTheme="minorEastAsia" w:hAnsiTheme="minorHAnsi" w:cstheme="minorBidi"/>
          <w:color w:val="auto"/>
          <w:sz w:val="22"/>
          <w:szCs w:val="22"/>
        </w:rPr>
        <w:t>s</w:t>
      </w:r>
      <w:r w:rsidR="00A67E6D">
        <w:rPr>
          <w:rFonts w:asciiTheme="minorHAnsi" w:eastAsiaTheme="minorEastAsia" w:hAnsiTheme="minorHAnsi" w:cstheme="minorBidi"/>
          <w:color w:val="auto"/>
          <w:sz w:val="22"/>
          <w:szCs w:val="22"/>
        </w:rPr>
        <w:t xml:space="preserve"> on </w:t>
      </w:r>
      <w:r w:rsidR="006D23BE" w:rsidRPr="000D7D35">
        <w:rPr>
          <w:rFonts w:asciiTheme="minorHAnsi" w:hAnsiTheme="minorHAnsi" w:cstheme="minorHAnsi"/>
          <w:bCs/>
          <w:sz w:val="22"/>
          <w:szCs w:val="22"/>
        </w:rPr>
        <w:t>multi-beam operation enhancement in R17 feMIMO</w:t>
      </w:r>
      <w:r w:rsidR="006D23BE">
        <w:rPr>
          <w:rFonts w:asciiTheme="minorHAnsi" w:hAnsiTheme="minorHAnsi" w:cstheme="minorHAnsi"/>
          <w:bCs/>
          <w:sz w:val="22"/>
          <w:szCs w:val="22"/>
        </w:rPr>
        <w:t>, incl</w:t>
      </w:r>
      <w:r w:rsidR="00F12AE5">
        <w:rPr>
          <w:rFonts w:asciiTheme="minorHAnsi" w:hAnsiTheme="minorHAnsi" w:cstheme="minorHAnsi"/>
          <w:bCs/>
          <w:sz w:val="22"/>
          <w:szCs w:val="22"/>
        </w:rPr>
        <w:t>u</w:t>
      </w:r>
      <w:r w:rsidR="006D23BE">
        <w:rPr>
          <w:rFonts w:asciiTheme="minorHAnsi" w:hAnsiTheme="minorHAnsi" w:cstheme="minorHAnsi"/>
          <w:bCs/>
          <w:sz w:val="22"/>
          <w:szCs w:val="22"/>
        </w:rPr>
        <w:t>ding</w:t>
      </w:r>
      <w:r w:rsidR="006D23BE" w:rsidRPr="00EB54D1">
        <w:rPr>
          <w:rFonts w:asciiTheme="minorHAnsi" w:eastAsiaTheme="minorEastAsia" w:hAnsiTheme="minorHAnsi" w:cstheme="minorBidi"/>
          <w:color w:val="auto"/>
          <w:sz w:val="22"/>
          <w:szCs w:val="22"/>
        </w:rPr>
        <w:t xml:space="preserve"> </w:t>
      </w:r>
      <w:r w:rsidR="006D23BE">
        <w:rPr>
          <w:rFonts w:asciiTheme="minorHAnsi" w:eastAsiaTheme="minorEastAsia" w:hAnsiTheme="minorHAnsi" w:cstheme="minorBidi"/>
          <w:color w:val="auto"/>
          <w:sz w:val="22"/>
          <w:szCs w:val="22"/>
        </w:rPr>
        <w:t>u</w:t>
      </w:r>
      <w:r w:rsidR="006D23BE" w:rsidRPr="00EB54D1">
        <w:rPr>
          <w:rFonts w:asciiTheme="minorHAnsi" w:eastAsiaTheme="minorEastAsia" w:hAnsiTheme="minorHAnsi" w:cstheme="minorBidi"/>
          <w:color w:val="auto"/>
          <w:sz w:val="22"/>
          <w:szCs w:val="22"/>
        </w:rPr>
        <w:t xml:space="preserve">nified </w:t>
      </w:r>
      <w:r w:rsidR="00EB54D1" w:rsidRPr="00EB54D1">
        <w:rPr>
          <w:rFonts w:asciiTheme="minorHAnsi" w:eastAsiaTheme="minorEastAsia" w:hAnsiTheme="minorHAnsi" w:cstheme="minorBidi"/>
          <w:color w:val="auto"/>
          <w:sz w:val="22"/>
          <w:szCs w:val="22"/>
        </w:rPr>
        <w:t>TCI for DL and UL</w:t>
      </w:r>
      <w:r w:rsidR="00EB54D1">
        <w:rPr>
          <w:rFonts w:asciiTheme="minorHAnsi" w:eastAsiaTheme="minorEastAsia" w:hAnsiTheme="minorHAnsi" w:cstheme="minorBidi"/>
          <w:color w:val="auto"/>
          <w:sz w:val="22"/>
          <w:szCs w:val="22"/>
        </w:rPr>
        <w:t xml:space="preserve">, and </w:t>
      </w:r>
      <w:r w:rsidR="00EB54D1" w:rsidRPr="00EB54D1">
        <w:rPr>
          <w:rFonts w:asciiTheme="minorHAnsi" w:eastAsiaTheme="minorEastAsia" w:hAnsiTheme="minorHAnsi" w:cstheme="minorBidi"/>
          <w:color w:val="auto"/>
          <w:sz w:val="22"/>
          <w:szCs w:val="22"/>
        </w:rPr>
        <w:t>L1/L2 centric inter-cell mobility</w:t>
      </w:r>
      <w:r w:rsidR="008873E8">
        <w:rPr>
          <w:rFonts w:asciiTheme="minorHAnsi" w:eastAsiaTheme="minorEastAsia" w:hAnsiTheme="minorHAnsi" w:cstheme="minorBidi"/>
          <w:color w:val="auto"/>
          <w:sz w:val="22"/>
          <w:szCs w:val="22"/>
        </w:rPr>
        <w:t>.</w:t>
      </w:r>
      <w:r w:rsidR="00FA6805">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1"/>
        <w:numPr>
          <w:ilvl w:val="0"/>
          <w:numId w:val="1"/>
        </w:numPr>
        <w:rPr>
          <w:rFonts w:ascii="Calibri" w:hAnsi="Calibri"/>
        </w:rPr>
      </w:pPr>
      <w:r>
        <w:rPr>
          <w:rFonts w:ascii="Calibri" w:hAnsi="Calibri"/>
        </w:rPr>
        <w:t>Discussion</w:t>
      </w:r>
    </w:p>
    <w:p w14:paraId="418460AA" w14:textId="13827102" w:rsidR="00EB54D1" w:rsidRPr="00CC4E2F" w:rsidRDefault="00EB54D1" w:rsidP="00EB54D1">
      <w:pPr>
        <w:pStyle w:val="af1"/>
        <w:jc w:val="both"/>
        <w:outlineLvl w:val="1"/>
        <w:rPr>
          <w:b w:val="0"/>
          <w:sz w:val="28"/>
          <w:szCs w:val="28"/>
          <w:lang w:val="en-US" w:eastAsia="zh-CN"/>
        </w:rPr>
      </w:pPr>
      <w:r w:rsidRPr="00CC4E2F">
        <w:rPr>
          <w:b w:val="0"/>
          <w:sz w:val="28"/>
          <w:szCs w:val="28"/>
          <w:lang w:val="en-US" w:eastAsia="zh-CN"/>
        </w:rPr>
        <w:t>2.1 Unified TCI for DL and UL</w:t>
      </w:r>
    </w:p>
    <w:p w14:paraId="04EFA4E0" w14:textId="5CFBA0C7" w:rsidR="00500218" w:rsidRDefault="00500218" w:rsidP="00500218">
      <w:pPr>
        <w:pStyle w:val="af1"/>
        <w:jc w:val="both"/>
        <w:rPr>
          <w:b w:val="0"/>
          <w:sz w:val="22"/>
          <w:szCs w:val="22"/>
          <w:lang w:val="en-US" w:eastAsia="zh-CN"/>
        </w:rPr>
      </w:pPr>
      <w:r>
        <w:rPr>
          <w:b w:val="0"/>
          <w:sz w:val="22"/>
          <w:szCs w:val="22"/>
          <w:lang w:val="en-US" w:eastAsia="zh-CN"/>
        </w:rPr>
        <w:t>In R17 feMIMO</w:t>
      </w:r>
      <w:r w:rsidR="004C7AFD">
        <w:rPr>
          <w:b w:val="0"/>
          <w:sz w:val="22"/>
          <w:szCs w:val="22"/>
          <w:lang w:val="en-US" w:eastAsia="zh-CN"/>
        </w:rPr>
        <w:t xml:space="preserve">, a new framework </w:t>
      </w:r>
      <w:r w:rsidR="009E0745">
        <w:rPr>
          <w:b w:val="0"/>
          <w:sz w:val="22"/>
          <w:szCs w:val="22"/>
          <w:lang w:val="en-US" w:eastAsia="zh-CN"/>
        </w:rPr>
        <w:t>of</w:t>
      </w:r>
      <w:r w:rsidR="004C7AFD">
        <w:rPr>
          <w:b w:val="0"/>
          <w:sz w:val="22"/>
          <w:szCs w:val="22"/>
          <w:lang w:val="en-US" w:eastAsia="zh-CN"/>
        </w:rPr>
        <w:t xml:space="preserve"> DL and/or UL beam indication</w:t>
      </w:r>
      <w:r w:rsidR="00B10C10">
        <w:rPr>
          <w:b w:val="0"/>
          <w:sz w:val="22"/>
          <w:szCs w:val="22"/>
          <w:lang w:val="en-US" w:eastAsia="zh-CN"/>
        </w:rPr>
        <w:t xml:space="preserve"> is introduced in RAN1</w:t>
      </w:r>
      <w:r w:rsidR="004C7AFD">
        <w:rPr>
          <w:b w:val="0"/>
          <w:sz w:val="22"/>
          <w:szCs w:val="22"/>
          <w:lang w:val="en-US" w:eastAsia="zh-CN"/>
        </w:rPr>
        <w:t xml:space="preserve">. </w:t>
      </w:r>
      <w:r w:rsidR="00454305">
        <w:rPr>
          <w:b w:val="0"/>
          <w:sz w:val="22"/>
          <w:szCs w:val="22"/>
          <w:lang w:val="en-US" w:eastAsia="zh-CN"/>
        </w:rPr>
        <w:t xml:space="preserve">It provides a flexible </w:t>
      </w:r>
      <w:r w:rsidR="00B10C10">
        <w:rPr>
          <w:b w:val="0"/>
          <w:sz w:val="22"/>
          <w:szCs w:val="22"/>
          <w:lang w:val="en-US" w:eastAsia="zh-CN"/>
        </w:rPr>
        <w:t>way</w:t>
      </w:r>
      <w:r w:rsidR="00454305">
        <w:rPr>
          <w:b w:val="0"/>
          <w:sz w:val="22"/>
          <w:szCs w:val="22"/>
          <w:lang w:val="en-US" w:eastAsia="zh-CN"/>
        </w:rPr>
        <w:t xml:space="preserve"> that </w:t>
      </w:r>
      <w:r w:rsidR="004C7AFD">
        <w:rPr>
          <w:b w:val="0"/>
          <w:sz w:val="22"/>
          <w:szCs w:val="22"/>
          <w:lang w:val="en-US" w:eastAsia="zh-CN"/>
        </w:rPr>
        <w:t xml:space="preserve">UE </w:t>
      </w:r>
      <w:r w:rsidR="00B10C10">
        <w:rPr>
          <w:b w:val="0"/>
          <w:sz w:val="22"/>
          <w:szCs w:val="22"/>
          <w:lang w:val="en-US" w:eastAsia="zh-CN"/>
        </w:rPr>
        <w:t>can</w:t>
      </w:r>
      <w:r w:rsidR="004C7AFD">
        <w:rPr>
          <w:b w:val="0"/>
          <w:sz w:val="22"/>
          <w:szCs w:val="22"/>
          <w:lang w:val="en-US" w:eastAsia="zh-CN"/>
        </w:rPr>
        <w:t xml:space="preserve"> switch the DL and UL beam </w:t>
      </w:r>
      <w:r w:rsidR="00454305">
        <w:rPr>
          <w:b w:val="0"/>
          <w:sz w:val="22"/>
          <w:szCs w:val="22"/>
          <w:lang w:val="en-US" w:eastAsia="zh-CN"/>
        </w:rPr>
        <w:t>simultaneously or separately.</w:t>
      </w:r>
      <w:r>
        <w:rPr>
          <w:b w:val="0"/>
          <w:sz w:val="22"/>
          <w:szCs w:val="22"/>
          <w:lang w:val="en-US" w:eastAsia="zh-CN"/>
        </w:rPr>
        <w:t xml:space="preserve"> Besides</w:t>
      </w:r>
      <w:r w:rsidRPr="00500218">
        <w:rPr>
          <w:b w:val="0"/>
          <w:sz w:val="22"/>
          <w:szCs w:val="22"/>
          <w:lang w:val="en-US" w:eastAsia="zh-CN"/>
        </w:rPr>
        <w:t xml:space="preserve">, in R15/R16, </w:t>
      </w:r>
      <w:r>
        <w:rPr>
          <w:b w:val="0"/>
          <w:sz w:val="22"/>
          <w:szCs w:val="22"/>
          <w:lang w:val="en-US" w:eastAsia="zh-CN"/>
        </w:rPr>
        <w:t xml:space="preserve">UE supports </w:t>
      </w:r>
      <w:r w:rsidRPr="00500218">
        <w:rPr>
          <w:b w:val="0"/>
          <w:sz w:val="22"/>
          <w:szCs w:val="22"/>
          <w:lang w:val="en-US" w:eastAsia="zh-CN"/>
        </w:rPr>
        <w:t>RRC based, MAC CE based and DCI based TCI switching</w:t>
      </w:r>
      <w:r>
        <w:rPr>
          <w:b w:val="0"/>
          <w:sz w:val="22"/>
          <w:szCs w:val="22"/>
          <w:lang w:val="en-US" w:eastAsia="zh-CN"/>
        </w:rPr>
        <w:t xml:space="preserve">. </w:t>
      </w:r>
      <w:r w:rsidRPr="00500218">
        <w:rPr>
          <w:b w:val="0"/>
          <w:sz w:val="22"/>
          <w:szCs w:val="22"/>
          <w:lang w:val="en-US" w:eastAsia="zh-CN"/>
        </w:rPr>
        <w:t xml:space="preserve">Considering efficient DL/UL beam management, </w:t>
      </w:r>
      <w:r>
        <w:rPr>
          <w:b w:val="0"/>
          <w:sz w:val="22"/>
          <w:szCs w:val="22"/>
          <w:lang w:val="en-US" w:eastAsia="zh-CN"/>
        </w:rPr>
        <w:t xml:space="preserve">RRC based unified TCI switching </w:t>
      </w:r>
      <w:r w:rsidR="00552CC4">
        <w:rPr>
          <w:b w:val="0"/>
          <w:sz w:val="22"/>
          <w:szCs w:val="22"/>
          <w:lang w:val="en-US" w:eastAsia="zh-CN"/>
        </w:rPr>
        <w:t xml:space="preserve">may not be feasible due to large </w:t>
      </w:r>
      <w:r>
        <w:rPr>
          <w:b w:val="0"/>
          <w:sz w:val="22"/>
          <w:szCs w:val="22"/>
          <w:lang w:val="en-US" w:eastAsia="zh-CN"/>
        </w:rPr>
        <w:t>delay</w:t>
      </w:r>
      <w:r w:rsidR="00552CC4">
        <w:rPr>
          <w:b w:val="0"/>
          <w:sz w:val="22"/>
          <w:szCs w:val="22"/>
          <w:lang w:val="en-US" w:eastAsia="zh-CN"/>
        </w:rPr>
        <w:t xml:space="preserve">. Therefore, </w:t>
      </w:r>
      <w:r w:rsidRPr="00500218">
        <w:rPr>
          <w:b w:val="0"/>
          <w:sz w:val="22"/>
          <w:szCs w:val="22"/>
          <w:lang w:val="en-US" w:eastAsia="zh-CN"/>
        </w:rPr>
        <w:t>RAN4 needs to study whether to introduce the RRC based unified TCI state switching in R17 feMIMO.</w:t>
      </w:r>
    </w:p>
    <w:p w14:paraId="40795021" w14:textId="0DDAEE91" w:rsidR="00552CC4" w:rsidRDefault="00552CC4" w:rsidP="00E35383">
      <w:pPr>
        <w:jc w:val="both"/>
        <w:rPr>
          <w:b/>
        </w:rPr>
      </w:pPr>
      <w:bookmarkStart w:id="1" w:name="_Ref78908677"/>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F34980">
        <w:rPr>
          <w:b/>
          <w:noProof/>
          <w:szCs w:val="20"/>
          <w:lang w:eastAsia="x-none"/>
        </w:rPr>
        <w:t>1</w:t>
      </w:r>
      <w:r w:rsidRPr="00643A5A">
        <w:rPr>
          <w:b/>
          <w:szCs w:val="20"/>
          <w:lang w:eastAsia="x-none"/>
        </w:rPr>
        <w:fldChar w:fldCharType="end"/>
      </w:r>
      <w:r w:rsidRPr="00643A5A">
        <w:rPr>
          <w:b/>
          <w:szCs w:val="20"/>
          <w:lang w:eastAsia="x-none"/>
        </w:rPr>
        <w:t>:</w:t>
      </w:r>
      <w:r>
        <w:rPr>
          <w:b/>
          <w:szCs w:val="20"/>
          <w:lang w:eastAsia="x-none"/>
        </w:rPr>
        <w:t xml:space="preserve"> </w:t>
      </w:r>
      <w:r w:rsidR="00DE7BD7">
        <w:rPr>
          <w:b/>
          <w:szCs w:val="20"/>
          <w:lang w:eastAsia="x-none"/>
        </w:rPr>
        <w:t>F</w:t>
      </w:r>
      <w:r>
        <w:rPr>
          <w:b/>
          <w:szCs w:val="20"/>
          <w:lang w:eastAsia="x-none"/>
        </w:rPr>
        <w:t>or joint TCI DL/UL TCI state update</w:t>
      </w:r>
      <w:r>
        <w:rPr>
          <w:rFonts w:cstheme="minorHAnsi"/>
          <w:b/>
          <w:bCs/>
        </w:rPr>
        <w:t xml:space="preserve">, FFS </w:t>
      </w:r>
      <w:r w:rsidR="00140483" w:rsidRPr="00140483">
        <w:rPr>
          <w:rFonts w:cstheme="minorHAnsi"/>
          <w:b/>
          <w:bCs/>
        </w:rPr>
        <w:t>whether to introduce the RRC based unified TCI state switching in R17 feMIMO</w:t>
      </w:r>
      <w:r>
        <w:rPr>
          <w:b/>
        </w:rPr>
        <w:t>.</w:t>
      </w:r>
      <w:bookmarkEnd w:id="1"/>
    </w:p>
    <w:p w14:paraId="43B35344" w14:textId="36159B82" w:rsidR="00BB5543" w:rsidRPr="00692E7C" w:rsidRDefault="00552CC4" w:rsidP="00BB5543">
      <w:pPr>
        <w:pStyle w:val="af1"/>
        <w:jc w:val="both"/>
        <w:rPr>
          <w:b w:val="0"/>
          <w:lang w:eastAsia="zh-CN"/>
        </w:rPr>
      </w:pPr>
      <w:r>
        <w:rPr>
          <w:b w:val="0"/>
          <w:sz w:val="22"/>
          <w:szCs w:val="22"/>
          <w:lang w:val="en-US" w:eastAsia="zh-CN"/>
        </w:rPr>
        <w:t>T</w:t>
      </w:r>
      <w:r w:rsidR="00BB5543" w:rsidRPr="00BB5543">
        <w:rPr>
          <w:b w:val="0"/>
          <w:sz w:val="22"/>
          <w:szCs w:val="22"/>
          <w:lang w:val="en-US" w:eastAsia="zh-CN"/>
        </w:rPr>
        <w:t>he</w:t>
      </w:r>
      <w:r w:rsidR="00692E7C">
        <w:rPr>
          <w:b w:val="0"/>
          <w:sz w:val="22"/>
          <w:szCs w:val="22"/>
          <w:lang w:val="en-US" w:eastAsia="zh-CN"/>
        </w:rPr>
        <w:t xml:space="preserve"> delay requirement for DCI based </w:t>
      </w:r>
      <w:r>
        <w:rPr>
          <w:b w:val="0"/>
          <w:sz w:val="22"/>
          <w:szCs w:val="22"/>
          <w:lang w:val="en-US" w:eastAsia="zh-CN"/>
        </w:rPr>
        <w:t xml:space="preserve">beam indication </w:t>
      </w:r>
      <w:r w:rsidR="00692E7C">
        <w:rPr>
          <w:b w:val="0"/>
          <w:sz w:val="22"/>
          <w:szCs w:val="22"/>
          <w:lang w:val="en-US" w:eastAsia="zh-CN"/>
        </w:rPr>
        <w:t xml:space="preserve">is </w:t>
      </w:r>
      <w:r>
        <w:rPr>
          <w:b w:val="0"/>
          <w:sz w:val="22"/>
          <w:szCs w:val="22"/>
          <w:lang w:val="en-US" w:eastAsia="zh-CN"/>
        </w:rPr>
        <w:t xml:space="preserve">still </w:t>
      </w:r>
      <w:r w:rsidR="00692E7C">
        <w:rPr>
          <w:b w:val="0"/>
          <w:sz w:val="22"/>
          <w:szCs w:val="22"/>
          <w:lang w:val="en-US" w:eastAsia="zh-CN"/>
        </w:rPr>
        <w:t>discussing in RAN1.</w:t>
      </w:r>
      <w:r>
        <w:rPr>
          <w:b w:val="0"/>
          <w:sz w:val="22"/>
          <w:szCs w:val="22"/>
          <w:lang w:val="en-US" w:eastAsia="zh-CN"/>
        </w:rPr>
        <w:t xml:space="preserve"> But there is no</w:t>
      </w:r>
      <w:r w:rsidR="0006750D">
        <w:rPr>
          <w:b w:val="0"/>
          <w:sz w:val="22"/>
          <w:szCs w:val="22"/>
          <w:lang w:val="en-US" w:eastAsia="zh-CN"/>
        </w:rPr>
        <w:t xml:space="preserve"> discussion for</w:t>
      </w:r>
      <w:r>
        <w:rPr>
          <w:b w:val="0"/>
          <w:sz w:val="22"/>
          <w:szCs w:val="22"/>
          <w:lang w:val="en-US" w:eastAsia="zh-CN"/>
        </w:rPr>
        <w:t xml:space="preserve"> delay requirement for MAC CE based beam indication.</w:t>
      </w:r>
      <w:r w:rsidR="00692E7C">
        <w:rPr>
          <w:rFonts w:ascii="新細明體" w:eastAsia="新細明體" w:hAnsi="新細明體" w:hint="eastAsia"/>
          <w:b w:val="0"/>
          <w:lang w:eastAsia="zh-TW"/>
        </w:rPr>
        <w:t xml:space="preserve"> </w:t>
      </w:r>
    </w:p>
    <w:p w14:paraId="62740EC8" w14:textId="2B55952E" w:rsidR="00692E7C" w:rsidRDefault="00692E7C" w:rsidP="00692E7C">
      <w:pPr>
        <w:rPr>
          <w:lang w:val="x-none" w:eastAsia="zh-CN"/>
        </w:rPr>
      </w:pPr>
      <w:r>
        <w:rPr>
          <w:lang w:val="x-none" w:eastAsia="zh-CN"/>
        </w:rPr>
        <w:t>The agreement for the delay requirement of DCI case indication in RAN1 #105e</w:t>
      </w:r>
    </w:p>
    <w:tbl>
      <w:tblPr>
        <w:tblStyle w:val="af7"/>
        <w:tblW w:w="0" w:type="auto"/>
        <w:tblLook w:val="04A0" w:firstRow="1" w:lastRow="0" w:firstColumn="1" w:lastColumn="0" w:noHBand="0" w:noVBand="1"/>
      </w:tblPr>
      <w:tblGrid>
        <w:gridCol w:w="9629"/>
      </w:tblGrid>
      <w:tr w:rsidR="00692E7C" w14:paraId="04CA93CB" w14:textId="77777777" w:rsidTr="00692E7C">
        <w:tc>
          <w:tcPr>
            <w:tcW w:w="9629" w:type="dxa"/>
          </w:tcPr>
          <w:p w14:paraId="6A947F7A" w14:textId="77777777" w:rsidR="00692E7C" w:rsidRPr="00CA11BE" w:rsidRDefault="00692E7C" w:rsidP="00692E7C">
            <w:pPr>
              <w:snapToGrid w:val="0"/>
              <w:jc w:val="both"/>
              <w:rPr>
                <w:rFonts w:ascii="Times" w:eastAsia="Batang" w:hAnsi="Times" w:cs="Times"/>
                <w:bCs/>
                <w:sz w:val="20"/>
                <w:szCs w:val="20"/>
                <w:highlight w:val="green"/>
                <w:lang w:val="en-GB" w:eastAsia="en-US"/>
              </w:rPr>
            </w:pPr>
            <w:r w:rsidRPr="00CA11BE">
              <w:rPr>
                <w:rFonts w:ascii="Times" w:eastAsia="Batang" w:hAnsi="Times" w:cs="Times"/>
                <w:bCs/>
                <w:sz w:val="20"/>
                <w:szCs w:val="20"/>
                <w:highlight w:val="green"/>
                <w:lang w:val="en-GB" w:eastAsia="en-US"/>
              </w:rPr>
              <w:t>Agreement</w:t>
            </w:r>
          </w:p>
          <w:p w14:paraId="5DEB5604" w14:textId="77777777" w:rsidR="00692E7C" w:rsidRPr="00CA11BE" w:rsidRDefault="00692E7C" w:rsidP="00692E7C">
            <w:pPr>
              <w:snapToGrid w:val="0"/>
              <w:jc w:val="both"/>
              <w:rPr>
                <w:rFonts w:ascii="Times" w:eastAsia="Batang" w:hAnsi="Times" w:cs="Times"/>
                <w:sz w:val="20"/>
                <w:szCs w:val="20"/>
                <w:lang w:val="en-GB" w:eastAsia="en-US"/>
              </w:rPr>
            </w:pPr>
            <w:r w:rsidRPr="00CA11BE">
              <w:rPr>
                <w:rFonts w:ascii="Times" w:eastAsia="Batang" w:hAnsi="Times" w:cs="Times"/>
                <w:sz w:val="20"/>
                <w:szCs w:val="20"/>
                <w:lang w:val="en-GB" w:eastAsia="en-US"/>
              </w:rPr>
              <w:t xml:space="preserve">On Rel-17 DCI-based beam indication, </w:t>
            </w:r>
            <w:r w:rsidRPr="00CA11BE">
              <w:rPr>
                <w:rFonts w:ascii="Times" w:eastAsia="Batang" w:hAnsi="Times" w:cs="Times"/>
                <w:sz w:val="20"/>
                <w:szCs w:val="20"/>
                <w:lang w:val="en-GB" w:eastAsia="zh-CN"/>
              </w:rPr>
              <w:t>regarding application time of the beam indication, the first slot that is at least X ms or Y symbols after the last symbol of the acknowledgment of the joint or separate DL/UL beam indication.</w:t>
            </w:r>
          </w:p>
          <w:p w14:paraId="284FCA78" w14:textId="77777777" w:rsidR="00692E7C" w:rsidRPr="00CA11BE" w:rsidRDefault="00692E7C" w:rsidP="00692E7C">
            <w:pPr>
              <w:numPr>
                <w:ilvl w:val="0"/>
                <w:numId w:val="48"/>
              </w:numPr>
              <w:snapToGrid w:val="0"/>
              <w:jc w:val="both"/>
              <w:rPr>
                <w:rFonts w:ascii="Times New Roman" w:eastAsia="SimSun" w:hAnsi="Times New Roman" w:cs="Times"/>
                <w:b/>
                <w:sz w:val="20"/>
                <w:szCs w:val="20"/>
                <w:u w:val="single"/>
                <w:lang w:val="en-GB" w:eastAsia="ja-JP"/>
              </w:rPr>
            </w:pPr>
            <w:r w:rsidRPr="00CA11BE">
              <w:rPr>
                <w:rFonts w:ascii="Times New Roman" w:eastAsia="SimSun" w:hAnsi="Times New Roman" w:cs="Times"/>
                <w:sz w:val="20"/>
                <w:szCs w:val="20"/>
                <w:lang w:val="en-GB" w:eastAsia="ja-JP"/>
              </w:rPr>
              <w:t>Note: The gap between the last symbol of the beam indication DCI and that first slot shall satisfy the UE capability</w:t>
            </w:r>
          </w:p>
          <w:p w14:paraId="18173078" w14:textId="77777777" w:rsidR="00692E7C" w:rsidRPr="00CA11BE" w:rsidRDefault="00692E7C" w:rsidP="00692E7C">
            <w:pPr>
              <w:numPr>
                <w:ilvl w:val="0"/>
                <w:numId w:val="48"/>
              </w:numPr>
              <w:snapToGrid w:val="0"/>
              <w:jc w:val="both"/>
              <w:rPr>
                <w:rFonts w:ascii="Times New Roman" w:eastAsia="SimSun" w:hAnsi="Times New Roman" w:cs="Times"/>
                <w:b/>
                <w:sz w:val="20"/>
                <w:szCs w:val="20"/>
                <w:u w:val="single"/>
                <w:lang w:val="en-GB" w:eastAsia="ja-JP"/>
              </w:rPr>
            </w:pPr>
            <w:r w:rsidRPr="00CA11BE">
              <w:rPr>
                <w:rFonts w:ascii="Times New Roman" w:eastAsia="SimSun" w:hAnsi="Times New Roman" w:cs="Times"/>
                <w:bCs/>
                <w:sz w:val="20"/>
                <w:szCs w:val="20"/>
                <w:lang w:val="en-GB" w:eastAsia="zh-CN"/>
              </w:rPr>
              <w:t xml:space="preserve">FFS: </w:t>
            </w:r>
            <w:r w:rsidRPr="00CA11BE">
              <w:rPr>
                <w:rFonts w:ascii="Times New Roman" w:eastAsia="SimSun" w:hAnsi="Times New Roman" w:cs="Times"/>
                <w:sz w:val="20"/>
                <w:szCs w:val="20"/>
                <w:lang w:val="en-GB" w:eastAsia="zh-CN"/>
              </w:rPr>
              <w:t xml:space="preserve">Application time and </w:t>
            </w:r>
            <w:r w:rsidRPr="00CA11BE">
              <w:rPr>
                <w:rFonts w:ascii="Times New Roman" w:eastAsia="SimSun" w:hAnsi="Times New Roman" w:cs="Times"/>
                <w:bCs/>
                <w:sz w:val="20"/>
                <w:szCs w:val="20"/>
                <w:lang w:val="en-GB" w:eastAsia="zh-CN"/>
              </w:rPr>
              <w:t xml:space="preserve">whether additional offset is needed for the application time in case of cross carrier beam indication and </w:t>
            </w:r>
            <w:r w:rsidRPr="00CA11BE">
              <w:rPr>
                <w:rFonts w:ascii="Times New Roman" w:eastAsia="SimSun" w:hAnsi="Times New Roman" w:cs="Times"/>
                <w:sz w:val="20"/>
                <w:szCs w:val="20"/>
                <w:lang w:val="en-GB" w:eastAsia="zh-CN"/>
              </w:rPr>
              <w:t>common TCI state ID update across a set of configured CCs if CCs have different SCSs</w:t>
            </w:r>
            <w:r w:rsidRPr="00CA11BE" w:rsidDel="00F356C9">
              <w:rPr>
                <w:rFonts w:ascii="Times New Roman" w:eastAsia="SimSun" w:hAnsi="Times New Roman" w:cs="Times"/>
                <w:bCs/>
                <w:sz w:val="20"/>
                <w:szCs w:val="20"/>
                <w:lang w:val="en-GB" w:eastAsia="zh-CN"/>
              </w:rPr>
              <w:t xml:space="preserve"> </w:t>
            </w:r>
          </w:p>
          <w:p w14:paraId="4CAB1B06" w14:textId="77777777" w:rsidR="00692E7C" w:rsidRPr="00CA11BE" w:rsidRDefault="00692E7C" w:rsidP="00692E7C">
            <w:pPr>
              <w:numPr>
                <w:ilvl w:val="0"/>
                <w:numId w:val="48"/>
              </w:numPr>
              <w:snapToGrid w:val="0"/>
              <w:jc w:val="both"/>
              <w:rPr>
                <w:rFonts w:ascii="Times New Roman" w:eastAsia="SimSun" w:hAnsi="Times New Roman" w:cs="Times"/>
                <w:b/>
                <w:sz w:val="20"/>
                <w:szCs w:val="20"/>
                <w:u w:val="single"/>
                <w:lang w:val="en-GB" w:eastAsia="ja-JP"/>
              </w:rPr>
            </w:pPr>
            <w:r w:rsidRPr="00CA11BE">
              <w:rPr>
                <w:rFonts w:ascii="Times New Roman" w:eastAsia="SimSun" w:hAnsi="Times New Roman" w:cs="Times"/>
                <w:bCs/>
                <w:sz w:val="20"/>
                <w:szCs w:val="20"/>
                <w:lang w:val="en-GB" w:eastAsia="zh-CN"/>
              </w:rPr>
              <w:t>FFS: Whether inter-cell beam switching needs higher X/Y values than intra-cell</w:t>
            </w:r>
          </w:p>
          <w:p w14:paraId="4FC99E4B" w14:textId="0841CE1D" w:rsidR="00692E7C" w:rsidRPr="00692E7C" w:rsidRDefault="00692E7C" w:rsidP="00692E7C">
            <w:pPr>
              <w:numPr>
                <w:ilvl w:val="0"/>
                <w:numId w:val="48"/>
              </w:numPr>
              <w:snapToGrid w:val="0"/>
              <w:jc w:val="both"/>
              <w:rPr>
                <w:rFonts w:ascii="Times New Roman" w:eastAsia="SimSun" w:hAnsi="Times New Roman" w:cs="Times"/>
                <w:b/>
                <w:sz w:val="20"/>
                <w:szCs w:val="20"/>
                <w:u w:val="single"/>
                <w:lang w:val="en-GB" w:eastAsia="ja-JP"/>
              </w:rPr>
            </w:pPr>
            <w:r w:rsidRPr="00CA11BE">
              <w:rPr>
                <w:rFonts w:ascii="Times New Roman" w:eastAsia="SimSun" w:hAnsi="Times New Roman" w:cs="Times"/>
                <w:bCs/>
                <w:sz w:val="20"/>
                <w:szCs w:val="20"/>
                <w:lang w:val="en-GB" w:eastAsia="zh-CN"/>
              </w:rPr>
              <w:t>FFS: Whether application time can be indicated/determined dynamically for different scenarios, e.g. cross CC, inter-cell, inter-panel without reverting previous RAN1 agreements</w:t>
            </w:r>
          </w:p>
        </w:tc>
      </w:tr>
    </w:tbl>
    <w:p w14:paraId="1967F6E2" w14:textId="77777777" w:rsidR="00692E7C" w:rsidRDefault="00692E7C" w:rsidP="00692E7C">
      <w:pPr>
        <w:rPr>
          <w:lang w:val="x-none" w:eastAsia="zh-CN"/>
        </w:rPr>
      </w:pPr>
    </w:p>
    <w:p w14:paraId="5B627559" w14:textId="7BDBCEBC" w:rsidR="00B10C10" w:rsidRDefault="004161AC" w:rsidP="00F12AE5">
      <w:pPr>
        <w:spacing w:beforeLines="50" w:before="120"/>
        <w:rPr>
          <w:lang w:eastAsia="zh-CN"/>
        </w:rPr>
      </w:pPr>
      <w:r>
        <w:rPr>
          <w:lang w:val="x-none" w:eastAsia="zh-CN"/>
        </w:rPr>
        <w:t>Thus, RAN4 needs to study the delay requirement for MAC CE based unified TCI switching.</w:t>
      </w:r>
    </w:p>
    <w:p w14:paraId="3E84D2BC" w14:textId="55BC3F41" w:rsidR="00B92DB2" w:rsidRPr="00CC4E2F" w:rsidRDefault="00B92DB2" w:rsidP="00F12AE5">
      <w:pPr>
        <w:spacing w:beforeLines="50" w:before="120"/>
        <w:jc w:val="both"/>
        <w:rPr>
          <w:b/>
        </w:rPr>
      </w:pPr>
      <w:bookmarkStart w:id="2" w:name="_Ref78908678"/>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F34980">
        <w:rPr>
          <w:b/>
          <w:noProof/>
          <w:szCs w:val="20"/>
          <w:lang w:eastAsia="x-none"/>
        </w:rPr>
        <w:t>2</w:t>
      </w:r>
      <w:r w:rsidRPr="00643A5A">
        <w:rPr>
          <w:b/>
          <w:szCs w:val="20"/>
          <w:lang w:eastAsia="x-none"/>
        </w:rPr>
        <w:fldChar w:fldCharType="end"/>
      </w:r>
      <w:r w:rsidRPr="00643A5A">
        <w:rPr>
          <w:b/>
          <w:szCs w:val="20"/>
          <w:lang w:eastAsia="x-none"/>
        </w:rPr>
        <w:t>:</w:t>
      </w:r>
      <w:r w:rsidR="00CC4E2F">
        <w:rPr>
          <w:b/>
          <w:szCs w:val="20"/>
          <w:lang w:eastAsia="x-none"/>
        </w:rPr>
        <w:t xml:space="preserve"> </w:t>
      </w:r>
      <w:r w:rsidR="00DE7BD7">
        <w:rPr>
          <w:b/>
          <w:szCs w:val="20"/>
          <w:lang w:eastAsia="x-none"/>
        </w:rPr>
        <w:t>For</w:t>
      </w:r>
      <w:r w:rsidR="00EB1E37">
        <w:rPr>
          <w:b/>
          <w:szCs w:val="20"/>
          <w:lang w:eastAsia="x-none"/>
        </w:rPr>
        <w:t xml:space="preserve"> MAC CE based unified TCI switching, </w:t>
      </w:r>
      <w:r w:rsidR="004161AC">
        <w:rPr>
          <w:b/>
          <w:szCs w:val="20"/>
          <w:lang w:eastAsia="x-none"/>
        </w:rPr>
        <w:t xml:space="preserve">RAN4 needs </w:t>
      </w:r>
      <w:r w:rsidR="00EB1E37">
        <w:rPr>
          <w:b/>
          <w:szCs w:val="20"/>
          <w:lang w:eastAsia="x-none"/>
        </w:rPr>
        <w:t xml:space="preserve">to </w:t>
      </w:r>
      <w:r w:rsidR="004161AC">
        <w:rPr>
          <w:b/>
          <w:szCs w:val="20"/>
          <w:lang w:eastAsia="x-none"/>
        </w:rPr>
        <w:t xml:space="preserve">study </w:t>
      </w:r>
      <w:r w:rsidR="00EB1E37">
        <w:rPr>
          <w:b/>
          <w:szCs w:val="20"/>
          <w:lang w:eastAsia="x-none"/>
        </w:rPr>
        <w:t xml:space="preserve">the </w:t>
      </w:r>
      <w:r w:rsidR="004161AC">
        <w:rPr>
          <w:b/>
          <w:szCs w:val="20"/>
          <w:lang w:eastAsia="x-none"/>
        </w:rPr>
        <w:t>delay requirement</w:t>
      </w:r>
      <w:r>
        <w:rPr>
          <w:b/>
        </w:rPr>
        <w:t>.</w:t>
      </w:r>
      <w:bookmarkEnd w:id="2"/>
    </w:p>
    <w:p w14:paraId="2E9E25A3" w14:textId="248EB288" w:rsidR="00597668" w:rsidRPr="00441F02" w:rsidRDefault="00597668" w:rsidP="00597668">
      <w:pPr>
        <w:jc w:val="both"/>
        <w:rPr>
          <w:b/>
        </w:rPr>
      </w:pPr>
    </w:p>
    <w:p w14:paraId="2A1E409D" w14:textId="659A77F2" w:rsidR="00CC4E2F" w:rsidRPr="00CC4E2F" w:rsidRDefault="00CC4E2F" w:rsidP="00CC4E2F">
      <w:pPr>
        <w:pStyle w:val="af1"/>
        <w:jc w:val="both"/>
        <w:outlineLvl w:val="1"/>
        <w:rPr>
          <w:b w:val="0"/>
          <w:sz w:val="28"/>
          <w:szCs w:val="28"/>
          <w:lang w:val="en-US" w:eastAsia="zh-CN"/>
        </w:rPr>
      </w:pPr>
      <w:r w:rsidRPr="00CC4E2F">
        <w:rPr>
          <w:b w:val="0"/>
          <w:sz w:val="28"/>
          <w:szCs w:val="28"/>
          <w:lang w:val="en-US" w:eastAsia="zh-CN"/>
        </w:rPr>
        <w:t>2.</w:t>
      </w:r>
      <w:r>
        <w:rPr>
          <w:b w:val="0"/>
          <w:sz w:val="28"/>
          <w:szCs w:val="28"/>
          <w:lang w:val="en-US" w:eastAsia="zh-CN"/>
        </w:rPr>
        <w:t>2</w:t>
      </w:r>
      <w:r w:rsidRPr="00CC4E2F">
        <w:rPr>
          <w:b w:val="0"/>
          <w:sz w:val="28"/>
          <w:szCs w:val="28"/>
          <w:lang w:val="en-US" w:eastAsia="zh-CN"/>
        </w:rPr>
        <w:t xml:space="preserve"> L1/L2 centric inter-cell mobility</w:t>
      </w:r>
    </w:p>
    <w:p w14:paraId="19217FF2" w14:textId="6698016F" w:rsidR="008B778F" w:rsidRDefault="00E35383" w:rsidP="00F12AE5">
      <w:pPr>
        <w:spacing w:beforeLines="50" w:before="120"/>
        <w:jc w:val="both"/>
        <w:rPr>
          <w:lang w:eastAsia="zh-CN"/>
        </w:rPr>
      </w:pPr>
      <w:r>
        <w:rPr>
          <w:lang w:eastAsia="zh-CN"/>
        </w:rPr>
        <w:lastRenderedPageBreak/>
        <w:t xml:space="preserve">For L1/L2 centric inter-cell mobility, </w:t>
      </w:r>
      <w:r w:rsidR="008B778F">
        <w:rPr>
          <w:lang w:eastAsia="zh-CN"/>
        </w:rPr>
        <w:t>RAN1 agreed</w:t>
      </w:r>
      <w:r w:rsidR="00F8572E">
        <w:rPr>
          <w:lang w:eastAsia="zh-CN"/>
        </w:rPr>
        <w:t xml:space="preserve"> that</w:t>
      </w:r>
      <w:r w:rsidR="008B778F">
        <w:rPr>
          <w:lang w:eastAsia="zh-CN"/>
        </w:rPr>
        <w:t xml:space="preserve"> the L1-RSRP is used as reporting quantity for measurement and reporting of non-serving cell.</w:t>
      </w:r>
    </w:p>
    <w:p w14:paraId="73528705" w14:textId="29DE4931" w:rsidR="008B778F" w:rsidRDefault="008B778F" w:rsidP="00F12AE5">
      <w:pPr>
        <w:spacing w:beforeLines="50" w:before="120"/>
        <w:jc w:val="both"/>
        <w:rPr>
          <w:lang w:eastAsia="zh-CN"/>
        </w:rPr>
      </w:pPr>
      <w:r>
        <w:rPr>
          <w:lang w:eastAsia="zh-CN"/>
        </w:rPr>
        <w:t>Agreement in RAN1 #104e is provided as follows for reference:</w:t>
      </w:r>
    </w:p>
    <w:tbl>
      <w:tblPr>
        <w:tblStyle w:val="af7"/>
        <w:tblW w:w="0" w:type="auto"/>
        <w:tblLook w:val="04A0" w:firstRow="1" w:lastRow="0" w:firstColumn="1" w:lastColumn="0" w:noHBand="0" w:noVBand="1"/>
      </w:tblPr>
      <w:tblGrid>
        <w:gridCol w:w="9629"/>
      </w:tblGrid>
      <w:tr w:rsidR="008B778F" w14:paraId="35511A08" w14:textId="77777777" w:rsidTr="008B778F">
        <w:tc>
          <w:tcPr>
            <w:tcW w:w="9629" w:type="dxa"/>
          </w:tcPr>
          <w:p w14:paraId="036075E8" w14:textId="77777777" w:rsidR="008B778F" w:rsidRPr="006F4FA2" w:rsidRDefault="008B778F" w:rsidP="008B778F">
            <w:pPr>
              <w:snapToGrid w:val="0"/>
              <w:rPr>
                <w:rFonts w:ascii="Times New Roman" w:hAnsi="Times New Roman"/>
                <w:szCs w:val="20"/>
                <w:highlight w:val="green"/>
              </w:rPr>
            </w:pPr>
            <w:r w:rsidRPr="006F4FA2">
              <w:rPr>
                <w:rFonts w:ascii="Times New Roman" w:hAnsi="Times New Roman"/>
                <w:szCs w:val="20"/>
                <w:highlight w:val="green"/>
              </w:rPr>
              <w:t>Agreement</w:t>
            </w:r>
          </w:p>
          <w:p w14:paraId="26980652" w14:textId="77777777" w:rsidR="008B778F" w:rsidRPr="00160149" w:rsidRDefault="008B778F" w:rsidP="008B778F">
            <w:pPr>
              <w:snapToGrid w:val="0"/>
              <w:rPr>
                <w:rFonts w:ascii="Times New Roman" w:hAnsi="Times New Roman"/>
                <w:szCs w:val="20"/>
              </w:rPr>
            </w:pPr>
            <w:r w:rsidRPr="00160149">
              <w:rPr>
                <w:rFonts w:ascii="Times New Roman" w:hAnsi="Times New Roman"/>
                <w:szCs w:val="20"/>
              </w:rPr>
              <w:t xml:space="preserve">On Rel.17 multi beam measurement/reporting enhancements </w:t>
            </w:r>
            <w:r w:rsidRPr="00160149">
              <w:rPr>
                <w:rFonts w:ascii="Times New Roman" w:hAnsi="Times New Roman"/>
                <w:color w:val="000000"/>
                <w:szCs w:val="20"/>
              </w:rPr>
              <w:t>for L1/L2-centric inter-cell mobility and inter-cell mTRP</w:t>
            </w:r>
            <w:r w:rsidRPr="00160149">
              <w:rPr>
                <w:rFonts w:ascii="Times New Roman" w:hAnsi="Times New Roman"/>
                <w:szCs w:val="20"/>
              </w:rPr>
              <w:t>:</w:t>
            </w:r>
          </w:p>
          <w:p w14:paraId="313744BE" w14:textId="77777777" w:rsidR="008B778F" w:rsidRPr="00160149" w:rsidRDefault="008B778F" w:rsidP="008B778F">
            <w:pPr>
              <w:pStyle w:val="af5"/>
              <w:numPr>
                <w:ilvl w:val="0"/>
                <w:numId w:val="49"/>
              </w:numPr>
              <w:snapToGrid w:val="0"/>
              <w:contextualSpacing w:val="0"/>
            </w:pPr>
            <w:r w:rsidRPr="00160149">
              <w:t>Rel.15 L1-RSRP is used as reporting quantity for measurement and reporting of non-serving-cell(s)</w:t>
            </w:r>
          </w:p>
          <w:p w14:paraId="3054F568" w14:textId="77777777" w:rsidR="008B778F" w:rsidRPr="00160149" w:rsidRDefault="008B778F" w:rsidP="008B778F">
            <w:pPr>
              <w:pStyle w:val="af5"/>
              <w:numPr>
                <w:ilvl w:val="1"/>
                <w:numId w:val="49"/>
              </w:numPr>
              <w:snapToGrid w:val="0"/>
              <w:contextualSpacing w:val="0"/>
              <w:rPr>
                <w:lang w:eastAsia="ko-KR"/>
              </w:rPr>
            </w:pPr>
            <w:r w:rsidRPr="00160149">
              <w:t xml:space="preserve">Support SSB as a measurement RS for </w:t>
            </w:r>
            <w:r w:rsidRPr="00160149">
              <w:rPr>
                <w:color w:val="000000"/>
              </w:rPr>
              <w:t xml:space="preserve">L1/L2-centric inter-cell mobility </w:t>
            </w:r>
            <w:r w:rsidRPr="00160149">
              <w:t>and inter-cell mTRP, and Rel.15 SS-RSRP calculated from SSB of non-serving cell(s)</w:t>
            </w:r>
          </w:p>
          <w:p w14:paraId="46575C17" w14:textId="77777777" w:rsidR="008B778F" w:rsidRPr="00160149" w:rsidRDefault="008B778F" w:rsidP="008B778F">
            <w:pPr>
              <w:pStyle w:val="af5"/>
              <w:numPr>
                <w:ilvl w:val="2"/>
                <w:numId w:val="49"/>
              </w:numPr>
              <w:snapToGrid w:val="0"/>
              <w:contextualSpacing w:val="0"/>
            </w:pPr>
            <w:r w:rsidRPr="00160149">
              <w:t>FFS: Whether the measurement for SS-RSRP is limited within SMTC</w:t>
            </w:r>
          </w:p>
          <w:p w14:paraId="2053437F" w14:textId="2074B8DF" w:rsidR="008B778F" w:rsidRDefault="008B778F" w:rsidP="008B778F">
            <w:pPr>
              <w:pStyle w:val="af5"/>
              <w:numPr>
                <w:ilvl w:val="2"/>
                <w:numId w:val="49"/>
              </w:numPr>
              <w:jc w:val="both"/>
              <w:rPr>
                <w:lang w:eastAsia="zh-CN"/>
              </w:rPr>
            </w:pPr>
            <w:r w:rsidRPr="00160149">
              <w:t>FFS: Detailed reporting method, e.g. via including existing L1-RSRP report, UE-initiated report etc.</w:t>
            </w:r>
          </w:p>
        </w:tc>
      </w:tr>
    </w:tbl>
    <w:p w14:paraId="7765C295" w14:textId="77777777" w:rsidR="008B778F" w:rsidRDefault="008B778F" w:rsidP="00DE7BD7">
      <w:pPr>
        <w:jc w:val="both"/>
        <w:rPr>
          <w:lang w:eastAsia="zh-CN"/>
        </w:rPr>
      </w:pPr>
    </w:p>
    <w:p w14:paraId="6694B022" w14:textId="6A258EC9" w:rsidR="00EA2F61" w:rsidRDefault="008B778F" w:rsidP="00F12AE5">
      <w:pPr>
        <w:spacing w:beforeLines="50" w:before="120"/>
        <w:jc w:val="both"/>
        <w:rPr>
          <w:lang w:eastAsia="zh-CN"/>
        </w:rPr>
      </w:pPr>
      <w:r>
        <w:rPr>
          <w:lang w:eastAsia="zh-CN"/>
        </w:rPr>
        <w:t xml:space="preserve">Besides, </w:t>
      </w:r>
      <w:r w:rsidR="00E35383">
        <w:rPr>
          <w:lang w:eastAsia="zh-CN"/>
        </w:rPr>
        <w:t>UE is allowed to receive the data from a non-serving cell without handover procedure, i.e., the serving cell will not be changed.</w:t>
      </w:r>
      <w:r w:rsidR="002B66A9">
        <w:rPr>
          <w:lang w:eastAsia="zh-CN"/>
        </w:rPr>
        <w:t xml:space="preserve"> </w:t>
      </w:r>
      <w:r w:rsidR="00E35383">
        <w:rPr>
          <w:lang w:eastAsia="zh-CN"/>
        </w:rPr>
        <w:t>To achieve the data reception from non-serving cell, the</w:t>
      </w:r>
      <w:r w:rsidR="00A2657E">
        <w:rPr>
          <w:lang w:eastAsia="zh-CN"/>
        </w:rPr>
        <w:t xml:space="preserve"> L1-RSRP</w:t>
      </w:r>
      <w:r w:rsidR="00E35383">
        <w:rPr>
          <w:lang w:eastAsia="zh-CN"/>
        </w:rPr>
        <w:t xml:space="preserve"> measurement </w:t>
      </w:r>
      <w:r w:rsidR="00DE7BD7">
        <w:rPr>
          <w:lang w:eastAsia="zh-CN"/>
        </w:rPr>
        <w:t>and accuracy requirements should be further studied.</w:t>
      </w:r>
    </w:p>
    <w:p w14:paraId="2BA2AFA8" w14:textId="13E078ED" w:rsidR="00FA6805" w:rsidRPr="002B66A9" w:rsidRDefault="00DE7BD7" w:rsidP="00F12AE5">
      <w:pPr>
        <w:spacing w:beforeLines="50" w:before="120"/>
        <w:jc w:val="both"/>
        <w:rPr>
          <w:b/>
          <w:lang w:eastAsia="zh-CN"/>
        </w:rPr>
      </w:pPr>
      <w:bookmarkStart w:id="3" w:name="_Ref78908679"/>
      <w:r w:rsidRPr="00643A5A">
        <w:rPr>
          <w:b/>
          <w:szCs w:val="20"/>
          <w:lang w:eastAsia="x-none"/>
        </w:rPr>
        <w:t xml:space="preserve">Proposal </w:t>
      </w:r>
      <w:r w:rsidRPr="00643A5A">
        <w:rPr>
          <w:b/>
          <w:szCs w:val="20"/>
          <w:lang w:eastAsia="x-none"/>
        </w:rPr>
        <w:fldChar w:fldCharType="begin"/>
      </w:r>
      <w:r w:rsidRPr="00643A5A">
        <w:rPr>
          <w:b/>
          <w:szCs w:val="20"/>
          <w:lang w:eastAsia="x-none"/>
        </w:rPr>
        <w:instrText xml:space="preserve"> SEQ Proposal \* ARABIC </w:instrText>
      </w:r>
      <w:r w:rsidRPr="00643A5A">
        <w:rPr>
          <w:b/>
          <w:szCs w:val="20"/>
          <w:lang w:eastAsia="x-none"/>
        </w:rPr>
        <w:fldChar w:fldCharType="separate"/>
      </w:r>
      <w:r w:rsidR="00F34980">
        <w:rPr>
          <w:b/>
          <w:noProof/>
          <w:szCs w:val="20"/>
          <w:lang w:eastAsia="x-none"/>
        </w:rPr>
        <w:t>3</w:t>
      </w:r>
      <w:r w:rsidRPr="00643A5A">
        <w:rPr>
          <w:b/>
          <w:szCs w:val="20"/>
          <w:lang w:eastAsia="x-none"/>
        </w:rPr>
        <w:fldChar w:fldCharType="end"/>
      </w:r>
      <w:r w:rsidRPr="00643A5A">
        <w:rPr>
          <w:b/>
          <w:szCs w:val="20"/>
          <w:lang w:eastAsia="x-none"/>
        </w:rPr>
        <w:t>:</w:t>
      </w:r>
      <w:r>
        <w:rPr>
          <w:b/>
          <w:szCs w:val="20"/>
          <w:lang w:eastAsia="x-none"/>
        </w:rPr>
        <w:t xml:space="preserve"> For </w:t>
      </w:r>
      <w:r w:rsidRPr="00DE7BD7">
        <w:rPr>
          <w:b/>
          <w:szCs w:val="20"/>
          <w:lang w:eastAsia="x-none"/>
        </w:rPr>
        <w:t>L1/L2 centric inter-cell mobility</w:t>
      </w:r>
      <w:r>
        <w:rPr>
          <w:b/>
          <w:szCs w:val="20"/>
          <w:lang w:eastAsia="x-none"/>
        </w:rPr>
        <w:t xml:space="preserve">, RAN4 needs to study the </w:t>
      </w:r>
      <w:r w:rsidR="008B778F">
        <w:rPr>
          <w:b/>
          <w:szCs w:val="20"/>
          <w:lang w:eastAsia="x-none"/>
        </w:rPr>
        <w:t xml:space="preserve">L1-RSRP </w:t>
      </w:r>
      <w:r>
        <w:rPr>
          <w:b/>
          <w:szCs w:val="20"/>
          <w:lang w:eastAsia="x-none"/>
        </w:rPr>
        <w:t>measurement and accuracy requirement</w:t>
      </w:r>
      <w:r w:rsidR="00865EF4">
        <w:rPr>
          <w:b/>
          <w:szCs w:val="20"/>
          <w:lang w:eastAsia="x-none"/>
        </w:rPr>
        <w:t>s</w:t>
      </w:r>
      <w:r>
        <w:rPr>
          <w:b/>
          <w:szCs w:val="20"/>
          <w:lang w:eastAsia="x-none"/>
        </w:rPr>
        <w:t xml:space="preserve"> for a non-serving cell</w:t>
      </w:r>
      <w:r>
        <w:rPr>
          <w:b/>
        </w:rPr>
        <w:t>.</w:t>
      </w:r>
      <w:bookmarkEnd w:id="3"/>
      <w:r>
        <w:rPr>
          <w:lang w:eastAsia="zh-CN"/>
        </w:rPr>
        <w:t xml:space="preserve"> </w:t>
      </w:r>
      <w:r w:rsidR="007E5A9A">
        <w:rPr>
          <w:lang w:eastAsia="zh-CN"/>
        </w:rPr>
        <w:t xml:space="preserve"> </w:t>
      </w: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4D3CCE1A" w14:textId="4D4DFF6A" w:rsidR="0094768B" w:rsidRDefault="006F7557" w:rsidP="00234753">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DC25B5">
        <w:t xml:space="preserve">our views on </w:t>
      </w:r>
      <w:r w:rsidR="00DC25B5" w:rsidRPr="00EB54D1">
        <w:t>Unified TCI for DL and UL</w:t>
      </w:r>
      <w:r w:rsidR="00DC25B5">
        <w:t xml:space="preserve">, and </w:t>
      </w:r>
      <w:r w:rsidR="00DC25B5" w:rsidRPr="00EB54D1">
        <w:t>L1/L2 centric inter-cell mobility</w:t>
      </w:r>
      <w:r w:rsidR="00DC25B5">
        <w:t xml:space="preserve"> are provided and the </w:t>
      </w:r>
      <w:r w:rsidR="0032472B">
        <w:t>proposals</w:t>
      </w:r>
      <w:r w:rsidR="00DC25B5">
        <w:t xml:space="preserve"> are summarized in the following</w:t>
      </w:r>
      <w:r w:rsidR="0032472B">
        <w:t>.</w:t>
      </w:r>
    </w:p>
    <w:p w14:paraId="2F743917" w14:textId="77777777" w:rsidR="00F34980" w:rsidRDefault="00F34980"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_Ref78908677 \h </w:instrText>
      </w:r>
      <w:r>
        <w:rPr>
          <w:b/>
          <w:sz w:val="20"/>
          <w:szCs w:val="20"/>
          <w:lang w:val="x-none" w:eastAsia="x-none"/>
        </w:rPr>
      </w:r>
      <w:r>
        <w:rPr>
          <w:b/>
          <w:sz w:val="20"/>
          <w:szCs w:val="20"/>
          <w:lang w:val="x-none" w:eastAsia="x-none"/>
        </w:rPr>
        <w:fldChar w:fldCharType="separate"/>
      </w:r>
      <w:r w:rsidRPr="00643A5A">
        <w:rPr>
          <w:b/>
          <w:szCs w:val="20"/>
          <w:lang w:eastAsia="x-none"/>
        </w:rPr>
        <w:t xml:space="preserve">Proposal </w:t>
      </w:r>
      <w:r>
        <w:rPr>
          <w:b/>
          <w:noProof/>
          <w:szCs w:val="20"/>
          <w:lang w:eastAsia="x-none"/>
        </w:rPr>
        <w:t>1</w:t>
      </w:r>
      <w:r w:rsidRPr="00643A5A">
        <w:rPr>
          <w:b/>
          <w:szCs w:val="20"/>
          <w:lang w:eastAsia="x-none"/>
        </w:rPr>
        <w:t>:</w:t>
      </w:r>
      <w:r>
        <w:rPr>
          <w:b/>
          <w:szCs w:val="20"/>
          <w:lang w:eastAsia="x-none"/>
        </w:rPr>
        <w:t xml:space="preserve"> For joint TCI DL/UL TCI state update</w:t>
      </w:r>
      <w:r>
        <w:rPr>
          <w:rFonts w:cstheme="minorHAnsi"/>
          <w:b/>
          <w:bCs/>
        </w:rPr>
        <w:t xml:space="preserve">, FFS </w:t>
      </w:r>
      <w:r w:rsidRPr="00140483">
        <w:rPr>
          <w:rFonts w:cstheme="minorHAnsi"/>
          <w:b/>
          <w:bCs/>
        </w:rPr>
        <w:t>whether to introduce the RRC based unified TCI state switching in R17 feMIMO</w:t>
      </w:r>
      <w:r>
        <w:rPr>
          <w:b/>
        </w:rPr>
        <w:t>.</w:t>
      </w:r>
      <w:r>
        <w:rPr>
          <w:b/>
          <w:sz w:val="20"/>
          <w:szCs w:val="20"/>
          <w:lang w:val="x-none" w:eastAsia="x-none"/>
        </w:rPr>
        <w:fldChar w:fldCharType="end"/>
      </w:r>
    </w:p>
    <w:p w14:paraId="6E67BD55" w14:textId="77777777" w:rsidR="00F34980" w:rsidRDefault="00F34980"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_Ref78908678 \h </w:instrText>
      </w:r>
      <w:r>
        <w:rPr>
          <w:b/>
          <w:sz w:val="20"/>
          <w:szCs w:val="20"/>
          <w:lang w:val="x-none" w:eastAsia="x-none"/>
        </w:rPr>
      </w:r>
      <w:r>
        <w:rPr>
          <w:b/>
          <w:sz w:val="20"/>
          <w:szCs w:val="20"/>
          <w:lang w:val="x-none" w:eastAsia="x-none"/>
        </w:rPr>
        <w:fldChar w:fldCharType="separate"/>
      </w:r>
      <w:r w:rsidRPr="00643A5A">
        <w:rPr>
          <w:b/>
          <w:szCs w:val="20"/>
          <w:lang w:eastAsia="x-none"/>
        </w:rPr>
        <w:t xml:space="preserve">Proposal </w:t>
      </w:r>
      <w:r>
        <w:rPr>
          <w:b/>
          <w:noProof/>
          <w:szCs w:val="20"/>
          <w:lang w:eastAsia="x-none"/>
        </w:rPr>
        <w:t>2</w:t>
      </w:r>
      <w:r w:rsidRPr="00643A5A">
        <w:rPr>
          <w:b/>
          <w:szCs w:val="20"/>
          <w:lang w:eastAsia="x-none"/>
        </w:rPr>
        <w:t>:</w:t>
      </w:r>
      <w:r>
        <w:rPr>
          <w:b/>
          <w:szCs w:val="20"/>
          <w:lang w:eastAsia="x-none"/>
        </w:rPr>
        <w:t xml:space="preserve"> For MAC CE based unified TCI switching, RAN4 needs to study how to define the delay requirement</w:t>
      </w:r>
      <w:r>
        <w:rPr>
          <w:b/>
        </w:rPr>
        <w:t>.</w:t>
      </w:r>
      <w:r>
        <w:rPr>
          <w:b/>
          <w:sz w:val="20"/>
          <w:szCs w:val="20"/>
          <w:lang w:val="x-none" w:eastAsia="x-none"/>
        </w:rPr>
        <w:fldChar w:fldCharType="end"/>
      </w:r>
    </w:p>
    <w:p w14:paraId="38F16D7B" w14:textId="1CD74A23" w:rsidR="00FA6805" w:rsidRPr="0032472B" w:rsidRDefault="00F34980" w:rsidP="00234753">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_Ref78908679 \h </w:instrText>
      </w:r>
      <w:r>
        <w:rPr>
          <w:b/>
          <w:sz w:val="20"/>
          <w:szCs w:val="20"/>
          <w:lang w:val="x-none" w:eastAsia="x-none"/>
        </w:rPr>
      </w:r>
      <w:r>
        <w:rPr>
          <w:b/>
          <w:sz w:val="20"/>
          <w:szCs w:val="20"/>
          <w:lang w:val="x-none" w:eastAsia="x-none"/>
        </w:rPr>
        <w:fldChar w:fldCharType="separate"/>
      </w:r>
      <w:r w:rsidRPr="00643A5A">
        <w:rPr>
          <w:b/>
          <w:szCs w:val="20"/>
          <w:lang w:eastAsia="x-none"/>
        </w:rPr>
        <w:t xml:space="preserve">Proposal </w:t>
      </w:r>
      <w:r>
        <w:rPr>
          <w:b/>
          <w:noProof/>
          <w:szCs w:val="20"/>
          <w:lang w:eastAsia="x-none"/>
        </w:rPr>
        <w:t>3</w:t>
      </w:r>
      <w:r w:rsidRPr="00643A5A">
        <w:rPr>
          <w:b/>
          <w:szCs w:val="20"/>
          <w:lang w:eastAsia="x-none"/>
        </w:rPr>
        <w:t>:</w:t>
      </w:r>
      <w:r>
        <w:rPr>
          <w:b/>
          <w:szCs w:val="20"/>
          <w:lang w:eastAsia="x-none"/>
        </w:rPr>
        <w:t xml:space="preserve"> For </w:t>
      </w:r>
      <w:r w:rsidRPr="00DE7BD7">
        <w:rPr>
          <w:b/>
          <w:szCs w:val="20"/>
          <w:lang w:eastAsia="x-none"/>
        </w:rPr>
        <w:t>L1/L2 centric inter-cell mobility</w:t>
      </w:r>
      <w:r>
        <w:rPr>
          <w:b/>
          <w:szCs w:val="20"/>
          <w:lang w:eastAsia="x-none"/>
        </w:rPr>
        <w:t>, RAN4 needs to study the L1-RSRP measurement and accuracy requirements for a non-serving cell</w:t>
      </w:r>
      <w:r>
        <w:rPr>
          <w:b/>
        </w:rPr>
        <w:t>.</w:t>
      </w:r>
      <w:r>
        <w:rPr>
          <w:b/>
          <w:sz w:val="20"/>
          <w:szCs w:val="20"/>
          <w:lang w:val="x-none" w:eastAsia="x-none"/>
        </w:rPr>
        <w:fldChar w:fldCharType="end"/>
      </w:r>
    </w:p>
    <w:p w14:paraId="2E96BB97" w14:textId="77777777" w:rsidR="00842EE0" w:rsidRDefault="00842EE0" w:rsidP="008F1284">
      <w:pPr>
        <w:pStyle w:val="1"/>
        <w:numPr>
          <w:ilvl w:val="0"/>
          <w:numId w:val="1"/>
        </w:numPr>
        <w:rPr>
          <w:rFonts w:ascii="Calibri" w:hAnsi="Calibri"/>
        </w:rPr>
      </w:pPr>
      <w:r w:rsidRPr="00842EE0">
        <w:rPr>
          <w:rFonts w:ascii="Calibri" w:hAnsi="Calibri" w:hint="eastAsia"/>
        </w:rPr>
        <w:t>Reference</w:t>
      </w:r>
    </w:p>
    <w:p w14:paraId="22178F82" w14:textId="1BA12858" w:rsidR="007F188E" w:rsidRPr="007F188E" w:rsidRDefault="000B2C79" w:rsidP="007F188E">
      <w:pPr>
        <w:rPr>
          <w:lang w:val="en-GB" w:eastAsia="en-US"/>
        </w:rPr>
      </w:pPr>
      <w:r>
        <w:rPr>
          <w:lang w:val="en-GB" w:eastAsia="en-US"/>
        </w:rPr>
        <w:t xml:space="preserve">[1] </w:t>
      </w:r>
      <w:r w:rsidR="00A6403E">
        <w:rPr>
          <w:lang w:val="en-GB" w:eastAsia="en-US"/>
        </w:rPr>
        <w:t>R4-2109176 “</w:t>
      </w:r>
      <w:r w:rsidR="00A6403E" w:rsidRPr="00A6403E">
        <w:rPr>
          <w:lang w:val="en-GB" w:eastAsia="en-US"/>
        </w:rPr>
        <w:t>Discussion on FR2 inter-frequency relative RSRP accuracy</w:t>
      </w:r>
      <w:r w:rsidR="00A6403E">
        <w:rPr>
          <w:lang w:val="en-GB" w:eastAsia="en-US"/>
        </w:rPr>
        <w:t xml:space="preserve">”, </w:t>
      </w:r>
      <w:r w:rsidR="00A6403E" w:rsidRPr="00A6403E">
        <w:rPr>
          <w:lang w:val="en-GB" w:eastAsia="en-US"/>
        </w:rPr>
        <w:t>MediaTek Inc.</w:t>
      </w:r>
    </w:p>
    <w:p w14:paraId="780452EE" w14:textId="0146FF47" w:rsidR="003C022F" w:rsidRDefault="003C022F" w:rsidP="00B41628">
      <w:pPr>
        <w:overflowPunct w:val="0"/>
        <w:autoSpaceDE w:val="0"/>
        <w:autoSpaceDN w:val="0"/>
        <w:adjustRightInd w:val="0"/>
        <w:textAlignment w:val="baseline"/>
        <w:rPr>
          <w:sz w:val="20"/>
          <w:lang w:eastAsia="ko-KR"/>
        </w:rPr>
      </w:pPr>
    </w:p>
    <w:sectPr w:rsidR="003C02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70C1E" w14:textId="77777777" w:rsidR="00056E88" w:rsidRDefault="00056E88">
      <w:r>
        <w:separator/>
      </w:r>
    </w:p>
  </w:endnote>
  <w:endnote w:type="continuationSeparator" w:id="0">
    <w:p w14:paraId="58269AE6" w14:textId="77777777" w:rsidR="00056E88" w:rsidRDefault="00056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FA5EE" w14:textId="77777777" w:rsidR="00056E88" w:rsidRDefault="00056E88">
      <w:r>
        <w:separator/>
      </w:r>
    </w:p>
  </w:footnote>
  <w:footnote w:type="continuationSeparator" w:id="0">
    <w:p w14:paraId="7826F25E" w14:textId="77777777" w:rsidR="00056E88" w:rsidRDefault="00056E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B5373"/>
    <w:multiLevelType w:val="hybridMultilevel"/>
    <w:tmpl w:val="4094D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D74AE"/>
    <w:multiLevelType w:val="hybridMultilevel"/>
    <w:tmpl w:val="DC2291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3"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9"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0"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7B6426D"/>
    <w:multiLevelType w:val="hybridMultilevel"/>
    <w:tmpl w:val="71C88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6"/>
  </w:num>
  <w:num w:numId="3">
    <w:abstractNumId w:val="3"/>
  </w:num>
  <w:num w:numId="4">
    <w:abstractNumId w:val="1"/>
  </w:num>
  <w:num w:numId="5">
    <w:abstractNumId w:val="21"/>
  </w:num>
  <w:num w:numId="6">
    <w:abstractNumId w:val="37"/>
  </w:num>
  <w:num w:numId="7">
    <w:abstractNumId w:val="29"/>
  </w:num>
  <w:num w:numId="8">
    <w:abstractNumId w:val="43"/>
  </w:num>
  <w:num w:numId="9">
    <w:abstractNumId w:val="34"/>
  </w:num>
  <w:num w:numId="10">
    <w:abstractNumId w:val="0"/>
  </w:num>
  <w:num w:numId="11">
    <w:abstractNumId w:val="12"/>
  </w:num>
  <w:num w:numId="12">
    <w:abstractNumId w:val="38"/>
  </w:num>
  <w:num w:numId="13">
    <w:abstractNumId w:val="48"/>
  </w:num>
  <w:num w:numId="14">
    <w:abstractNumId w:val="45"/>
  </w:num>
  <w:num w:numId="15">
    <w:abstractNumId w:val="18"/>
  </w:num>
  <w:num w:numId="16">
    <w:abstractNumId w:val="32"/>
  </w:num>
  <w:num w:numId="17">
    <w:abstractNumId w:val="2"/>
  </w:num>
  <w:num w:numId="18">
    <w:abstractNumId w:val="16"/>
  </w:num>
  <w:num w:numId="19">
    <w:abstractNumId w:val="35"/>
  </w:num>
  <w:num w:numId="20">
    <w:abstractNumId w:val="19"/>
  </w:num>
  <w:num w:numId="21">
    <w:abstractNumId w:val="28"/>
  </w:num>
  <w:num w:numId="22">
    <w:abstractNumId w:val="14"/>
  </w:num>
  <w:num w:numId="23">
    <w:abstractNumId w:val="4"/>
  </w:num>
  <w:num w:numId="24">
    <w:abstractNumId w:val="41"/>
  </w:num>
  <w:num w:numId="25">
    <w:abstractNumId w:val="11"/>
  </w:num>
  <w:num w:numId="26">
    <w:abstractNumId w:val="6"/>
  </w:num>
  <w:num w:numId="27">
    <w:abstractNumId w:val="30"/>
  </w:num>
  <w:num w:numId="28">
    <w:abstractNumId w:val="10"/>
  </w:num>
  <w:num w:numId="29">
    <w:abstractNumId w:val="47"/>
  </w:num>
  <w:num w:numId="30">
    <w:abstractNumId w:val="5"/>
  </w:num>
  <w:num w:numId="31">
    <w:abstractNumId w:val="44"/>
  </w:num>
  <w:num w:numId="32">
    <w:abstractNumId w:val="25"/>
  </w:num>
  <w:num w:numId="33">
    <w:abstractNumId w:val="24"/>
  </w:num>
  <w:num w:numId="34">
    <w:abstractNumId w:val="40"/>
  </w:num>
  <w:num w:numId="35">
    <w:abstractNumId w:val="15"/>
  </w:num>
  <w:num w:numId="36">
    <w:abstractNumId w:val="31"/>
  </w:num>
  <w:num w:numId="37">
    <w:abstractNumId w:val="17"/>
  </w:num>
  <w:num w:numId="38">
    <w:abstractNumId w:val="39"/>
  </w:num>
  <w:num w:numId="39">
    <w:abstractNumId w:val="23"/>
  </w:num>
  <w:num w:numId="40">
    <w:abstractNumId w:val="7"/>
  </w:num>
  <w:num w:numId="41">
    <w:abstractNumId w:val="36"/>
  </w:num>
  <w:num w:numId="42">
    <w:abstractNumId w:val="22"/>
  </w:num>
  <w:num w:numId="43">
    <w:abstractNumId w:val="13"/>
  </w:num>
  <w:num w:numId="44">
    <w:abstractNumId w:val="8"/>
  </w:num>
  <w:num w:numId="45">
    <w:abstractNumId w:val="27"/>
  </w:num>
  <w:num w:numId="46">
    <w:abstractNumId w:val="20"/>
  </w:num>
  <w:num w:numId="47">
    <w:abstractNumId w:val="9"/>
  </w:num>
  <w:num w:numId="48">
    <w:abstractNumId w:val="33"/>
  </w:num>
  <w:num w:numId="49">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6E88"/>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0D"/>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C74"/>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35"/>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260F"/>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483"/>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6C2A"/>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15"/>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939"/>
    <w:rsid w:val="001C0AF9"/>
    <w:rsid w:val="001C125B"/>
    <w:rsid w:val="001C14EC"/>
    <w:rsid w:val="001C15DA"/>
    <w:rsid w:val="001C2489"/>
    <w:rsid w:val="001C24BB"/>
    <w:rsid w:val="001C2686"/>
    <w:rsid w:val="001C4337"/>
    <w:rsid w:val="001C4676"/>
    <w:rsid w:val="001C4D9F"/>
    <w:rsid w:val="001C4EEC"/>
    <w:rsid w:val="001C551C"/>
    <w:rsid w:val="001C5B21"/>
    <w:rsid w:val="001C5CA4"/>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6A9"/>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7DF"/>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72B"/>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1AC"/>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305"/>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3F18"/>
    <w:rsid w:val="004C4301"/>
    <w:rsid w:val="004C452A"/>
    <w:rsid w:val="004C510D"/>
    <w:rsid w:val="004C5700"/>
    <w:rsid w:val="004C600F"/>
    <w:rsid w:val="004C61B9"/>
    <w:rsid w:val="004C6867"/>
    <w:rsid w:val="004C737B"/>
    <w:rsid w:val="004C7423"/>
    <w:rsid w:val="004C795A"/>
    <w:rsid w:val="004C7AB4"/>
    <w:rsid w:val="004C7AFD"/>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218"/>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2C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668"/>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3940"/>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2E7C"/>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5A7"/>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956"/>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5C"/>
    <w:rsid w:val="006D18F0"/>
    <w:rsid w:val="006D1A72"/>
    <w:rsid w:val="006D1B80"/>
    <w:rsid w:val="006D2012"/>
    <w:rsid w:val="006D23BE"/>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052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702"/>
    <w:rsid w:val="00747BCC"/>
    <w:rsid w:val="00747DC7"/>
    <w:rsid w:val="00750A99"/>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A9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3C7"/>
    <w:rsid w:val="007F6BC4"/>
    <w:rsid w:val="007F7441"/>
    <w:rsid w:val="007F77A2"/>
    <w:rsid w:val="007F7852"/>
    <w:rsid w:val="007F7B07"/>
    <w:rsid w:val="00800257"/>
    <w:rsid w:val="008009CB"/>
    <w:rsid w:val="008012D1"/>
    <w:rsid w:val="0080153E"/>
    <w:rsid w:val="00802240"/>
    <w:rsid w:val="008024BB"/>
    <w:rsid w:val="008027A8"/>
    <w:rsid w:val="00802AEC"/>
    <w:rsid w:val="00802C5F"/>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EF4"/>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D55"/>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8F"/>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88C"/>
    <w:rsid w:val="00927A74"/>
    <w:rsid w:val="009300C9"/>
    <w:rsid w:val="0093053F"/>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7E9"/>
    <w:rsid w:val="0096499B"/>
    <w:rsid w:val="00964B7C"/>
    <w:rsid w:val="00964B99"/>
    <w:rsid w:val="00964FB5"/>
    <w:rsid w:val="00965084"/>
    <w:rsid w:val="00965400"/>
    <w:rsid w:val="00965640"/>
    <w:rsid w:val="00965845"/>
    <w:rsid w:val="0096610A"/>
    <w:rsid w:val="00966186"/>
    <w:rsid w:val="00966525"/>
    <w:rsid w:val="0096756E"/>
    <w:rsid w:val="0097013A"/>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6E0"/>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745"/>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57E"/>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03E"/>
    <w:rsid w:val="00A647D2"/>
    <w:rsid w:val="00A65CD4"/>
    <w:rsid w:val="00A662EC"/>
    <w:rsid w:val="00A66510"/>
    <w:rsid w:val="00A6712B"/>
    <w:rsid w:val="00A67187"/>
    <w:rsid w:val="00A67E6D"/>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4977"/>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C10"/>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17E4D"/>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B2"/>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9CA"/>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543"/>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401B"/>
    <w:rsid w:val="00BC5104"/>
    <w:rsid w:val="00BC5111"/>
    <w:rsid w:val="00BC54A2"/>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6C8"/>
    <w:rsid w:val="00BE69D6"/>
    <w:rsid w:val="00BE6B5E"/>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2AA"/>
    <w:rsid w:val="00BF5336"/>
    <w:rsid w:val="00BF5A34"/>
    <w:rsid w:val="00BF658E"/>
    <w:rsid w:val="00BF6646"/>
    <w:rsid w:val="00BF6780"/>
    <w:rsid w:val="00BF6D94"/>
    <w:rsid w:val="00BF6DE5"/>
    <w:rsid w:val="00BF6DF6"/>
    <w:rsid w:val="00BF76EB"/>
    <w:rsid w:val="00BF77E3"/>
    <w:rsid w:val="00BF7DDD"/>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4F15"/>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4E2F"/>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74"/>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8B3"/>
    <w:rsid w:val="00D24CB4"/>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EDB"/>
    <w:rsid w:val="00D33189"/>
    <w:rsid w:val="00D33DDB"/>
    <w:rsid w:val="00D33F1D"/>
    <w:rsid w:val="00D33F7C"/>
    <w:rsid w:val="00D34B5B"/>
    <w:rsid w:val="00D352E4"/>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902"/>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08B"/>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27D"/>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5B5"/>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A6B"/>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BD7"/>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383"/>
    <w:rsid w:val="00E3562B"/>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F61"/>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1E37"/>
    <w:rsid w:val="00EB281F"/>
    <w:rsid w:val="00EB3276"/>
    <w:rsid w:val="00EB341B"/>
    <w:rsid w:val="00EB3961"/>
    <w:rsid w:val="00EB3D57"/>
    <w:rsid w:val="00EB3E64"/>
    <w:rsid w:val="00EB4012"/>
    <w:rsid w:val="00EB466D"/>
    <w:rsid w:val="00EB46CC"/>
    <w:rsid w:val="00EB54D1"/>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4B0"/>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12D"/>
    <w:rsid w:val="00EF3325"/>
    <w:rsid w:val="00EF3390"/>
    <w:rsid w:val="00EF3499"/>
    <w:rsid w:val="00EF36DD"/>
    <w:rsid w:val="00EF420C"/>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AE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80"/>
    <w:rsid w:val="00F349F2"/>
    <w:rsid w:val="00F34B09"/>
    <w:rsid w:val="00F3680A"/>
    <w:rsid w:val="00F3697A"/>
    <w:rsid w:val="00F37392"/>
    <w:rsid w:val="00F37B13"/>
    <w:rsid w:val="00F401B1"/>
    <w:rsid w:val="00F40A10"/>
    <w:rsid w:val="00F413A8"/>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67D"/>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5BC"/>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72E"/>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FFE"/>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805"/>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A3"/>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956"/>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B295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B2956"/>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DB3A47"/>
    <w:pPr>
      <w:ind w:left="1701" w:hanging="1701"/>
    </w:pPr>
  </w:style>
  <w:style w:type="paragraph" w:styleId="41">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2">
    <w:name w:val="List 4"/>
    <w:basedOn w:val="32"/>
    <w:rsid w:val="00DB3A47"/>
    <w:pPr>
      <w:ind w:left="1418"/>
    </w:pPr>
  </w:style>
  <w:style w:type="paragraph" w:styleId="51">
    <w:name w:val="List 5"/>
    <w:basedOn w:val="42"/>
    <w:rsid w:val="00DB3A47"/>
    <w:pPr>
      <w:ind w:left="1702"/>
    </w:pPr>
  </w:style>
  <w:style w:type="paragraph" w:customStyle="1" w:styleId="EditorsNote">
    <w:name w:val="Editor's Note"/>
    <w:aliases w:val="EN"/>
    <w:basedOn w:val="NO"/>
    <w:link w:val="EditorsNoteChar"/>
    <w:rsid w:val="00DB3A47"/>
    <w:rPr>
      <w:color w:val="FF0000"/>
    </w:rPr>
  </w:style>
  <w:style w:type="paragraph" w:styleId="43">
    <w:name w:val="List Bullet 4"/>
    <w:basedOn w:val="31"/>
    <w:rsid w:val="00DB3A47"/>
    <w:pPr>
      <w:ind w:left="1418"/>
    </w:pPr>
  </w:style>
  <w:style w:type="paragraph" w:styleId="52">
    <w:name w:val="List Bullet 5"/>
    <w:basedOn w:val="43"/>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2"/>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列表段落11,목록단락,列"/>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列出段落 字元,¥¡¡¡¡ì¬º¥¹¥È¶ÎÂä 字元,ÁÐ³ö¶ÎÂä 字元,¥ê¥¹¥È¶ÎÂä 字元,列表段落1 字元,—ño’i—Ž 字元,1st level - Bullet List Paragraph 字元,Lettre d'introduction 字元,列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6390355">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1D755-11CD-44E4-8B7C-03128F111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2021-08-06T03:32:00Z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