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6BBD1A56"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100</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AC1A83">
        <w:rPr>
          <w:b/>
          <w:noProof/>
          <w:sz w:val="24"/>
        </w:rPr>
        <w:t>1</w:t>
      </w:r>
      <w:r w:rsidR="006344B9">
        <w:rPr>
          <w:b/>
          <w:noProof/>
          <w:sz w:val="24"/>
        </w:rPr>
        <w:t>911</w:t>
      </w:r>
    </w:p>
    <w:p w14:paraId="5379D604" w14:textId="42D220A5"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4D66B7">
        <w:rPr>
          <w:rFonts w:ascii="Arial" w:hAnsi="Arial" w:cs="Arial"/>
          <w:b/>
          <w:sz w:val="24"/>
        </w:rPr>
        <w:t>August</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60C3A12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C72AF">
        <w:rPr>
          <w:rFonts w:ascii="Arial" w:hAnsi="Arial" w:cs="Arial"/>
          <w:b/>
        </w:rPr>
        <w:t xml:space="preserve">On </w:t>
      </w:r>
      <w:r w:rsidR="00B337AF">
        <w:rPr>
          <w:rFonts w:ascii="Arial" w:hAnsi="Arial" w:cs="Arial"/>
          <w:b/>
        </w:rPr>
        <w:t xml:space="preserve">FR2 UE </w:t>
      </w:r>
      <w:r w:rsidR="00D202C9">
        <w:rPr>
          <w:rFonts w:ascii="Arial" w:hAnsi="Arial" w:cs="Arial"/>
          <w:b/>
        </w:rPr>
        <w:t>relative power control tolerance requirements</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6DE0F4F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337AF">
        <w:rPr>
          <w:rFonts w:ascii="Arial" w:hAnsi="Arial" w:cs="Arial"/>
          <w:b/>
        </w:rPr>
        <w:t>12.2</w:t>
      </w:r>
    </w:p>
    <w:p w14:paraId="2D4A371D" w14:textId="77777777" w:rsidR="0010618D" w:rsidRPr="005E4466" w:rsidRDefault="0010618D" w:rsidP="000F7ECB">
      <w:pPr>
        <w:spacing w:after="60"/>
        <w:ind w:left="1985" w:hanging="1985"/>
        <w:rPr>
          <w:rFonts w:ascii="Arial" w:hAnsi="Arial" w:cs="Arial"/>
          <w:b/>
        </w:rPr>
      </w:pPr>
    </w:p>
    <w:p w14:paraId="13310D75" w14:textId="28C8099E"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337AF">
        <w:rPr>
          <w:rFonts w:ascii="Arial" w:hAnsi="Arial" w:cs="Arial"/>
          <w:b/>
        </w:rPr>
        <w:t>Approval</w:t>
      </w:r>
    </w:p>
    <w:p w14:paraId="5BDE04A3" w14:textId="77777777" w:rsidR="0045428D" w:rsidRDefault="000A567D" w:rsidP="002A1C01">
      <w:pPr>
        <w:pStyle w:val="Heading1"/>
      </w:pPr>
      <w:r>
        <w:t>1.</w:t>
      </w:r>
      <w:r>
        <w:tab/>
      </w:r>
      <w:r w:rsidR="002A1C01">
        <w:t>Introduction</w:t>
      </w:r>
    </w:p>
    <w:p w14:paraId="6F64D7D3" w14:textId="39BF646A" w:rsidR="002B2323" w:rsidRPr="002E2724" w:rsidRDefault="00D202C9" w:rsidP="002B2323">
      <w:pPr>
        <w:rPr>
          <w:rFonts w:ascii="Calibri" w:hAnsi="Calibri" w:cs="Calibri"/>
        </w:rPr>
      </w:pPr>
      <w:r>
        <w:rPr>
          <w:rFonts w:ascii="Calibri" w:hAnsi="Calibri" w:cs="Calibri"/>
        </w:rPr>
        <w:t xml:space="preserve">We discuss FR2 UE relative power control tolerance requirements towards formulating a reply to </w:t>
      </w:r>
      <w:r w:rsidR="006344B9">
        <w:rPr>
          <w:rFonts w:ascii="Calibri" w:hAnsi="Calibri" w:cs="Calibri"/>
        </w:rPr>
        <w:t xml:space="preserve">the LS from </w:t>
      </w:r>
      <w:r>
        <w:rPr>
          <w:rFonts w:ascii="Calibri" w:hAnsi="Calibri" w:cs="Calibri"/>
        </w:rPr>
        <w:t>RAN5 [1]</w:t>
      </w:r>
      <w:r w:rsidR="006344B9">
        <w:rPr>
          <w:rFonts w:ascii="Calibri" w:hAnsi="Calibri" w:cs="Calibri"/>
        </w:rPr>
        <w:t>.</w:t>
      </w:r>
    </w:p>
    <w:p w14:paraId="0AB8A81A" w14:textId="77777777" w:rsidR="004E0CD1" w:rsidRDefault="000A567D" w:rsidP="004E0CD1">
      <w:pPr>
        <w:pStyle w:val="Heading1"/>
      </w:pPr>
      <w:r>
        <w:t xml:space="preserve">2. </w:t>
      </w:r>
      <w:r>
        <w:tab/>
      </w:r>
      <w:r w:rsidR="002A1C01">
        <w:t>Discussion</w:t>
      </w:r>
    </w:p>
    <w:p w14:paraId="073579B6" w14:textId="10379A2B" w:rsidR="001402C2" w:rsidRPr="00890720" w:rsidRDefault="001402C2" w:rsidP="00FC72AF">
      <w:pPr>
        <w:spacing w:after="120"/>
        <w:rPr>
          <w:rFonts w:asciiTheme="minorHAnsi" w:hAnsiTheme="minorHAnsi" w:cstheme="minorHAnsi"/>
        </w:rPr>
      </w:pPr>
      <w:r w:rsidRPr="00890720">
        <w:rPr>
          <w:rFonts w:asciiTheme="minorHAnsi" w:hAnsiTheme="minorHAnsi" w:cstheme="minorHAnsi"/>
        </w:rPr>
        <w:t xml:space="preserve">RAN5 poses the following </w:t>
      </w:r>
      <w:r w:rsidR="002D653A" w:rsidRPr="00890720">
        <w:rPr>
          <w:rFonts w:asciiTheme="minorHAnsi" w:hAnsiTheme="minorHAnsi" w:cstheme="minorHAnsi"/>
        </w:rPr>
        <w:t>questions (included as section heading)</w:t>
      </w:r>
      <w:r w:rsidR="00CB2D7E" w:rsidRPr="00890720">
        <w:rPr>
          <w:rFonts w:asciiTheme="minorHAnsi" w:hAnsiTheme="minorHAnsi" w:cstheme="minorHAnsi"/>
        </w:rPr>
        <w:t xml:space="preserve">. We include </w:t>
      </w:r>
      <w:r w:rsidRPr="00890720">
        <w:rPr>
          <w:rFonts w:asciiTheme="minorHAnsi" w:hAnsiTheme="minorHAnsi" w:cstheme="minorHAnsi"/>
        </w:rPr>
        <w:t>our understanding of the requirement</w:t>
      </w:r>
      <w:r w:rsidR="00CB2D7E" w:rsidRPr="00890720">
        <w:rPr>
          <w:rFonts w:asciiTheme="minorHAnsi" w:hAnsiTheme="minorHAnsi" w:cstheme="minorHAnsi"/>
        </w:rPr>
        <w:t>s as it pertains to RAN5 query.</w:t>
      </w:r>
    </w:p>
    <w:p w14:paraId="4F2B3A2F" w14:textId="1D77348C" w:rsidR="001402C2" w:rsidRPr="00890720" w:rsidRDefault="002D653A" w:rsidP="002D653A">
      <w:pPr>
        <w:pStyle w:val="Heading3"/>
        <w:rPr>
          <w:rFonts w:asciiTheme="minorHAnsi" w:hAnsiTheme="minorHAnsi" w:cstheme="minorHAnsi"/>
        </w:rPr>
      </w:pPr>
      <w:r w:rsidRPr="00890720">
        <w:rPr>
          <w:rFonts w:asciiTheme="minorHAnsi" w:hAnsiTheme="minorHAnsi" w:cstheme="minorHAnsi"/>
        </w:rPr>
        <w:t>2.1</w:t>
      </w:r>
      <w:r w:rsidRPr="00890720">
        <w:rPr>
          <w:rFonts w:asciiTheme="minorHAnsi" w:hAnsiTheme="minorHAnsi" w:cstheme="minorHAnsi"/>
        </w:rPr>
        <w:tab/>
        <w:t>C</w:t>
      </w:r>
      <w:r w:rsidR="001402C2" w:rsidRPr="00890720">
        <w:rPr>
          <w:rFonts w:asciiTheme="minorHAnsi" w:hAnsiTheme="minorHAnsi" w:cstheme="minorHAnsi"/>
        </w:rPr>
        <w:t xml:space="preserve">larify which should be the value of relative power tolerance for PUSCH to PUSCH transitions for a power step </w:t>
      </w:r>
      <w:r w:rsidR="001402C2" w:rsidRPr="00890720">
        <w:rPr>
          <w:rFonts w:asciiTheme="minorHAnsi" w:hAnsiTheme="minorHAnsi" w:cstheme="minorHAnsi"/>
        </w:rPr>
        <w:sym w:font="Symbol" w:char="F044"/>
      </w:r>
      <w:r w:rsidR="001402C2" w:rsidRPr="00890720">
        <w:rPr>
          <w:rFonts w:asciiTheme="minorHAnsi" w:hAnsiTheme="minorHAnsi" w:cstheme="minorHAnsi"/>
        </w:rPr>
        <w:t>P=1dB for the case P</w:t>
      </w:r>
      <w:r w:rsidR="001402C2" w:rsidRPr="00890720">
        <w:rPr>
          <w:rFonts w:asciiTheme="minorHAnsi" w:hAnsiTheme="minorHAnsi" w:cstheme="minorHAnsi"/>
          <w:vertAlign w:val="subscript"/>
        </w:rPr>
        <w:t>int</w:t>
      </w:r>
      <w:r w:rsidR="001402C2" w:rsidRPr="00890720">
        <w:rPr>
          <w:rFonts w:asciiTheme="minorHAnsi" w:hAnsiTheme="minorHAnsi" w:cstheme="minorHAnsi"/>
        </w:rPr>
        <w:t xml:space="preserve"> ≥ P ≥ P</w:t>
      </w:r>
      <w:r w:rsidR="001402C2" w:rsidRPr="00890720">
        <w:rPr>
          <w:rFonts w:asciiTheme="minorHAnsi" w:hAnsiTheme="minorHAnsi" w:cstheme="minorHAnsi"/>
          <w:vertAlign w:val="subscript"/>
        </w:rPr>
        <w:t>min</w:t>
      </w:r>
      <w:r w:rsidR="001402C2" w:rsidRPr="00890720">
        <w:rPr>
          <w:rFonts w:asciiTheme="minorHAnsi" w:hAnsiTheme="minorHAnsi" w:cstheme="minorHAnsi"/>
        </w:rPr>
        <w:t>.</w:t>
      </w:r>
    </w:p>
    <w:p w14:paraId="11E21A77" w14:textId="7E7C130A" w:rsidR="00AC1A83" w:rsidRDefault="002D653A" w:rsidP="002D653A">
      <w:pPr>
        <w:spacing w:after="120"/>
        <w:rPr>
          <w:rFonts w:asciiTheme="minorHAnsi" w:hAnsiTheme="minorHAnsi" w:cstheme="minorHAnsi"/>
        </w:rPr>
      </w:pPr>
      <w:r w:rsidRPr="00890720">
        <w:rPr>
          <w:rFonts w:asciiTheme="minorHAnsi" w:hAnsiTheme="minorHAnsi" w:cstheme="minorHAnsi"/>
        </w:rPr>
        <w:t>As of V15.14 of TS38.101-2,</w:t>
      </w:r>
      <w:r w:rsidR="001402C2" w:rsidRPr="00890720">
        <w:rPr>
          <w:rFonts w:asciiTheme="minorHAnsi" w:hAnsiTheme="minorHAnsi" w:cstheme="minorHAnsi"/>
        </w:rPr>
        <w:t xml:space="preserve"> there is no requirement </w:t>
      </w:r>
      <w:r w:rsidR="00CC3755" w:rsidRPr="00890720">
        <w:rPr>
          <w:rFonts w:asciiTheme="minorHAnsi" w:hAnsiTheme="minorHAnsi" w:cstheme="minorHAnsi"/>
        </w:rPr>
        <w:t xml:space="preserve">on tolerance for </w:t>
      </w:r>
      <w:r w:rsidR="00862443">
        <w:rPr>
          <w:rFonts w:asciiTheme="minorHAnsi" w:hAnsiTheme="minorHAnsi" w:cstheme="minorHAnsi"/>
        </w:rPr>
        <w:t>∆</w:t>
      </w:r>
      <w:r w:rsidR="00CC3755" w:rsidRPr="00890720">
        <w:rPr>
          <w:rFonts w:asciiTheme="minorHAnsi" w:hAnsiTheme="minorHAnsi" w:cstheme="minorHAnsi"/>
        </w:rPr>
        <w:t xml:space="preserve">P </w:t>
      </w:r>
      <w:r w:rsidR="006F2AAE" w:rsidRPr="00890720">
        <w:rPr>
          <w:rFonts w:asciiTheme="minorHAnsi" w:hAnsiTheme="minorHAnsi" w:cstheme="minorHAnsi"/>
        </w:rPr>
        <w:t xml:space="preserve">= 1 </w:t>
      </w:r>
      <w:r w:rsidR="00CB2D7E" w:rsidRPr="00890720">
        <w:rPr>
          <w:rFonts w:asciiTheme="minorHAnsi" w:hAnsiTheme="minorHAnsi" w:cstheme="minorHAnsi"/>
        </w:rPr>
        <w:t>dB for the P</w:t>
      </w:r>
      <w:r w:rsidR="00CB2D7E" w:rsidRPr="00890720">
        <w:rPr>
          <w:rFonts w:asciiTheme="minorHAnsi" w:hAnsiTheme="minorHAnsi" w:cstheme="minorHAnsi"/>
          <w:vertAlign w:val="subscript"/>
        </w:rPr>
        <w:t>int</w:t>
      </w:r>
      <w:r w:rsidR="00CB2D7E" w:rsidRPr="00890720">
        <w:rPr>
          <w:rFonts w:asciiTheme="minorHAnsi" w:hAnsiTheme="minorHAnsi" w:cstheme="minorHAnsi"/>
        </w:rPr>
        <w:t xml:space="preserve"> ≥ P ≥ P</w:t>
      </w:r>
      <w:r w:rsidR="00CB2D7E" w:rsidRPr="00890720">
        <w:rPr>
          <w:rFonts w:asciiTheme="minorHAnsi" w:hAnsiTheme="minorHAnsi" w:cstheme="minorHAnsi"/>
          <w:vertAlign w:val="subscript"/>
        </w:rPr>
        <w:t>min</w:t>
      </w:r>
      <w:r w:rsidR="00CB2D7E" w:rsidRPr="00890720">
        <w:rPr>
          <w:rFonts w:asciiTheme="minorHAnsi" w:hAnsiTheme="minorHAnsi" w:cstheme="minorHAnsi"/>
        </w:rPr>
        <w:t xml:space="preserve"> range</w:t>
      </w:r>
      <w:r w:rsidR="001402C2" w:rsidRPr="00890720">
        <w:rPr>
          <w:rFonts w:asciiTheme="minorHAnsi" w:hAnsiTheme="minorHAnsi" w:cstheme="minorHAnsi"/>
        </w:rPr>
        <w:t>.</w:t>
      </w:r>
      <w:r w:rsidR="006344B9">
        <w:rPr>
          <w:rFonts w:asciiTheme="minorHAnsi" w:hAnsiTheme="minorHAnsi" w:cstheme="minorHAnsi"/>
        </w:rPr>
        <w:t xml:space="preserve"> </w:t>
      </w:r>
      <w:r w:rsidR="00CC3755" w:rsidRPr="00890720">
        <w:rPr>
          <w:rFonts w:asciiTheme="minorHAnsi" w:hAnsiTheme="minorHAnsi" w:cstheme="minorHAnsi"/>
        </w:rPr>
        <w:t xml:space="preserve"> </w:t>
      </w:r>
    </w:p>
    <w:p w14:paraId="497ECD34" w14:textId="6E020F05" w:rsidR="001402C2" w:rsidRPr="00890720" w:rsidRDefault="00CC3755" w:rsidP="002D653A">
      <w:pPr>
        <w:spacing w:after="120"/>
        <w:rPr>
          <w:rFonts w:asciiTheme="minorHAnsi" w:hAnsiTheme="minorHAnsi" w:cstheme="minorHAnsi"/>
        </w:rPr>
      </w:pPr>
      <w:r w:rsidRPr="00890720">
        <w:rPr>
          <w:rFonts w:asciiTheme="minorHAnsi" w:hAnsiTheme="minorHAnsi" w:cstheme="minorHAnsi"/>
        </w:rPr>
        <w:t xml:space="preserve">From a system perspective however, </w:t>
      </w:r>
      <w:r w:rsidR="00AC1A83">
        <w:rPr>
          <w:rFonts w:asciiTheme="minorHAnsi" w:hAnsiTheme="minorHAnsi" w:cstheme="minorHAnsi"/>
        </w:rPr>
        <w:t>it is beneficial to investigate if a new requirement can be instituted in a way that all UEs (Rel-15 onwards) can meet. T</w:t>
      </w:r>
      <w:r w:rsidRPr="00890720">
        <w:rPr>
          <w:rFonts w:asciiTheme="minorHAnsi" w:hAnsiTheme="minorHAnsi" w:cstheme="minorHAnsi"/>
        </w:rPr>
        <w:t>he tolerance requirement</w:t>
      </w:r>
      <w:r w:rsidR="00160834">
        <w:rPr>
          <w:rFonts w:asciiTheme="minorHAnsi" w:hAnsiTheme="minorHAnsi" w:cstheme="minorHAnsi"/>
        </w:rPr>
        <w:t xml:space="preserve"> of Note 2 in table 6.3.4.3-2</w:t>
      </w:r>
      <w:r w:rsidRPr="00890720">
        <w:rPr>
          <w:rFonts w:asciiTheme="minorHAnsi" w:hAnsiTheme="minorHAnsi" w:cstheme="minorHAnsi"/>
        </w:rPr>
        <w:t xml:space="preserve"> </w:t>
      </w:r>
      <w:r w:rsidR="002D653A" w:rsidRPr="00890720">
        <w:rPr>
          <w:rFonts w:asciiTheme="minorHAnsi" w:hAnsiTheme="minorHAnsi" w:cstheme="minorHAnsi"/>
        </w:rPr>
        <w:t xml:space="preserve">(+/-1.0 dB) </w:t>
      </w:r>
      <w:r w:rsidRPr="00890720">
        <w:rPr>
          <w:rFonts w:asciiTheme="minorHAnsi" w:hAnsiTheme="minorHAnsi" w:cstheme="minorHAnsi"/>
        </w:rPr>
        <w:t xml:space="preserve">for </w:t>
      </w:r>
      <w:r w:rsidR="00862443">
        <w:rPr>
          <w:rFonts w:asciiTheme="minorHAnsi" w:hAnsiTheme="minorHAnsi" w:cstheme="minorHAnsi"/>
        </w:rPr>
        <w:t>∆</w:t>
      </w:r>
      <w:r w:rsidR="00862443" w:rsidRPr="00890720">
        <w:rPr>
          <w:rFonts w:asciiTheme="minorHAnsi" w:hAnsiTheme="minorHAnsi" w:cstheme="minorHAnsi"/>
        </w:rPr>
        <w:t>P</w:t>
      </w:r>
      <w:r w:rsidRPr="00890720">
        <w:rPr>
          <w:rFonts w:asciiTheme="minorHAnsi" w:hAnsiTheme="minorHAnsi" w:cstheme="minorHAnsi"/>
        </w:rPr>
        <w:t xml:space="preserve"> =1 is significant because it remains unique</w:t>
      </w:r>
      <w:r w:rsidR="00160834">
        <w:rPr>
          <w:rFonts w:asciiTheme="minorHAnsi" w:hAnsiTheme="minorHAnsi" w:cstheme="minorHAnsi"/>
        </w:rPr>
        <w:t xml:space="preserve"> among all power control requirements</w:t>
      </w:r>
      <w:r w:rsidRPr="00890720">
        <w:rPr>
          <w:rFonts w:asciiTheme="minorHAnsi" w:hAnsiTheme="minorHAnsi" w:cstheme="minorHAnsi"/>
        </w:rPr>
        <w:t xml:space="preserve"> in enforcing predictable power control behaviour in the UE</w:t>
      </w:r>
      <w:r w:rsidR="00160834">
        <w:rPr>
          <w:rFonts w:asciiTheme="minorHAnsi" w:hAnsiTheme="minorHAnsi" w:cstheme="minorHAnsi"/>
        </w:rPr>
        <w:t xml:space="preserve"> under </w:t>
      </w:r>
      <w:r w:rsidR="002C7397">
        <w:rPr>
          <w:rFonts w:asciiTheme="minorHAnsi" w:hAnsiTheme="minorHAnsi" w:cstheme="minorHAnsi"/>
        </w:rPr>
        <w:t xml:space="preserve">the special condition of </w:t>
      </w:r>
      <w:r w:rsidR="00160834">
        <w:rPr>
          <w:rFonts w:asciiTheme="minorHAnsi" w:hAnsiTheme="minorHAnsi" w:cstheme="minorHAnsi"/>
        </w:rPr>
        <w:t>unchanged UL RB allocation</w:t>
      </w:r>
      <w:r w:rsidRPr="00890720">
        <w:rPr>
          <w:rFonts w:asciiTheme="minorHAnsi" w:hAnsiTheme="minorHAnsi" w:cstheme="minorHAnsi"/>
        </w:rPr>
        <w:t>.</w:t>
      </w:r>
      <w:r w:rsidR="00CB2D7E" w:rsidRPr="00890720">
        <w:rPr>
          <w:rFonts w:asciiTheme="minorHAnsi" w:hAnsiTheme="minorHAnsi" w:cstheme="minorHAnsi"/>
        </w:rPr>
        <w:t xml:space="preserve"> </w:t>
      </w:r>
      <w:r w:rsidRPr="00890720">
        <w:rPr>
          <w:rFonts w:asciiTheme="minorHAnsi" w:hAnsiTheme="minorHAnsi" w:cstheme="minorHAnsi"/>
        </w:rPr>
        <w:t xml:space="preserve">Consequently, there is a system enhancement motivation to adopt a </w:t>
      </w:r>
      <w:r w:rsidR="006F2AAE" w:rsidRPr="00890720">
        <w:rPr>
          <w:rFonts w:asciiTheme="minorHAnsi" w:hAnsiTheme="minorHAnsi" w:cstheme="minorHAnsi"/>
        </w:rPr>
        <w:t>+/1</w:t>
      </w:r>
      <w:r w:rsidR="002D653A" w:rsidRPr="00890720">
        <w:rPr>
          <w:rFonts w:asciiTheme="minorHAnsi" w:hAnsiTheme="minorHAnsi" w:cstheme="minorHAnsi"/>
        </w:rPr>
        <w:t>.0</w:t>
      </w:r>
      <w:r w:rsidR="006F2AAE" w:rsidRPr="00890720">
        <w:rPr>
          <w:rFonts w:asciiTheme="minorHAnsi" w:hAnsiTheme="minorHAnsi" w:cstheme="minorHAnsi"/>
        </w:rPr>
        <w:t xml:space="preserve"> dB tolerance for</w:t>
      </w:r>
      <w:r w:rsidR="002D653A" w:rsidRPr="00890720">
        <w:rPr>
          <w:rFonts w:asciiTheme="minorHAnsi" w:hAnsiTheme="minorHAnsi" w:cstheme="minorHAnsi"/>
        </w:rPr>
        <w:t xml:space="preserve"> the</w:t>
      </w:r>
      <w:r w:rsidR="006F2AAE" w:rsidRPr="00890720">
        <w:rPr>
          <w:rFonts w:asciiTheme="minorHAnsi" w:hAnsiTheme="minorHAnsi" w:cstheme="minorHAnsi"/>
        </w:rPr>
        <w:t xml:space="preserve"> P</w:t>
      </w:r>
      <w:r w:rsidR="006F2AAE" w:rsidRPr="00890720">
        <w:rPr>
          <w:rFonts w:asciiTheme="minorHAnsi" w:hAnsiTheme="minorHAnsi" w:cstheme="minorHAnsi"/>
          <w:vertAlign w:val="subscript"/>
        </w:rPr>
        <w:t>int</w:t>
      </w:r>
      <w:r w:rsidR="006F2AAE" w:rsidRPr="00890720">
        <w:rPr>
          <w:rFonts w:asciiTheme="minorHAnsi" w:hAnsiTheme="minorHAnsi" w:cstheme="minorHAnsi"/>
        </w:rPr>
        <w:t xml:space="preserve"> ≥ P ≥ P</w:t>
      </w:r>
      <w:r w:rsidR="006F2AAE" w:rsidRPr="00890720">
        <w:rPr>
          <w:rFonts w:asciiTheme="minorHAnsi" w:hAnsiTheme="minorHAnsi" w:cstheme="minorHAnsi"/>
          <w:vertAlign w:val="subscript"/>
        </w:rPr>
        <w:t>min</w:t>
      </w:r>
      <w:r w:rsidRPr="00890720">
        <w:rPr>
          <w:rFonts w:asciiTheme="minorHAnsi" w:hAnsiTheme="minorHAnsi" w:cstheme="minorHAnsi"/>
        </w:rPr>
        <w:t xml:space="preserve"> </w:t>
      </w:r>
      <w:r w:rsidR="002D653A" w:rsidRPr="00890720">
        <w:rPr>
          <w:rFonts w:asciiTheme="minorHAnsi" w:hAnsiTheme="minorHAnsi" w:cstheme="minorHAnsi"/>
        </w:rPr>
        <w:t>range also</w:t>
      </w:r>
      <w:r w:rsidR="001402C2" w:rsidRPr="00890720">
        <w:rPr>
          <w:rFonts w:asciiTheme="minorHAnsi" w:hAnsiTheme="minorHAnsi" w:cstheme="minorHAnsi"/>
        </w:rPr>
        <w:t>.</w:t>
      </w:r>
      <w:r w:rsidR="00AC1A83">
        <w:rPr>
          <w:rFonts w:asciiTheme="minorHAnsi" w:hAnsiTheme="minorHAnsi" w:cstheme="minorHAnsi"/>
        </w:rPr>
        <w:t xml:space="preserve"> </w:t>
      </w:r>
    </w:p>
    <w:p w14:paraId="280FC048" w14:textId="2B3AA538" w:rsidR="002D653A" w:rsidRPr="00890720" w:rsidRDefault="002D653A" w:rsidP="002D653A">
      <w:pPr>
        <w:spacing w:after="120"/>
        <w:rPr>
          <w:rFonts w:asciiTheme="minorHAnsi" w:hAnsiTheme="minorHAnsi" w:cstheme="minorHAnsi"/>
          <w:b/>
          <w:bCs/>
        </w:rPr>
      </w:pPr>
      <w:r w:rsidRPr="00890720">
        <w:rPr>
          <w:rFonts w:asciiTheme="minorHAnsi" w:hAnsiTheme="minorHAnsi" w:cstheme="minorHAnsi"/>
          <w:b/>
          <w:bCs/>
        </w:rPr>
        <w:t>Proposal 1: RAN4 to discuss if note 2 in table 6.3.4.3-2 can apply to table 6.3.4.3-1</w:t>
      </w:r>
      <w:r w:rsidR="00511F3D" w:rsidRPr="00890720">
        <w:rPr>
          <w:rFonts w:asciiTheme="minorHAnsi" w:hAnsiTheme="minorHAnsi" w:cstheme="minorHAnsi"/>
          <w:b/>
          <w:bCs/>
        </w:rPr>
        <w:t xml:space="preserve"> also</w:t>
      </w:r>
      <w:r w:rsidRPr="00890720">
        <w:rPr>
          <w:rFonts w:asciiTheme="minorHAnsi" w:hAnsiTheme="minorHAnsi" w:cstheme="minorHAnsi"/>
          <w:b/>
          <w:bCs/>
        </w:rPr>
        <w:t xml:space="preserve">, towards </w:t>
      </w:r>
      <w:r w:rsidR="002C7397">
        <w:rPr>
          <w:rFonts w:asciiTheme="minorHAnsi" w:hAnsiTheme="minorHAnsi" w:cstheme="minorHAnsi"/>
          <w:b/>
          <w:bCs/>
        </w:rPr>
        <w:t>accommodating the request in</w:t>
      </w:r>
      <w:r w:rsidRPr="00890720">
        <w:rPr>
          <w:rFonts w:asciiTheme="minorHAnsi" w:hAnsiTheme="minorHAnsi" w:cstheme="minorHAnsi"/>
          <w:b/>
          <w:bCs/>
        </w:rPr>
        <w:t xml:space="preserve"> </w:t>
      </w:r>
      <w:r w:rsidR="00511F3D" w:rsidRPr="00890720">
        <w:rPr>
          <w:rFonts w:asciiTheme="minorHAnsi" w:hAnsiTheme="minorHAnsi" w:cstheme="minorHAnsi"/>
          <w:b/>
          <w:bCs/>
        </w:rPr>
        <w:t xml:space="preserve">the </w:t>
      </w:r>
      <w:r w:rsidRPr="00890720">
        <w:rPr>
          <w:rFonts w:asciiTheme="minorHAnsi" w:hAnsiTheme="minorHAnsi" w:cstheme="minorHAnsi"/>
          <w:b/>
          <w:bCs/>
        </w:rPr>
        <w:t>LS from RAN5</w:t>
      </w:r>
      <w:r w:rsidR="00511F3D" w:rsidRPr="00890720">
        <w:rPr>
          <w:rFonts w:asciiTheme="minorHAnsi" w:hAnsiTheme="minorHAnsi" w:cstheme="minorHAnsi"/>
          <w:b/>
          <w:bCs/>
        </w:rPr>
        <w:t xml:space="preserve"> [1]</w:t>
      </w:r>
      <w:r w:rsidRPr="00890720">
        <w:rPr>
          <w:rFonts w:asciiTheme="minorHAnsi" w:hAnsiTheme="minorHAnsi" w:cstheme="minorHAnsi"/>
          <w:b/>
          <w:bCs/>
        </w:rPr>
        <w:t xml:space="preserve">. </w:t>
      </w:r>
    </w:p>
    <w:p w14:paraId="27C1E3E9" w14:textId="59598183" w:rsidR="00C21EA4" w:rsidRPr="00890720" w:rsidRDefault="00C21EA4" w:rsidP="002D653A">
      <w:pPr>
        <w:spacing w:after="120"/>
        <w:rPr>
          <w:rFonts w:asciiTheme="minorHAnsi" w:hAnsiTheme="minorHAnsi" w:cstheme="minorHAnsi"/>
        </w:rPr>
      </w:pPr>
      <w:r w:rsidRPr="00890720">
        <w:rPr>
          <w:rFonts w:asciiTheme="minorHAnsi" w:hAnsiTheme="minorHAnsi" w:cstheme="minorHAnsi"/>
        </w:rPr>
        <w:t xml:space="preserve">Other supporting </w:t>
      </w:r>
      <w:r w:rsidR="00FD1652">
        <w:rPr>
          <w:rFonts w:asciiTheme="minorHAnsi" w:hAnsiTheme="minorHAnsi" w:cstheme="minorHAnsi"/>
        </w:rPr>
        <w:t>test conditions or exemptions</w:t>
      </w:r>
      <w:r w:rsidRPr="00890720">
        <w:rPr>
          <w:rFonts w:asciiTheme="minorHAnsi" w:hAnsiTheme="minorHAnsi" w:cstheme="minorHAnsi"/>
        </w:rPr>
        <w:t xml:space="preserve"> </w:t>
      </w:r>
      <w:r w:rsidR="00862443">
        <w:rPr>
          <w:rFonts w:asciiTheme="minorHAnsi" w:hAnsiTheme="minorHAnsi" w:cstheme="minorHAnsi"/>
        </w:rPr>
        <w:t>may need to</w:t>
      </w:r>
      <w:r w:rsidRPr="00890720">
        <w:rPr>
          <w:rFonts w:asciiTheme="minorHAnsi" w:hAnsiTheme="minorHAnsi" w:cstheme="minorHAnsi"/>
        </w:rPr>
        <w:t xml:space="preserve"> be considered as a package</w:t>
      </w:r>
      <w:r w:rsidR="00160834">
        <w:rPr>
          <w:rFonts w:asciiTheme="minorHAnsi" w:hAnsiTheme="minorHAnsi" w:cstheme="minorHAnsi"/>
        </w:rPr>
        <w:t xml:space="preserve"> to enable </w:t>
      </w:r>
      <w:r w:rsidR="00FD1652">
        <w:rPr>
          <w:rFonts w:asciiTheme="minorHAnsi" w:hAnsiTheme="minorHAnsi" w:cstheme="minorHAnsi"/>
        </w:rPr>
        <w:t xml:space="preserve">compliance by </w:t>
      </w:r>
      <w:r w:rsidR="00160834">
        <w:rPr>
          <w:rFonts w:asciiTheme="minorHAnsi" w:hAnsiTheme="minorHAnsi" w:cstheme="minorHAnsi"/>
        </w:rPr>
        <w:t>older UEs.</w:t>
      </w:r>
    </w:p>
    <w:p w14:paraId="4863FD5B" w14:textId="0FB4556F" w:rsidR="001402C2" w:rsidRPr="00890720" w:rsidRDefault="002D653A" w:rsidP="002D653A">
      <w:pPr>
        <w:pStyle w:val="Heading3"/>
        <w:rPr>
          <w:rFonts w:asciiTheme="minorHAnsi" w:hAnsiTheme="minorHAnsi" w:cstheme="minorHAnsi"/>
        </w:rPr>
      </w:pPr>
      <w:r w:rsidRPr="00890720">
        <w:rPr>
          <w:rFonts w:asciiTheme="minorHAnsi" w:hAnsiTheme="minorHAnsi" w:cstheme="minorHAnsi"/>
        </w:rPr>
        <w:t>2.2</w:t>
      </w:r>
      <w:r w:rsidRPr="00890720">
        <w:rPr>
          <w:rFonts w:asciiTheme="minorHAnsi" w:hAnsiTheme="minorHAnsi" w:cstheme="minorHAnsi"/>
        </w:rPr>
        <w:tab/>
        <w:t>C</w:t>
      </w:r>
      <w:r w:rsidR="001402C2" w:rsidRPr="00890720">
        <w:rPr>
          <w:rFonts w:asciiTheme="minorHAnsi" w:hAnsiTheme="minorHAnsi" w:cstheme="minorHAnsi"/>
        </w:rPr>
        <w:t xml:space="preserve">larify whether 3 exceptions are allowed </w:t>
      </w:r>
      <w:r w:rsidR="001402C2" w:rsidRPr="00890720">
        <w:rPr>
          <w:rFonts w:asciiTheme="minorHAnsi" w:hAnsiTheme="minorHAnsi" w:cstheme="minorHAnsi"/>
          <w:lang w:val="en-US"/>
        </w:rPr>
        <w:t>for the whole dynamic range addressed in both tables 6.3.4.3-1 and 6.3.4.3-2 or whether 3 exceptions are allowed for each table.</w:t>
      </w:r>
    </w:p>
    <w:p w14:paraId="2252E763" w14:textId="4EDF452D" w:rsidR="001402C2" w:rsidRPr="00890720" w:rsidRDefault="001402C2" w:rsidP="002D653A">
      <w:pPr>
        <w:spacing w:after="120"/>
        <w:rPr>
          <w:rFonts w:asciiTheme="minorHAnsi" w:hAnsiTheme="minorHAnsi" w:cstheme="minorHAnsi"/>
        </w:rPr>
      </w:pPr>
      <w:r w:rsidRPr="00890720">
        <w:rPr>
          <w:rFonts w:asciiTheme="minorHAnsi" w:hAnsiTheme="minorHAnsi" w:cstheme="minorHAnsi"/>
          <w:lang w:val="en-US"/>
        </w:rPr>
        <w:t xml:space="preserve">The 3 exceptions apply to </w:t>
      </w:r>
      <w:r w:rsidR="002D653A" w:rsidRPr="00890720">
        <w:rPr>
          <w:rFonts w:asciiTheme="minorHAnsi" w:hAnsiTheme="minorHAnsi" w:cstheme="minorHAnsi"/>
          <w:lang w:val="en-US"/>
        </w:rPr>
        <w:t>‘</w:t>
      </w:r>
      <w:r w:rsidRPr="00890720">
        <w:rPr>
          <w:rFonts w:asciiTheme="minorHAnsi" w:hAnsiTheme="minorHAnsi" w:cstheme="minorHAnsi"/>
          <w:i/>
          <w:iCs/>
          <w:lang w:val="en-US"/>
        </w:rPr>
        <w:t>the</w:t>
      </w:r>
      <w:r w:rsidRPr="00890720">
        <w:rPr>
          <w:rFonts w:asciiTheme="minorHAnsi" w:hAnsiTheme="minorHAnsi" w:cstheme="minorHAnsi"/>
          <w:lang w:val="en-US"/>
        </w:rPr>
        <w:t xml:space="preserve"> </w:t>
      </w:r>
      <w:r w:rsidR="00D54547" w:rsidRPr="00890720">
        <w:rPr>
          <w:rFonts w:asciiTheme="minorHAnsi" w:hAnsiTheme="minorHAnsi" w:cstheme="minorHAnsi"/>
          <w:i/>
          <w:iCs/>
          <w:lang w:val="en-US"/>
        </w:rPr>
        <w:t>range</w:t>
      </w:r>
      <w:r w:rsidR="00D54547" w:rsidRPr="00890720">
        <w:rPr>
          <w:rFonts w:asciiTheme="minorHAnsi" w:hAnsiTheme="minorHAnsi" w:cstheme="minorHAnsi"/>
          <w:lang w:val="en-US"/>
        </w:rPr>
        <w:t xml:space="preserve"> specified for Tables 6.3.4.3-1 and 6.3.4.3-2’</w:t>
      </w:r>
      <w:r w:rsidR="002D653A" w:rsidRPr="00890720">
        <w:rPr>
          <w:rFonts w:asciiTheme="minorHAnsi" w:hAnsiTheme="minorHAnsi" w:cstheme="minorHAnsi"/>
          <w:lang w:val="en-US"/>
        </w:rPr>
        <w:t xml:space="preserve"> per </w:t>
      </w:r>
      <w:r w:rsidR="002D653A" w:rsidRPr="00890720">
        <w:rPr>
          <w:rFonts w:asciiTheme="minorHAnsi" w:hAnsiTheme="minorHAnsi" w:cstheme="minorHAnsi"/>
        </w:rPr>
        <w:t>V15.14 of TS38.101-2</w:t>
      </w:r>
      <w:r w:rsidR="00D54547" w:rsidRPr="00890720">
        <w:rPr>
          <w:rFonts w:asciiTheme="minorHAnsi" w:hAnsiTheme="minorHAnsi" w:cstheme="minorHAnsi"/>
          <w:lang w:val="en-US"/>
        </w:rPr>
        <w:t xml:space="preserve">. </w:t>
      </w:r>
      <w:r w:rsidR="002D653A" w:rsidRPr="00890720">
        <w:rPr>
          <w:rFonts w:asciiTheme="minorHAnsi" w:hAnsiTheme="minorHAnsi" w:cstheme="minorHAnsi"/>
          <w:lang w:val="en-US"/>
        </w:rPr>
        <w:t xml:space="preserve">The wording evidently refers to </w:t>
      </w:r>
      <w:r w:rsidR="00D54547" w:rsidRPr="00890720">
        <w:rPr>
          <w:rFonts w:asciiTheme="minorHAnsi" w:hAnsiTheme="minorHAnsi" w:cstheme="minorHAnsi"/>
          <w:i/>
          <w:iCs/>
          <w:lang w:val="en-US"/>
        </w:rPr>
        <w:t>one</w:t>
      </w:r>
      <w:r w:rsidR="00D54547" w:rsidRPr="00890720">
        <w:rPr>
          <w:rFonts w:asciiTheme="minorHAnsi" w:hAnsiTheme="minorHAnsi" w:cstheme="minorHAnsi"/>
          <w:lang w:val="en-US"/>
        </w:rPr>
        <w:t xml:space="preserve"> range covered by </w:t>
      </w:r>
      <w:r w:rsidR="008C3BF3" w:rsidRPr="00890720">
        <w:rPr>
          <w:rFonts w:asciiTheme="minorHAnsi" w:hAnsiTheme="minorHAnsi" w:cstheme="minorHAnsi"/>
          <w:lang w:val="en-US"/>
        </w:rPr>
        <w:t>the</w:t>
      </w:r>
      <w:r w:rsidR="00D54547" w:rsidRPr="00890720">
        <w:rPr>
          <w:rFonts w:asciiTheme="minorHAnsi" w:hAnsiTheme="minorHAnsi" w:cstheme="minorHAnsi"/>
          <w:lang w:val="en-US"/>
        </w:rPr>
        <w:t xml:space="preserve"> tables. We therefore believe the exceptions apply to the full EIRP range </w:t>
      </w:r>
      <w:r w:rsidR="00D54547" w:rsidRPr="00890720">
        <w:rPr>
          <w:rFonts w:asciiTheme="minorHAnsi" w:hAnsiTheme="minorHAnsi" w:cstheme="minorHAnsi"/>
          <w:i/>
          <w:iCs/>
        </w:rPr>
        <w:t>P</w:t>
      </w:r>
      <w:r w:rsidR="008C3BF3" w:rsidRPr="00890720">
        <w:rPr>
          <w:rFonts w:asciiTheme="minorHAnsi" w:hAnsiTheme="minorHAnsi" w:cstheme="minorHAnsi"/>
          <w:i/>
          <w:iCs/>
          <w:vertAlign w:val="subscript"/>
        </w:rPr>
        <w:t>U</w:t>
      </w:r>
      <w:r w:rsidR="00D54547" w:rsidRPr="00890720">
        <w:rPr>
          <w:rFonts w:asciiTheme="minorHAnsi" w:hAnsiTheme="minorHAnsi" w:cstheme="minorHAnsi"/>
          <w:i/>
          <w:iCs/>
          <w:vertAlign w:val="subscript"/>
        </w:rPr>
        <w:t>max</w:t>
      </w:r>
      <w:r w:rsidR="00D54547" w:rsidRPr="00890720">
        <w:rPr>
          <w:rFonts w:asciiTheme="minorHAnsi" w:hAnsiTheme="minorHAnsi" w:cstheme="minorHAnsi"/>
          <w:i/>
          <w:iCs/>
        </w:rPr>
        <w:t xml:space="preserve"> ≥ P ≥ P</w:t>
      </w:r>
      <w:r w:rsidR="00D54547" w:rsidRPr="00890720">
        <w:rPr>
          <w:rFonts w:asciiTheme="minorHAnsi" w:hAnsiTheme="minorHAnsi" w:cstheme="minorHAnsi"/>
          <w:i/>
          <w:iCs/>
          <w:vertAlign w:val="subscript"/>
        </w:rPr>
        <w:t>min</w:t>
      </w:r>
    </w:p>
    <w:p w14:paraId="3EFB758F" w14:textId="7AD35BB1" w:rsidR="001402C2" w:rsidRPr="00890720" w:rsidRDefault="002D653A" w:rsidP="002D653A">
      <w:pPr>
        <w:pStyle w:val="Heading3"/>
        <w:rPr>
          <w:rFonts w:asciiTheme="minorHAnsi" w:hAnsiTheme="minorHAnsi" w:cstheme="minorHAnsi"/>
        </w:rPr>
      </w:pPr>
      <w:r w:rsidRPr="00890720">
        <w:rPr>
          <w:rFonts w:asciiTheme="minorHAnsi" w:hAnsiTheme="minorHAnsi" w:cstheme="minorHAnsi"/>
        </w:rPr>
        <w:t>2.3</w:t>
      </w:r>
      <w:r w:rsidRPr="00890720">
        <w:rPr>
          <w:rFonts w:asciiTheme="minorHAnsi" w:hAnsiTheme="minorHAnsi" w:cstheme="minorHAnsi"/>
        </w:rPr>
        <w:tab/>
      </w:r>
      <w:r w:rsidR="00814B48" w:rsidRPr="00890720">
        <w:rPr>
          <w:rFonts w:asciiTheme="minorHAnsi" w:hAnsiTheme="minorHAnsi" w:cstheme="minorHAnsi"/>
        </w:rPr>
        <w:t>C</w:t>
      </w:r>
      <w:r w:rsidR="001402C2" w:rsidRPr="00890720">
        <w:rPr>
          <w:rFonts w:asciiTheme="minorHAnsi" w:hAnsiTheme="minorHAnsi" w:cstheme="minorHAnsi"/>
        </w:rPr>
        <w:t>onsider the possibility of combining the 2 power ranges into one to improve the number of measurable power steps when testing a specific requirement.</w:t>
      </w:r>
    </w:p>
    <w:p w14:paraId="654B7F47" w14:textId="4B56C0B8" w:rsidR="00565166" w:rsidRDefault="00FD1652" w:rsidP="002D653A">
      <w:pPr>
        <w:spacing w:after="120"/>
        <w:rPr>
          <w:rFonts w:asciiTheme="minorHAnsi" w:hAnsiTheme="minorHAnsi" w:cstheme="minorHAnsi"/>
        </w:rPr>
      </w:pPr>
      <w:r>
        <w:rPr>
          <w:rFonts w:asciiTheme="minorHAnsi" w:hAnsiTheme="minorHAnsi" w:cstheme="minorHAnsi"/>
        </w:rPr>
        <w:t>This request may also need core requirement changes to accommodate</w:t>
      </w:r>
      <w:r w:rsidR="00C60C12">
        <w:rPr>
          <w:rFonts w:asciiTheme="minorHAnsi" w:hAnsiTheme="minorHAnsi" w:cstheme="minorHAnsi"/>
        </w:rPr>
        <w:t>. I</w:t>
      </w:r>
      <w:r>
        <w:rPr>
          <w:rFonts w:asciiTheme="minorHAnsi" w:hAnsiTheme="minorHAnsi" w:cstheme="minorHAnsi"/>
        </w:rPr>
        <w:t xml:space="preserve">t is useful to </w:t>
      </w:r>
      <w:r w:rsidR="00565166">
        <w:rPr>
          <w:rFonts w:asciiTheme="minorHAnsi" w:hAnsiTheme="minorHAnsi" w:cstheme="minorHAnsi"/>
        </w:rPr>
        <w:t xml:space="preserve">revisit </w:t>
      </w:r>
      <w:r w:rsidR="00C60C12">
        <w:rPr>
          <w:rFonts w:asciiTheme="minorHAnsi" w:hAnsiTheme="minorHAnsi" w:cstheme="minorHAnsi"/>
        </w:rPr>
        <w:t xml:space="preserve">at the outset, </w:t>
      </w:r>
      <w:r>
        <w:rPr>
          <w:rFonts w:asciiTheme="minorHAnsi" w:hAnsiTheme="minorHAnsi" w:cstheme="minorHAnsi"/>
        </w:rPr>
        <w:t xml:space="preserve">the justification for the two EIRP table ranges. </w:t>
      </w:r>
      <w:r w:rsidR="00565166">
        <w:rPr>
          <w:rFonts w:asciiTheme="minorHAnsi" w:hAnsiTheme="minorHAnsi" w:cstheme="minorHAnsi"/>
        </w:rPr>
        <w:t xml:space="preserve">Power control in principle consists of a power estimation or detection block and a gain control block. </w:t>
      </w:r>
      <w:r w:rsidR="00511F3D" w:rsidRPr="00890720">
        <w:rPr>
          <w:rFonts w:asciiTheme="minorHAnsi" w:hAnsiTheme="minorHAnsi" w:cstheme="minorHAnsi"/>
        </w:rPr>
        <w:t xml:space="preserve">Some </w:t>
      </w:r>
      <w:r w:rsidR="00565166">
        <w:rPr>
          <w:rFonts w:asciiTheme="minorHAnsi" w:hAnsiTheme="minorHAnsi" w:cstheme="minorHAnsi"/>
        </w:rPr>
        <w:t>detector implementations</w:t>
      </w:r>
      <w:r w:rsidR="00814B48" w:rsidRPr="00890720">
        <w:rPr>
          <w:rFonts w:asciiTheme="minorHAnsi" w:hAnsiTheme="minorHAnsi" w:cstheme="minorHAnsi"/>
        </w:rPr>
        <w:t xml:space="preserve"> can</w:t>
      </w:r>
      <w:r w:rsidR="00511F3D" w:rsidRPr="00890720">
        <w:rPr>
          <w:rFonts w:asciiTheme="minorHAnsi" w:hAnsiTheme="minorHAnsi" w:cstheme="minorHAnsi"/>
        </w:rPr>
        <w:t xml:space="preserve"> have inherently different uncertainties in different </w:t>
      </w:r>
      <w:r w:rsidR="00511F3D" w:rsidRPr="00890720">
        <w:rPr>
          <w:rFonts w:asciiTheme="minorHAnsi" w:hAnsiTheme="minorHAnsi" w:cstheme="minorHAnsi"/>
        </w:rPr>
        <w:lastRenderedPageBreak/>
        <w:t xml:space="preserve">output power ranges. </w:t>
      </w:r>
      <w:r w:rsidR="00565166">
        <w:rPr>
          <w:rFonts w:asciiTheme="minorHAnsi" w:hAnsiTheme="minorHAnsi" w:cstheme="minorHAnsi"/>
        </w:rPr>
        <w:t>Different detector uncertainties directly translate to</w:t>
      </w:r>
      <w:r w:rsidR="00814B48" w:rsidRPr="00890720">
        <w:rPr>
          <w:rFonts w:asciiTheme="minorHAnsi" w:hAnsiTheme="minorHAnsi" w:cstheme="minorHAnsi"/>
        </w:rPr>
        <w:t xml:space="preserve"> different expectations of </w:t>
      </w:r>
      <w:r w:rsidR="00565166">
        <w:rPr>
          <w:rFonts w:asciiTheme="minorHAnsi" w:hAnsiTheme="minorHAnsi" w:cstheme="minorHAnsi"/>
        </w:rPr>
        <w:t>accuracy</w:t>
      </w:r>
      <w:r w:rsidR="00814B48" w:rsidRPr="00890720">
        <w:rPr>
          <w:rFonts w:asciiTheme="minorHAnsi" w:hAnsiTheme="minorHAnsi" w:cstheme="minorHAnsi"/>
        </w:rPr>
        <w:t xml:space="preserve"> as a function of output power range. </w:t>
      </w:r>
      <w:r w:rsidR="00565166">
        <w:rPr>
          <w:rFonts w:asciiTheme="minorHAnsi" w:hAnsiTheme="minorHAnsi" w:cstheme="minorHAnsi"/>
        </w:rPr>
        <w:t>In Rel-15, the expectation of accuracy (tolerance) was classified into a coarse range and a fine range, for simplicity</w:t>
      </w:r>
      <w:r w:rsidR="00C60C12">
        <w:rPr>
          <w:rFonts w:asciiTheme="minorHAnsi" w:hAnsiTheme="minorHAnsi" w:cstheme="minorHAnsi"/>
        </w:rPr>
        <w:t>, giving rise to the 2 tables</w:t>
      </w:r>
      <w:r w:rsidR="00565166">
        <w:rPr>
          <w:rFonts w:asciiTheme="minorHAnsi" w:hAnsiTheme="minorHAnsi" w:cstheme="minorHAnsi"/>
        </w:rPr>
        <w:t xml:space="preserve">. </w:t>
      </w:r>
    </w:p>
    <w:p w14:paraId="6D4D7523" w14:textId="77777777" w:rsidR="00C60C12" w:rsidRDefault="001B7532" w:rsidP="002D653A">
      <w:pPr>
        <w:spacing w:after="120"/>
        <w:rPr>
          <w:rFonts w:asciiTheme="minorHAnsi" w:hAnsiTheme="minorHAnsi" w:cstheme="minorHAnsi"/>
        </w:rPr>
      </w:pPr>
      <w:r w:rsidRPr="00890720">
        <w:rPr>
          <w:rFonts w:asciiTheme="minorHAnsi" w:hAnsiTheme="minorHAnsi" w:cstheme="minorHAnsi"/>
        </w:rPr>
        <w:t xml:space="preserve">Now, newer UE designs may suffer less from such mechanisms, but a core requirement change to enhance verification must remain </w:t>
      </w:r>
      <w:r w:rsidR="00E06582">
        <w:rPr>
          <w:rFonts w:asciiTheme="minorHAnsi" w:hAnsiTheme="minorHAnsi" w:cstheme="minorHAnsi"/>
        </w:rPr>
        <w:t>applicable to all releases</w:t>
      </w:r>
      <w:r w:rsidRPr="00890720">
        <w:rPr>
          <w:rFonts w:asciiTheme="minorHAnsi" w:hAnsiTheme="minorHAnsi" w:cstheme="minorHAnsi"/>
        </w:rPr>
        <w:t xml:space="preserve">. </w:t>
      </w:r>
      <w:r w:rsidR="00E06582">
        <w:rPr>
          <w:rFonts w:asciiTheme="minorHAnsi" w:hAnsiTheme="minorHAnsi" w:cstheme="minorHAnsi"/>
        </w:rPr>
        <w:t>Consequently, tightening the tolerance requirements for the lower EIRP range may not be backward compatible for all UEs. Another</w:t>
      </w:r>
      <w:r w:rsidRPr="00890720">
        <w:rPr>
          <w:rFonts w:asciiTheme="minorHAnsi" w:hAnsiTheme="minorHAnsi" w:cstheme="minorHAnsi"/>
        </w:rPr>
        <w:t xml:space="preserve"> possibility for combining the two tables</w:t>
      </w:r>
      <w:r w:rsidR="00511F3D" w:rsidRPr="00890720">
        <w:rPr>
          <w:rFonts w:asciiTheme="minorHAnsi" w:hAnsiTheme="minorHAnsi" w:cstheme="minorHAnsi"/>
        </w:rPr>
        <w:t xml:space="preserve"> is to relax the </w:t>
      </w:r>
      <w:r w:rsidR="00814B48" w:rsidRPr="00890720">
        <w:rPr>
          <w:rFonts w:asciiTheme="minorHAnsi" w:hAnsiTheme="minorHAnsi" w:cstheme="minorHAnsi"/>
        </w:rPr>
        <w:t>tolerance requirements of the</w:t>
      </w:r>
      <w:r w:rsidR="008C3BF3" w:rsidRPr="00890720">
        <w:rPr>
          <w:rFonts w:asciiTheme="minorHAnsi" w:hAnsiTheme="minorHAnsi" w:cstheme="minorHAnsi"/>
        </w:rPr>
        <w:t xml:space="preserve"> upper EIRP range</w:t>
      </w:r>
      <w:r w:rsidRPr="00890720">
        <w:rPr>
          <w:rFonts w:asciiTheme="minorHAnsi" w:hAnsiTheme="minorHAnsi" w:cstheme="minorHAnsi"/>
        </w:rPr>
        <w:t xml:space="preserve"> so it matches that of the lower EIRP range</w:t>
      </w:r>
      <w:r w:rsidR="008C3BF3" w:rsidRPr="00890720">
        <w:rPr>
          <w:rFonts w:asciiTheme="minorHAnsi" w:hAnsiTheme="minorHAnsi" w:cstheme="minorHAnsi"/>
        </w:rPr>
        <w:t xml:space="preserve">. </w:t>
      </w:r>
      <w:r w:rsidR="00FE57ED" w:rsidRPr="00890720">
        <w:rPr>
          <w:rFonts w:asciiTheme="minorHAnsi" w:hAnsiTheme="minorHAnsi" w:cstheme="minorHAnsi"/>
        </w:rPr>
        <w:t>A UE that is designed to this relaxed requirement</w:t>
      </w:r>
      <w:r w:rsidRPr="00890720">
        <w:rPr>
          <w:rFonts w:asciiTheme="minorHAnsi" w:hAnsiTheme="minorHAnsi" w:cstheme="minorHAnsi"/>
        </w:rPr>
        <w:t xml:space="preserve"> however</w:t>
      </w:r>
      <w:r w:rsidR="00814B48" w:rsidRPr="00890720">
        <w:rPr>
          <w:rFonts w:asciiTheme="minorHAnsi" w:hAnsiTheme="minorHAnsi" w:cstheme="minorHAnsi"/>
        </w:rPr>
        <w:t xml:space="preserve"> can </w:t>
      </w:r>
      <w:r w:rsidR="00FE57ED" w:rsidRPr="00890720">
        <w:rPr>
          <w:rFonts w:asciiTheme="minorHAnsi" w:hAnsiTheme="minorHAnsi" w:cstheme="minorHAnsi"/>
        </w:rPr>
        <w:t>lead to system instabilities because of potentially increased non-monotonic power control behaviour</w:t>
      </w:r>
      <w:r w:rsidR="00814B48" w:rsidRPr="00890720">
        <w:rPr>
          <w:rFonts w:asciiTheme="minorHAnsi" w:hAnsiTheme="minorHAnsi" w:cstheme="minorHAnsi"/>
        </w:rPr>
        <w:t>.</w:t>
      </w:r>
      <w:r w:rsidR="00FE57ED" w:rsidRPr="00890720">
        <w:rPr>
          <w:rFonts w:asciiTheme="minorHAnsi" w:hAnsiTheme="minorHAnsi" w:cstheme="minorHAnsi"/>
        </w:rPr>
        <w:t xml:space="preserve"> In other words, the </w:t>
      </w:r>
      <w:r w:rsidR="00E06582">
        <w:rPr>
          <w:rFonts w:asciiTheme="minorHAnsi" w:hAnsiTheme="minorHAnsi" w:cstheme="minorHAnsi"/>
        </w:rPr>
        <w:t>second possibility</w:t>
      </w:r>
      <w:r w:rsidR="00FE57ED" w:rsidRPr="00890720">
        <w:rPr>
          <w:rFonts w:asciiTheme="minorHAnsi" w:hAnsiTheme="minorHAnsi" w:cstheme="minorHAnsi"/>
        </w:rPr>
        <w:t xml:space="preserve"> can be non-backward compatible for networks.</w:t>
      </w:r>
      <w:r w:rsidR="00E06582">
        <w:rPr>
          <w:rFonts w:asciiTheme="minorHAnsi" w:hAnsiTheme="minorHAnsi" w:cstheme="minorHAnsi"/>
        </w:rPr>
        <w:t xml:space="preserve"> </w:t>
      </w:r>
    </w:p>
    <w:p w14:paraId="1BF70587" w14:textId="2E9CFBF8" w:rsidR="00D54547" w:rsidRPr="00890720" w:rsidRDefault="00E06582" w:rsidP="002D653A">
      <w:pPr>
        <w:spacing w:after="120"/>
        <w:rPr>
          <w:rFonts w:asciiTheme="minorHAnsi" w:hAnsiTheme="minorHAnsi" w:cstheme="minorHAnsi"/>
        </w:rPr>
      </w:pPr>
      <w:r>
        <w:rPr>
          <w:rFonts w:asciiTheme="minorHAnsi" w:hAnsiTheme="minorHAnsi" w:cstheme="minorHAnsi"/>
        </w:rPr>
        <w:t>Further discussion may help identify other avenues to combine the tables in question.</w:t>
      </w:r>
      <w:r w:rsidR="00C60C12">
        <w:rPr>
          <w:rFonts w:asciiTheme="minorHAnsi" w:hAnsiTheme="minorHAnsi" w:cstheme="minorHAnsi"/>
        </w:rPr>
        <w:t xml:space="preserve"> One possibility is to define a new table </w:t>
      </w:r>
      <w:r w:rsidR="002C7397">
        <w:rPr>
          <w:rFonts w:asciiTheme="minorHAnsi" w:hAnsiTheme="minorHAnsi" w:cstheme="minorHAnsi"/>
        </w:rPr>
        <w:t xml:space="preserve">for the whole </w:t>
      </w:r>
      <w:r w:rsidR="006344B9">
        <w:rPr>
          <w:rFonts w:asciiTheme="minorHAnsi" w:hAnsiTheme="minorHAnsi" w:cstheme="minorHAnsi"/>
        </w:rPr>
        <w:t>range but</w:t>
      </w:r>
      <w:r w:rsidR="002C7397">
        <w:rPr>
          <w:rFonts w:asciiTheme="minorHAnsi" w:hAnsiTheme="minorHAnsi" w:cstheme="minorHAnsi"/>
        </w:rPr>
        <w:t xml:space="preserve"> limited to the same RB allocation and same physical channel or signal, rather than the current table that specifies requirements for transitions between PUSCH, PUCCH and SRS.</w:t>
      </w:r>
    </w:p>
    <w:p w14:paraId="4BB86CB1" w14:textId="681E43E0" w:rsidR="00FE57ED" w:rsidRDefault="00FE57ED" w:rsidP="00FE57ED">
      <w:pPr>
        <w:pStyle w:val="Heading1"/>
      </w:pPr>
      <w:r>
        <w:t xml:space="preserve">3. </w:t>
      </w:r>
      <w:r>
        <w:tab/>
        <w:t>Conclusions</w:t>
      </w:r>
    </w:p>
    <w:p w14:paraId="7F0C5BF1" w14:textId="629DC68F" w:rsidR="00FE57ED" w:rsidRDefault="00890720" w:rsidP="00FC72AF">
      <w:pPr>
        <w:spacing w:after="120"/>
        <w:rPr>
          <w:rFonts w:asciiTheme="minorHAnsi" w:hAnsiTheme="minorHAnsi" w:cstheme="minorHAnsi"/>
        </w:rPr>
      </w:pPr>
      <w:r>
        <w:rPr>
          <w:rFonts w:asciiTheme="minorHAnsi" w:hAnsiTheme="minorHAnsi" w:cstheme="minorHAnsi"/>
        </w:rPr>
        <w:t>T</w:t>
      </w:r>
      <w:r w:rsidR="00FE57ED">
        <w:rPr>
          <w:rFonts w:asciiTheme="minorHAnsi" w:hAnsiTheme="minorHAnsi" w:cstheme="minorHAnsi"/>
        </w:rPr>
        <w:t xml:space="preserve">here is </w:t>
      </w:r>
      <w:r w:rsidR="00C21EA4">
        <w:rPr>
          <w:rFonts w:asciiTheme="minorHAnsi" w:hAnsiTheme="minorHAnsi" w:cstheme="minorHAnsi"/>
        </w:rPr>
        <w:t>prospect of</w:t>
      </w:r>
      <w:r w:rsidR="00FE57ED">
        <w:rPr>
          <w:rFonts w:asciiTheme="minorHAnsi" w:hAnsiTheme="minorHAnsi" w:cstheme="minorHAnsi"/>
        </w:rPr>
        <w:t xml:space="preserve"> improv</w:t>
      </w:r>
      <w:r w:rsidR="00C21EA4">
        <w:rPr>
          <w:rFonts w:asciiTheme="minorHAnsi" w:hAnsiTheme="minorHAnsi" w:cstheme="minorHAnsi"/>
        </w:rPr>
        <w:t>ing</w:t>
      </w:r>
      <w:r w:rsidR="00FE57ED">
        <w:rPr>
          <w:rFonts w:asciiTheme="minorHAnsi" w:hAnsiTheme="minorHAnsi" w:cstheme="minorHAnsi"/>
        </w:rPr>
        <w:t xml:space="preserve"> both, system performance as well as </w:t>
      </w:r>
      <w:r w:rsidR="00C21EA4">
        <w:rPr>
          <w:rFonts w:asciiTheme="minorHAnsi" w:hAnsiTheme="minorHAnsi" w:cstheme="minorHAnsi"/>
        </w:rPr>
        <w:t xml:space="preserve">verification, by applying </w:t>
      </w:r>
      <w:r w:rsidR="00E06582">
        <w:rPr>
          <w:rFonts w:asciiTheme="minorHAnsi" w:hAnsiTheme="minorHAnsi" w:cstheme="minorHAnsi"/>
        </w:rPr>
        <w:t>expanding the scope of ‘Note 2’ (monotonicity requirement for ∆</w:t>
      </w:r>
      <w:r w:rsidR="00E06582" w:rsidRPr="00890720">
        <w:rPr>
          <w:rFonts w:asciiTheme="minorHAnsi" w:hAnsiTheme="minorHAnsi" w:cstheme="minorHAnsi"/>
        </w:rPr>
        <w:t>P</w:t>
      </w:r>
      <w:r w:rsidR="00E06582">
        <w:rPr>
          <w:rFonts w:asciiTheme="minorHAnsi" w:hAnsiTheme="minorHAnsi" w:cstheme="minorHAnsi"/>
        </w:rPr>
        <w:t xml:space="preserve"> = 1 dB)</w:t>
      </w:r>
      <w:r w:rsidR="00C21EA4">
        <w:rPr>
          <w:rFonts w:asciiTheme="minorHAnsi" w:hAnsiTheme="minorHAnsi" w:cstheme="minorHAnsi"/>
        </w:rPr>
        <w:t xml:space="preserve"> to the entire </w:t>
      </w:r>
      <w:r w:rsidR="00E06582">
        <w:rPr>
          <w:rFonts w:asciiTheme="minorHAnsi" w:hAnsiTheme="minorHAnsi" w:cstheme="minorHAnsi"/>
        </w:rPr>
        <w:t>EIRP</w:t>
      </w:r>
      <w:r w:rsidR="00C21EA4">
        <w:rPr>
          <w:rFonts w:asciiTheme="minorHAnsi" w:hAnsiTheme="minorHAnsi" w:cstheme="minorHAnsi"/>
        </w:rPr>
        <w:t xml:space="preserve"> range:</w:t>
      </w:r>
    </w:p>
    <w:p w14:paraId="493CE1FE" w14:textId="77777777" w:rsidR="002C7397" w:rsidRPr="00890720" w:rsidRDefault="002C7397" w:rsidP="002C7397">
      <w:pPr>
        <w:spacing w:after="120"/>
        <w:rPr>
          <w:rFonts w:asciiTheme="minorHAnsi" w:hAnsiTheme="minorHAnsi" w:cstheme="minorHAnsi"/>
          <w:b/>
          <w:bCs/>
        </w:rPr>
      </w:pPr>
      <w:r w:rsidRPr="00890720">
        <w:rPr>
          <w:rFonts w:asciiTheme="minorHAnsi" w:hAnsiTheme="minorHAnsi" w:cstheme="minorHAnsi"/>
          <w:b/>
          <w:bCs/>
        </w:rPr>
        <w:t xml:space="preserve">Proposal 1: RAN4 to discuss if note 2 in table 6.3.4.3-2 can apply to table 6.3.4.3-1 also, towards </w:t>
      </w:r>
      <w:r>
        <w:rPr>
          <w:rFonts w:asciiTheme="minorHAnsi" w:hAnsiTheme="minorHAnsi" w:cstheme="minorHAnsi"/>
          <w:b/>
          <w:bCs/>
        </w:rPr>
        <w:t>accommodating the request in</w:t>
      </w:r>
      <w:r w:rsidRPr="00890720">
        <w:rPr>
          <w:rFonts w:asciiTheme="minorHAnsi" w:hAnsiTheme="minorHAnsi" w:cstheme="minorHAnsi"/>
          <w:b/>
          <w:bCs/>
        </w:rPr>
        <w:t xml:space="preserve"> the LS from RAN5 [1]. </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3BBCEEB4" w:rsidR="001A364A" w:rsidRPr="000B036D"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111717</w:t>
      </w:r>
      <w:r w:rsidRPr="000B036D">
        <w:rPr>
          <w:rFonts w:ascii="Arial" w:eastAsia="SimSun" w:hAnsi="Arial" w:cs="Arial"/>
          <w:bCs/>
          <w:sz w:val="18"/>
          <w:szCs w:val="18"/>
          <w:lang w:val="en-US" w:eastAsia="en-GB"/>
        </w:rPr>
        <w:t>, ‘</w:t>
      </w:r>
      <w:r w:rsidR="00D202C9" w:rsidRPr="00D202C9">
        <w:rPr>
          <w:rFonts w:ascii="Arial" w:eastAsia="SimSun" w:hAnsi="Arial" w:cs="Arial"/>
          <w:bCs/>
          <w:sz w:val="18"/>
          <w:szCs w:val="18"/>
          <w:lang w:val="en-US" w:eastAsia="en-GB"/>
        </w:rPr>
        <w:t>LS on FR2 relative power tolerance</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D202C9">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2021</w:t>
      </w:r>
    </w:p>
    <w:sectPr w:rsidR="001A364A"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9"/>
  </w:num>
  <w:num w:numId="4">
    <w:abstractNumId w:val="2"/>
  </w:num>
  <w:num w:numId="5">
    <w:abstractNumId w:val="1"/>
  </w:num>
  <w:num w:numId="6">
    <w:abstractNumId w:val="0"/>
  </w:num>
  <w:num w:numId="7">
    <w:abstractNumId w:val="8"/>
  </w:num>
  <w:num w:numId="8">
    <w:abstractNumId w:val="7"/>
  </w:num>
  <w:num w:numId="9">
    <w:abstractNumId w:val="6"/>
  </w:num>
  <w:num w:numId="10">
    <w:abstractNumId w:val="10"/>
  </w:num>
  <w:num w:numId="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34"/>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C7397"/>
    <w:rsid w:val="002D0370"/>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ADB"/>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58B"/>
    <w:rsid w:val="00507ACB"/>
    <w:rsid w:val="00507D16"/>
    <w:rsid w:val="00510D5C"/>
    <w:rsid w:val="00511F3D"/>
    <w:rsid w:val="00511F68"/>
    <w:rsid w:val="005120D5"/>
    <w:rsid w:val="00514334"/>
    <w:rsid w:val="00514836"/>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166"/>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4B9"/>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BAA"/>
    <w:rsid w:val="006A0BB2"/>
    <w:rsid w:val="006A0EBB"/>
    <w:rsid w:val="006A2E7B"/>
    <w:rsid w:val="006A3AC3"/>
    <w:rsid w:val="006A3DD3"/>
    <w:rsid w:val="006A455E"/>
    <w:rsid w:val="006A47D6"/>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61CC"/>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DF0"/>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1857"/>
    <w:rsid w:val="007F2559"/>
    <w:rsid w:val="007F2774"/>
    <w:rsid w:val="007F2A60"/>
    <w:rsid w:val="007F5A2D"/>
    <w:rsid w:val="007F7AAD"/>
    <w:rsid w:val="007F7AE6"/>
    <w:rsid w:val="0080082C"/>
    <w:rsid w:val="0080109A"/>
    <w:rsid w:val="008023D3"/>
    <w:rsid w:val="00802812"/>
    <w:rsid w:val="0080320A"/>
    <w:rsid w:val="00803597"/>
    <w:rsid w:val="00804D26"/>
    <w:rsid w:val="00804D43"/>
    <w:rsid w:val="00805649"/>
    <w:rsid w:val="00805AEC"/>
    <w:rsid w:val="00806BAD"/>
    <w:rsid w:val="008078E6"/>
    <w:rsid w:val="00810EC4"/>
    <w:rsid w:val="00812B98"/>
    <w:rsid w:val="00814B4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443"/>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305A"/>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CD5"/>
    <w:rsid w:val="00954D53"/>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4258"/>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1A83"/>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94B"/>
    <w:rsid w:val="00B24FD6"/>
    <w:rsid w:val="00B267CB"/>
    <w:rsid w:val="00B27A7F"/>
    <w:rsid w:val="00B306DC"/>
    <w:rsid w:val="00B317F6"/>
    <w:rsid w:val="00B31821"/>
    <w:rsid w:val="00B31916"/>
    <w:rsid w:val="00B31CAF"/>
    <w:rsid w:val="00B31D29"/>
    <w:rsid w:val="00B32A28"/>
    <w:rsid w:val="00B33522"/>
    <w:rsid w:val="00B337AF"/>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0C12"/>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4547"/>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57B9"/>
    <w:rsid w:val="00DA581E"/>
    <w:rsid w:val="00DA66E6"/>
    <w:rsid w:val="00DA7820"/>
    <w:rsid w:val="00DB01AD"/>
    <w:rsid w:val="00DB2D4A"/>
    <w:rsid w:val="00DB2E2C"/>
    <w:rsid w:val="00DB311C"/>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6582"/>
    <w:rsid w:val="00E07459"/>
    <w:rsid w:val="00E07822"/>
    <w:rsid w:val="00E07880"/>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652"/>
    <w:rsid w:val="00FD2B94"/>
    <w:rsid w:val="00FD6015"/>
    <w:rsid w:val="00FD7C6A"/>
    <w:rsid w:val="00FE023B"/>
    <w:rsid w:val="00FE1B18"/>
    <w:rsid w:val="00FE1D26"/>
    <w:rsid w:val="00FE2790"/>
    <w:rsid w:val="00FE2D98"/>
    <w:rsid w:val="00FE3315"/>
    <w:rsid w:val="00FE3E52"/>
    <w:rsid w:val="00FE4481"/>
    <w:rsid w:val="00FE567D"/>
    <w:rsid w:val="00FE5685"/>
    <w:rsid w:val="00FE57ED"/>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4</cp:revision>
  <dcterms:created xsi:type="dcterms:W3CDTF">2021-08-06T19:41:00Z</dcterms:created>
  <dcterms:modified xsi:type="dcterms:W3CDTF">2021-08-06T20:41:00Z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