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6989F" w14:textId="689D9D19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44262">
        <w:rPr>
          <w:b/>
          <w:noProof/>
          <w:sz w:val="24"/>
        </w:rPr>
        <w:t>100</w:t>
      </w:r>
      <w:r w:rsidR="00190FD2">
        <w:rPr>
          <w:b/>
          <w:noProof/>
          <w:sz w:val="24"/>
        </w:rPr>
        <w:t>-</w:t>
      </w:r>
      <w:r w:rsidR="008F67FD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2F2AF3">
        <w:rPr>
          <w:b/>
          <w:noProof/>
          <w:sz w:val="24"/>
        </w:rPr>
        <w:t>21</w:t>
      </w:r>
      <w:r w:rsidR="0004539D">
        <w:rPr>
          <w:b/>
          <w:noProof/>
          <w:sz w:val="24"/>
        </w:rPr>
        <w:t>11907</w:t>
      </w:r>
    </w:p>
    <w:p w14:paraId="5379D604" w14:textId="39F3542A" w:rsidR="00D81C65" w:rsidRDefault="002F2AF3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Online </w:t>
      </w:r>
      <w:r w:rsidR="008F67FD">
        <w:rPr>
          <w:rFonts w:ascii="Arial" w:hAnsi="Arial" w:cs="Arial"/>
          <w:b/>
          <w:sz w:val="24"/>
        </w:rPr>
        <w:t xml:space="preserve">Meeting, </w:t>
      </w:r>
      <w:r w:rsidR="00544262">
        <w:rPr>
          <w:rFonts w:ascii="Arial" w:hAnsi="Arial" w:cs="Arial"/>
          <w:b/>
          <w:sz w:val="24"/>
        </w:rPr>
        <w:t>August</w:t>
      </w:r>
      <w:r w:rsidR="008F67FD">
        <w:rPr>
          <w:rFonts w:ascii="Arial" w:hAnsi="Arial" w:cs="Arial"/>
          <w:b/>
          <w:sz w:val="24"/>
        </w:rPr>
        <w:t xml:space="preserve"> 202</w:t>
      </w:r>
      <w:r w:rsidR="00AD2220">
        <w:rPr>
          <w:rFonts w:ascii="Arial" w:hAnsi="Arial" w:cs="Arial"/>
          <w:b/>
          <w:sz w:val="24"/>
        </w:rPr>
        <w:t>1</w:t>
      </w:r>
    </w:p>
    <w:p w14:paraId="04143185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15BC7B88" w14:textId="7813A0F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83716" w:rsidRPr="00B83716">
        <w:rPr>
          <w:rFonts w:ascii="Arial" w:hAnsi="Arial" w:cs="Arial"/>
          <w:b/>
        </w:rPr>
        <w:t>On the FR1 UE's EVM requirement for 2L UL</w:t>
      </w:r>
    </w:p>
    <w:p w14:paraId="7ADBDD6E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5FCABAAC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F68401B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D705407" w14:textId="62E1E88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86DA5" w:rsidRPr="00286DA5">
        <w:rPr>
          <w:rFonts w:ascii="Arial" w:hAnsi="Arial" w:cs="Arial"/>
          <w:b/>
        </w:rPr>
        <w:t>5</w:t>
      </w:r>
      <w:r w:rsidR="00074C38" w:rsidRPr="00286DA5">
        <w:rPr>
          <w:rFonts w:ascii="Arial" w:hAnsi="Arial" w:cs="Arial"/>
          <w:b/>
        </w:rPr>
        <w:t>.</w:t>
      </w:r>
      <w:r w:rsidR="00B1037D" w:rsidRPr="00286DA5">
        <w:rPr>
          <w:rFonts w:ascii="Arial" w:hAnsi="Arial" w:cs="Arial"/>
          <w:b/>
        </w:rPr>
        <w:t>1.2.1</w:t>
      </w:r>
    </w:p>
    <w:p w14:paraId="39547313" w14:textId="0C1D06A3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763E41">
        <w:rPr>
          <w:rFonts w:ascii="Arial" w:hAnsi="Arial" w:cs="Arial"/>
          <w:b/>
        </w:rPr>
        <w:t>5</w:t>
      </w:r>
    </w:p>
    <w:p w14:paraId="77CF7445" w14:textId="5E2BBBDA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9F69DF">
        <w:rPr>
          <w:rFonts w:ascii="Arial" w:hAnsi="Arial" w:cs="Arial"/>
          <w:b/>
        </w:rPr>
        <w:t>NR_newRAT-Core</w:t>
      </w:r>
    </w:p>
    <w:p w14:paraId="6CAC6922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D4A371D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3310D75" w14:textId="6AA11DBC" w:rsidR="00222D66" w:rsidRPr="008619D6" w:rsidRDefault="00222D66" w:rsidP="008619D6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286DA5">
        <w:rPr>
          <w:rFonts w:ascii="Arial" w:hAnsi="Arial" w:cs="Arial"/>
          <w:b/>
        </w:rPr>
        <w:t>Approval</w:t>
      </w:r>
    </w:p>
    <w:p w14:paraId="5BDE04A3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F64D7D3" w14:textId="25D3D08F" w:rsidR="002B2323" w:rsidRPr="002E2724" w:rsidRDefault="002850E0" w:rsidP="002B2323">
      <w:pPr>
        <w:rPr>
          <w:rFonts w:ascii="Calibri" w:hAnsi="Calibri" w:cs="Calibri"/>
        </w:rPr>
      </w:pPr>
      <w:r w:rsidRPr="002850E0">
        <w:rPr>
          <w:rFonts w:ascii="Calibri" w:hAnsi="Calibri" w:cs="Calibri"/>
        </w:rPr>
        <w:t xml:space="preserve">The EVM requirement for single layer UL is stable and is based on established practice in LTE. The requirement for 2-layer UL is </w:t>
      </w:r>
      <w:r w:rsidR="0004539D">
        <w:rPr>
          <w:rFonts w:ascii="Calibri" w:hAnsi="Calibri" w:cs="Calibri"/>
        </w:rPr>
        <w:t>specified ‘</w:t>
      </w:r>
      <w:r w:rsidR="00AE7673">
        <w:rPr>
          <w:rFonts w:ascii="Calibri" w:hAnsi="Calibri" w:cs="Calibri"/>
        </w:rPr>
        <w:t xml:space="preserve">per connector’ </w:t>
      </w:r>
      <w:r w:rsidR="0004539D">
        <w:rPr>
          <w:rFonts w:ascii="Calibri" w:hAnsi="Calibri" w:cs="Calibri"/>
        </w:rPr>
        <w:t xml:space="preserve">which mandates a 1:1 mapping between SRS ports and antenna connectors. </w:t>
      </w:r>
      <w:r w:rsidR="002904AC">
        <w:rPr>
          <w:rFonts w:ascii="Calibri" w:hAnsi="Calibri" w:cs="Calibri"/>
        </w:rPr>
        <w:t xml:space="preserve">Meanwhile, </w:t>
      </w:r>
      <w:r w:rsidR="0004539D">
        <w:rPr>
          <w:rFonts w:ascii="Calibri" w:hAnsi="Calibri" w:cs="Calibri"/>
        </w:rPr>
        <w:t>Tx diversity</w:t>
      </w:r>
      <w:r w:rsidR="002904AC">
        <w:rPr>
          <w:rFonts w:ascii="Calibri" w:hAnsi="Calibri" w:cs="Calibri"/>
        </w:rPr>
        <w:t>, a feature RAN4 is currently working to enable</w:t>
      </w:r>
      <w:r w:rsidR="0004539D">
        <w:rPr>
          <w:rFonts w:ascii="Calibri" w:hAnsi="Calibri" w:cs="Calibri"/>
        </w:rPr>
        <w:t xml:space="preserve"> relies on a non 1:1 mapping</w:t>
      </w:r>
      <w:r w:rsidR="002904AC">
        <w:rPr>
          <w:rFonts w:ascii="Calibri" w:hAnsi="Calibri" w:cs="Calibri"/>
        </w:rPr>
        <w:t xml:space="preserve"> in the UE, an arrangement allowed by RAN1 design</w:t>
      </w:r>
      <w:r w:rsidRPr="002850E0">
        <w:rPr>
          <w:rFonts w:ascii="Calibri" w:hAnsi="Calibri" w:cs="Calibri"/>
        </w:rPr>
        <w:t xml:space="preserve">. </w:t>
      </w:r>
      <w:r w:rsidR="002904AC">
        <w:rPr>
          <w:rFonts w:ascii="Calibri" w:hAnsi="Calibri" w:cs="Calibri"/>
        </w:rPr>
        <w:t>There is therefore inconsistency between t</w:t>
      </w:r>
      <w:r w:rsidR="0004539D">
        <w:rPr>
          <w:rFonts w:ascii="Calibri" w:hAnsi="Calibri" w:cs="Calibri"/>
        </w:rPr>
        <w:t>he</w:t>
      </w:r>
      <w:r w:rsidR="002904AC">
        <w:rPr>
          <w:rFonts w:ascii="Calibri" w:hAnsi="Calibri" w:cs="Calibri"/>
        </w:rPr>
        <w:t xml:space="preserve"> port-mapping assumptions for 2L operation and TxD. </w:t>
      </w:r>
      <w:r w:rsidR="0004539D">
        <w:rPr>
          <w:rFonts w:ascii="Calibri" w:hAnsi="Calibri" w:cs="Calibri"/>
        </w:rPr>
        <w:t xml:space="preserve"> </w:t>
      </w:r>
      <w:r w:rsidR="002904AC">
        <w:rPr>
          <w:rFonts w:ascii="Calibri" w:hAnsi="Calibri" w:cs="Calibri"/>
        </w:rPr>
        <w:t>We propose modifying the 2L EVM requirement</w:t>
      </w:r>
      <w:r w:rsidR="00DE136F">
        <w:rPr>
          <w:rFonts w:ascii="Calibri" w:hAnsi="Calibri" w:cs="Calibri"/>
        </w:rPr>
        <w:t xml:space="preserve"> to be consistent with RAN1 intent and TxD</w:t>
      </w:r>
      <w:r w:rsidR="0004539D">
        <w:rPr>
          <w:rFonts w:ascii="Calibri" w:hAnsi="Calibri" w:cs="Calibri"/>
        </w:rPr>
        <w:t>.</w:t>
      </w:r>
    </w:p>
    <w:p w14:paraId="0AB8A81A" w14:textId="5E184800" w:rsidR="004E0CD1" w:rsidRDefault="000A567D" w:rsidP="004E0CD1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EB69431" w14:textId="0E72C40F" w:rsidR="000C5D2E" w:rsidRPr="002E56A2" w:rsidRDefault="000C5D2E" w:rsidP="000C5D2E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2.1</w:t>
      </w:r>
      <w:r>
        <w:rPr>
          <w:rFonts w:asciiTheme="minorHAnsi" w:hAnsiTheme="minorHAnsi" w:cstheme="minorHAnsi"/>
        </w:rPr>
        <w:tab/>
        <w:t>Technical Justification</w:t>
      </w:r>
      <w:r w:rsidR="002414BF">
        <w:rPr>
          <w:rFonts w:asciiTheme="minorHAnsi" w:hAnsiTheme="minorHAnsi" w:cstheme="minorHAnsi"/>
        </w:rPr>
        <w:t xml:space="preserve"> to modify the FR1 2L EVM requirement</w:t>
      </w:r>
      <w:r w:rsidRPr="002E56A2">
        <w:rPr>
          <w:rFonts w:asciiTheme="minorHAnsi" w:hAnsiTheme="minorHAnsi" w:cstheme="minorHAnsi"/>
        </w:rPr>
        <w:t xml:space="preserve"> </w:t>
      </w:r>
    </w:p>
    <w:p w14:paraId="69159707" w14:textId="5945E375" w:rsidR="002E3654" w:rsidRDefault="00112C18" w:rsidP="000C5D2E">
      <w:pPr>
        <w:rPr>
          <w:rFonts w:ascii="Calibri" w:hAnsi="Calibri" w:cs="Calibri"/>
        </w:rPr>
      </w:pPr>
      <w:r w:rsidRPr="00112C18">
        <w:rPr>
          <w:rFonts w:ascii="Calibri" w:hAnsi="Calibri" w:cs="Calibri"/>
        </w:rPr>
        <w:t xml:space="preserve">The </w:t>
      </w:r>
      <w:r w:rsidR="0094492E" w:rsidRPr="00112C18">
        <w:rPr>
          <w:rFonts w:ascii="Calibri" w:hAnsi="Calibri" w:cs="Calibri"/>
        </w:rPr>
        <w:t xml:space="preserve">existing EVM requirement for 2L UL MIMO EVM (EVM is measured at each connector) </w:t>
      </w:r>
      <w:r w:rsidR="00414BD6">
        <w:rPr>
          <w:rFonts w:ascii="Calibri" w:hAnsi="Calibri" w:cs="Calibri"/>
        </w:rPr>
        <w:t xml:space="preserve">mandates </w:t>
      </w:r>
      <w:r w:rsidRPr="00112C18">
        <w:rPr>
          <w:rFonts w:ascii="Calibri" w:hAnsi="Calibri" w:cs="Calibri"/>
        </w:rPr>
        <w:t xml:space="preserve">a 1:1 relationship between </w:t>
      </w:r>
      <w:r w:rsidR="00414BD6">
        <w:rPr>
          <w:rFonts w:ascii="Calibri" w:hAnsi="Calibri" w:cs="Calibri"/>
        </w:rPr>
        <w:t>a UE’s</w:t>
      </w:r>
      <w:r w:rsidRPr="00112C18">
        <w:rPr>
          <w:rFonts w:ascii="Calibri" w:hAnsi="Calibri" w:cs="Calibri"/>
        </w:rPr>
        <w:t xml:space="preserve"> antenna connectors and its SRS ports</w:t>
      </w:r>
      <w:r w:rsidR="008B2872">
        <w:rPr>
          <w:rFonts w:ascii="Calibri" w:hAnsi="Calibri" w:cs="Calibri"/>
        </w:rPr>
        <w:t xml:space="preserve">. </w:t>
      </w:r>
      <w:r w:rsidRPr="00112C18">
        <w:rPr>
          <w:rFonts w:ascii="Calibri" w:hAnsi="Calibri" w:cs="Calibri"/>
        </w:rPr>
        <w:t>RAN1 design</w:t>
      </w:r>
      <w:r w:rsidR="008B2872">
        <w:rPr>
          <w:rFonts w:ascii="Calibri" w:hAnsi="Calibri" w:cs="Calibri"/>
        </w:rPr>
        <w:t xml:space="preserve"> however</w:t>
      </w:r>
      <w:r w:rsidRPr="00112C18">
        <w:rPr>
          <w:rFonts w:ascii="Calibri" w:hAnsi="Calibri" w:cs="Calibri"/>
        </w:rPr>
        <w:t xml:space="preserve"> </w:t>
      </w:r>
      <w:r w:rsidR="004801EA">
        <w:rPr>
          <w:rFonts w:ascii="Calibri" w:hAnsi="Calibri" w:cs="Calibri"/>
        </w:rPr>
        <w:t>allows</w:t>
      </w:r>
      <w:r w:rsidRPr="00112C18">
        <w:rPr>
          <w:rFonts w:ascii="Calibri" w:hAnsi="Calibri" w:cs="Calibri"/>
        </w:rPr>
        <w:t xml:space="preserve"> </w:t>
      </w:r>
      <w:r w:rsidR="004801EA">
        <w:rPr>
          <w:rFonts w:ascii="Calibri" w:hAnsi="Calibri" w:cs="Calibri"/>
        </w:rPr>
        <w:t>the</w:t>
      </w:r>
      <w:r w:rsidRPr="00112C18">
        <w:rPr>
          <w:rFonts w:ascii="Calibri" w:hAnsi="Calibri" w:cs="Calibri"/>
        </w:rPr>
        <w:t xml:space="preserve"> UE </w:t>
      </w:r>
      <w:r w:rsidR="004801EA">
        <w:rPr>
          <w:rFonts w:ascii="Calibri" w:hAnsi="Calibri" w:cs="Calibri"/>
        </w:rPr>
        <w:t xml:space="preserve">to </w:t>
      </w:r>
      <w:r w:rsidR="004F1DC3">
        <w:rPr>
          <w:rFonts w:ascii="Calibri" w:hAnsi="Calibri" w:cs="Calibri"/>
        </w:rPr>
        <w:t>implement other</w:t>
      </w:r>
      <w:r w:rsidR="008777D1">
        <w:rPr>
          <w:rFonts w:ascii="Calibri" w:hAnsi="Calibri" w:cs="Calibri"/>
        </w:rPr>
        <w:t xml:space="preserve"> mapping</w:t>
      </w:r>
      <w:r w:rsidR="004F1DC3">
        <w:rPr>
          <w:rFonts w:ascii="Calibri" w:hAnsi="Calibri" w:cs="Calibri"/>
        </w:rPr>
        <w:t>s also</w:t>
      </w:r>
      <w:r w:rsidR="00E34776">
        <w:rPr>
          <w:rFonts w:ascii="Calibri" w:hAnsi="Calibri" w:cs="Calibri"/>
        </w:rPr>
        <w:t>.</w:t>
      </w:r>
      <w:r w:rsidR="0046074D">
        <w:rPr>
          <w:rFonts w:ascii="Calibri" w:hAnsi="Calibri" w:cs="Calibri"/>
        </w:rPr>
        <w:t xml:space="preserve"> </w:t>
      </w:r>
      <w:r w:rsidR="000B18F8">
        <w:rPr>
          <w:rFonts w:ascii="Calibri" w:hAnsi="Calibri" w:cs="Calibri"/>
        </w:rPr>
        <w:t xml:space="preserve">In fact, </w:t>
      </w:r>
      <w:r w:rsidR="0046074D">
        <w:rPr>
          <w:rFonts w:ascii="Calibri" w:hAnsi="Calibri" w:cs="Calibri"/>
        </w:rPr>
        <w:t>an entire work item</w:t>
      </w:r>
      <w:r w:rsidR="0044685E">
        <w:rPr>
          <w:rFonts w:ascii="Calibri" w:hAnsi="Calibri" w:cs="Calibri"/>
        </w:rPr>
        <w:t xml:space="preserve"> in RAN4</w:t>
      </w:r>
      <w:r w:rsidR="000B18F8">
        <w:rPr>
          <w:rFonts w:ascii="Calibri" w:hAnsi="Calibri" w:cs="Calibri"/>
        </w:rPr>
        <w:t xml:space="preserve"> is</w:t>
      </w:r>
      <w:r w:rsidR="0046074D">
        <w:rPr>
          <w:rFonts w:ascii="Calibri" w:hAnsi="Calibri" w:cs="Calibri"/>
        </w:rPr>
        <w:t xml:space="preserve"> dedicated to transparent Tx </w:t>
      </w:r>
      <w:r w:rsidR="00DC0E15">
        <w:rPr>
          <w:rFonts w:ascii="Calibri" w:hAnsi="Calibri" w:cs="Calibri"/>
        </w:rPr>
        <w:t>Diversity, which relies on non</w:t>
      </w:r>
      <w:r w:rsidR="0091787F">
        <w:rPr>
          <w:rFonts w:ascii="Calibri" w:hAnsi="Calibri" w:cs="Calibri"/>
        </w:rPr>
        <w:t>-</w:t>
      </w:r>
      <w:r w:rsidR="00DC0E15">
        <w:rPr>
          <w:rFonts w:ascii="Calibri" w:hAnsi="Calibri" w:cs="Calibri"/>
        </w:rPr>
        <w:t>1:1 port mapping</w:t>
      </w:r>
      <w:r w:rsidR="007A47D1">
        <w:rPr>
          <w:rFonts w:ascii="Calibri" w:hAnsi="Calibri" w:cs="Calibri"/>
        </w:rPr>
        <w:t>.</w:t>
      </w:r>
    </w:p>
    <w:p w14:paraId="044147AC" w14:textId="40766851" w:rsidR="00DC0E15" w:rsidRPr="00A14644" w:rsidRDefault="00DC0E15" w:rsidP="002E3654">
      <w:pPr>
        <w:rPr>
          <w:rFonts w:ascii="Calibri" w:hAnsi="Calibri" w:cs="Calibri"/>
          <w:b/>
          <w:bCs/>
        </w:rPr>
      </w:pPr>
      <w:r w:rsidRPr="00A14644">
        <w:rPr>
          <w:rFonts w:ascii="Calibri" w:hAnsi="Calibri" w:cs="Calibri"/>
          <w:b/>
          <w:bCs/>
        </w:rPr>
        <w:t xml:space="preserve">Observation 1: </w:t>
      </w:r>
      <w:r w:rsidR="007A47D1">
        <w:rPr>
          <w:rFonts w:ascii="Calibri" w:hAnsi="Calibri" w:cs="Calibri"/>
          <w:b/>
          <w:bCs/>
        </w:rPr>
        <w:t xml:space="preserve">RAN4 recognizes that an FR1 UE </w:t>
      </w:r>
      <w:r w:rsidR="00D16179">
        <w:rPr>
          <w:rFonts w:ascii="Calibri" w:hAnsi="Calibri" w:cs="Calibri"/>
          <w:b/>
          <w:bCs/>
        </w:rPr>
        <w:t>can have non</w:t>
      </w:r>
      <w:r w:rsidR="00201443" w:rsidRPr="00A14644">
        <w:rPr>
          <w:rFonts w:ascii="Calibri" w:hAnsi="Calibri" w:cs="Calibri"/>
          <w:b/>
          <w:bCs/>
        </w:rPr>
        <w:t>-</w:t>
      </w:r>
      <w:r w:rsidRPr="00A14644">
        <w:rPr>
          <w:rFonts w:ascii="Calibri" w:hAnsi="Calibri" w:cs="Calibri"/>
          <w:b/>
          <w:bCs/>
        </w:rPr>
        <w:t xml:space="preserve">1:1 mapping between </w:t>
      </w:r>
      <w:r w:rsidR="00201443" w:rsidRPr="00A14644">
        <w:rPr>
          <w:rFonts w:ascii="Calibri" w:hAnsi="Calibri" w:cs="Calibri"/>
          <w:b/>
          <w:bCs/>
        </w:rPr>
        <w:t>a UE’s antenna connectors and its SRS port(s)</w:t>
      </w:r>
      <w:r w:rsidR="00D16179">
        <w:rPr>
          <w:rFonts w:ascii="Calibri" w:hAnsi="Calibri" w:cs="Calibri"/>
          <w:b/>
          <w:bCs/>
        </w:rPr>
        <w:t xml:space="preserve">, by virtue of </w:t>
      </w:r>
      <w:r w:rsidR="009014A4">
        <w:rPr>
          <w:rFonts w:ascii="Calibri" w:hAnsi="Calibri" w:cs="Calibri"/>
          <w:b/>
          <w:bCs/>
        </w:rPr>
        <w:t xml:space="preserve">the effort to enable </w:t>
      </w:r>
      <w:r w:rsidR="00D16179">
        <w:rPr>
          <w:rFonts w:ascii="Calibri" w:hAnsi="Calibri" w:cs="Calibri"/>
          <w:b/>
          <w:bCs/>
        </w:rPr>
        <w:t>transparent TxD</w:t>
      </w:r>
      <w:r w:rsidR="009014A4">
        <w:rPr>
          <w:rFonts w:ascii="Calibri" w:hAnsi="Calibri" w:cs="Calibri"/>
          <w:b/>
          <w:bCs/>
        </w:rPr>
        <w:t>.</w:t>
      </w:r>
    </w:p>
    <w:p w14:paraId="01978D29" w14:textId="799812A3" w:rsidR="00D353A0" w:rsidRDefault="00CB053D" w:rsidP="00C260A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It is therefore not consistent to </w:t>
      </w:r>
      <w:r w:rsidR="00D32F27">
        <w:rPr>
          <w:rFonts w:ascii="Calibri" w:hAnsi="Calibri" w:cs="Calibri"/>
        </w:rPr>
        <w:t>retain</w:t>
      </w:r>
      <w:r>
        <w:rPr>
          <w:rFonts w:ascii="Calibri" w:hAnsi="Calibri" w:cs="Calibri"/>
        </w:rPr>
        <w:t xml:space="preserve"> the 1:1 </w:t>
      </w:r>
      <w:r w:rsidR="00D353A0">
        <w:rPr>
          <w:rFonts w:ascii="Calibri" w:hAnsi="Calibri" w:cs="Calibri"/>
        </w:rPr>
        <w:t>port mapping</w:t>
      </w:r>
      <w:r w:rsidR="00D32F27">
        <w:rPr>
          <w:rFonts w:ascii="Calibri" w:hAnsi="Calibri" w:cs="Calibri"/>
        </w:rPr>
        <w:t xml:space="preserve"> mandate</w:t>
      </w:r>
      <w:r w:rsidR="00D353A0">
        <w:rPr>
          <w:rFonts w:ascii="Calibri" w:hAnsi="Calibri" w:cs="Calibri"/>
        </w:rPr>
        <w:t xml:space="preserve"> for </w:t>
      </w:r>
      <w:r w:rsidR="00D32F27">
        <w:rPr>
          <w:rFonts w:ascii="Calibri" w:hAnsi="Calibri" w:cs="Calibri"/>
        </w:rPr>
        <w:t xml:space="preserve">the </w:t>
      </w:r>
      <w:r w:rsidR="00D353A0">
        <w:rPr>
          <w:rFonts w:ascii="Calibri" w:hAnsi="Calibri" w:cs="Calibri"/>
        </w:rPr>
        <w:t>2L EVM</w:t>
      </w:r>
      <w:r w:rsidR="00D32F27">
        <w:rPr>
          <w:rFonts w:ascii="Calibri" w:hAnsi="Calibri" w:cs="Calibri"/>
        </w:rPr>
        <w:t xml:space="preserve"> requirement</w:t>
      </w:r>
      <w:r w:rsidR="00D353A0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while simultaneously </w:t>
      </w:r>
      <w:r w:rsidR="00D353A0">
        <w:rPr>
          <w:rFonts w:ascii="Calibri" w:hAnsi="Calibri" w:cs="Calibri"/>
        </w:rPr>
        <w:t>enabling transparent Tx D</w:t>
      </w:r>
      <w:r w:rsidR="00935E09">
        <w:rPr>
          <w:rFonts w:ascii="Calibri" w:hAnsi="Calibri" w:cs="Calibri"/>
        </w:rPr>
        <w:t xml:space="preserve"> in the standard</w:t>
      </w:r>
      <w:r w:rsidR="00DE136F">
        <w:rPr>
          <w:rFonts w:ascii="Calibri" w:hAnsi="Calibri" w:cs="Calibri"/>
        </w:rPr>
        <w:t xml:space="preserve"> by allowing non 1:1 port mapping</w:t>
      </w:r>
      <w:r w:rsidR="00935E09">
        <w:rPr>
          <w:rFonts w:ascii="Calibri" w:hAnsi="Calibri" w:cs="Calibri"/>
        </w:rPr>
        <w:t>.</w:t>
      </w:r>
    </w:p>
    <w:p w14:paraId="10121E1B" w14:textId="2E2AEA40" w:rsidR="00D353A0" w:rsidRPr="008970BC" w:rsidRDefault="00180253" w:rsidP="00C260A1">
      <w:pPr>
        <w:rPr>
          <w:rFonts w:ascii="Calibri" w:hAnsi="Calibri" w:cs="Calibri"/>
          <w:b/>
          <w:bCs/>
        </w:rPr>
      </w:pPr>
      <w:r w:rsidRPr="008970BC">
        <w:rPr>
          <w:rFonts w:ascii="Calibri" w:hAnsi="Calibri" w:cs="Calibri"/>
          <w:b/>
          <w:bCs/>
        </w:rPr>
        <w:t xml:space="preserve">Observation 2: </w:t>
      </w:r>
      <w:r w:rsidR="004B779E" w:rsidRPr="008970BC">
        <w:rPr>
          <w:rFonts w:ascii="Calibri" w:hAnsi="Calibri" w:cs="Calibri"/>
          <w:b/>
          <w:bCs/>
        </w:rPr>
        <w:t xml:space="preserve">The FR1 2L EVM requirement </w:t>
      </w:r>
      <w:r w:rsidR="008970BC" w:rsidRPr="008970BC">
        <w:rPr>
          <w:rFonts w:ascii="Calibri" w:hAnsi="Calibri" w:cs="Calibri"/>
          <w:b/>
          <w:bCs/>
        </w:rPr>
        <w:t>which mandates a 1:1 relationship between a UE’s antenna connectors and its SRS ports is inconsistent with the effort to enable transparent TxD</w:t>
      </w:r>
    </w:p>
    <w:p w14:paraId="5D7725F6" w14:textId="27C96E03" w:rsidR="00C260A1" w:rsidRDefault="0059419C" w:rsidP="00C260A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It follows that </w:t>
      </w:r>
      <w:r w:rsidR="00DE136F">
        <w:rPr>
          <w:rFonts w:ascii="Calibri" w:hAnsi="Calibri" w:cs="Calibri"/>
        </w:rPr>
        <w:t xml:space="preserve">to maintain consistency, </w:t>
      </w:r>
      <w:r>
        <w:rPr>
          <w:rFonts w:ascii="Calibri" w:hAnsi="Calibri" w:cs="Calibri"/>
        </w:rPr>
        <w:t>the 2L EVM requirement must be generalized to accommodate UEs with non 1:1 port mapping.</w:t>
      </w:r>
      <w:r w:rsidR="002A4EAB">
        <w:rPr>
          <w:rFonts w:ascii="Calibri" w:hAnsi="Calibri" w:cs="Calibri"/>
        </w:rPr>
        <w:t xml:space="preserve"> </w:t>
      </w:r>
      <w:r w:rsidR="00B9209A">
        <w:rPr>
          <w:rFonts w:ascii="Calibri" w:hAnsi="Calibri" w:cs="Calibri"/>
        </w:rPr>
        <w:t xml:space="preserve">This generalization </w:t>
      </w:r>
      <w:r w:rsidR="00C260A1">
        <w:rPr>
          <w:rFonts w:ascii="Calibri" w:hAnsi="Calibri" w:cs="Calibri"/>
        </w:rPr>
        <w:t xml:space="preserve">can </w:t>
      </w:r>
      <w:r w:rsidR="003A4491">
        <w:rPr>
          <w:rFonts w:ascii="Calibri" w:hAnsi="Calibri" w:cs="Calibri"/>
        </w:rPr>
        <w:t xml:space="preserve">be accomplished </w:t>
      </w:r>
      <w:r w:rsidR="002A4EAB">
        <w:rPr>
          <w:rFonts w:ascii="Calibri" w:hAnsi="Calibri" w:cs="Calibri"/>
        </w:rPr>
        <w:t xml:space="preserve">by </w:t>
      </w:r>
      <w:r w:rsidR="00343905">
        <w:rPr>
          <w:rFonts w:ascii="Calibri" w:hAnsi="Calibri" w:cs="Calibri"/>
        </w:rPr>
        <w:t xml:space="preserve">first resolving </w:t>
      </w:r>
      <w:r w:rsidR="002A4EAB">
        <w:rPr>
          <w:rFonts w:ascii="Calibri" w:hAnsi="Calibri" w:cs="Calibri"/>
        </w:rPr>
        <w:t xml:space="preserve">the data received by the TE </w:t>
      </w:r>
      <w:r w:rsidR="00C260A1">
        <w:rPr>
          <w:rFonts w:ascii="Calibri" w:hAnsi="Calibri" w:cs="Calibri"/>
        </w:rPr>
        <w:t xml:space="preserve">into </w:t>
      </w:r>
      <w:r w:rsidR="002A4EAB">
        <w:rPr>
          <w:rFonts w:ascii="Calibri" w:hAnsi="Calibri" w:cs="Calibri"/>
        </w:rPr>
        <w:t xml:space="preserve">its </w:t>
      </w:r>
      <w:r w:rsidR="00C260A1">
        <w:rPr>
          <w:rFonts w:ascii="Calibri" w:hAnsi="Calibri" w:cs="Calibri"/>
        </w:rPr>
        <w:t>constituent layers</w:t>
      </w:r>
      <w:r w:rsidR="002A4EAB">
        <w:rPr>
          <w:rFonts w:ascii="Calibri" w:hAnsi="Calibri" w:cs="Calibri"/>
        </w:rPr>
        <w:t xml:space="preserve"> prior to </w:t>
      </w:r>
      <w:r w:rsidR="00D56A23">
        <w:rPr>
          <w:rFonts w:ascii="Calibri" w:hAnsi="Calibri" w:cs="Calibri"/>
        </w:rPr>
        <w:t xml:space="preserve">calculation of </w:t>
      </w:r>
      <w:r w:rsidR="003850C4">
        <w:rPr>
          <w:rFonts w:ascii="Calibri" w:hAnsi="Calibri" w:cs="Calibri"/>
        </w:rPr>
        <w:t>EVM</w:t>
      </w:r>
      <w:r w:rsidR="00C260A1">
        <w:rPr>
          <w:rFonts w:ascii="Calibri" w:hAnsi="Calibri" w:cs="Calibri"/>
        </w:rPr>
        <w:t xml:space="preserve">. The EVM metric is therefore more accurately a ‘per-layer metric’, rather than a per connector metric. The per layer metric is also more relevant to the network because it plays a direct role in determining MCS. </w:t>
      </w:r>
    </w:p>
    <w:p w14:paraId="3EF83BEA" w14:textId="0FEF106B" w:rsidR="00C260A1" w:rsidRDefault="00C260A1" w:rsidP="00C260A1">
      <w:pPr>
        <w:rPr>
          <w:b/>
          <w:bCs/>
          <w:lang w:eastAsia="en-US"/>
        </w:rPr>
      </w:pPr>
      <w:r w:rsidRPr="00DA1AC9">
        <w:rPr>
          <w:b/>
          <w:bCs/>
          <w:lang w:eastAsia="en-US"/>
        </w:rPr>
        <w:t xml:space="preserve">Proposal </w:t>
      </w:r>
      <w:r w:rsidR="00814CC3">
        <w:rPr>
          <w:b/>
          <w:bCs/>
          <w:lang w:eastAsia="en-US"/>
        </w:rPr>
        <w:t>1</w:t>
      </w:r>
      <w:r w:rsidRPr="00DA1AC9">
        <w:rPr>
          <w:b/>
          <w:bCs/>
          <w:lang w:eastAsia="en-US"/>
        </w:rPr>
        <w:t>: For 2L UL,</w:t>
      </w:r>
      <w:r>
        <w:rPr>
          <w:b/>
          <w:bCs/>
          <w:lang w:eastAsia="en-US"/>
        </w:rPr>
        <w:t xml:space="preserve"> EVM and</w:t>
      </w:r>
      <w:r w:rsidRPr="00DA1AC9">
        <w:rPr>
          <w:b/>
          <w:bCs/>
          <w:lang w:eastAsia="en-US"/>
        </w:rPr>
        <w:t xml:space="preserve"> EVM equalizer spectrum flatness shall be evaluated per layer. </w:t>
      </w:r>
    </w:p>
    <w:p w14:paraId="4AC6E1A5" w14:textId="74112A89" w:rsidR="00266CF2" w:rsidRPr="00266CF2" w:rsidRDefault="00266CF2" w:rsidP="00C260A1">
      <w:pPr>
        <w:rPr>
          <w:rFonts w:ascii="Calibri" w:hAnsi="Calibri" w:cs="Calibri"/>
        </w:rPr>
      </w:pPr>
      <w:r>
        <w:rPr>
          <w:rFonts w:ascii="Calibri" w:hAnsi="Calibri" w:cs="Calibri"/>
        </w:rPr>
        <w:t>Note that this proposal is independent of method chosen to diagonalize the channel.</w:t>
      </w:r>
      <w:r w:rsidR="00B83716">
        <w:rPr>
          <w:rFonts w:ascii="Calibri" w:hAnsi="Calibri" w:cs="Calibri"/>
        </w:rPr>
        <w:t xml:space="preserve"> This proposal has the added benefit of consistency with the EVM calculation procedures being discussed for FR2 2L UL.</w:t>
      </w:r>
    </w:p>
    <w:p w14:paraId="79D7BEEC" w14:textId="33F1A7B8" w:rsidR="002E56A2" w:rsidRPr="002E56A2" w:rsidRDefault="00C54751" w:rsidP="002E56A2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2.</w:t>
      </w:r>
      <w:r w:rsidR="00515ECE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ab/>
      </w:r>
      <w:r w:rsidR="002E56A2" w:rsidRPr="002E56A2">
        <w:rPr>
          <w:rFonts w:asciiTheme="minorHAnsi" w:hAnsiTheme="minorHAnsi" w:cstheme="minorHAnsi"/>
        </w:rPr>
        <w:t xml:space="preserve">Backward compatibility </w:t>
      </w:r>
    </w:p>
    <w:p w14:paraId="2DA3137A" w14:textId="0E5D5DB2" w:rsidR="007339E5" w:rsidRDefault="00861D83" w:rsidP="002E56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relevant discussion is impact</w:t>
      </w:r>
      <w:r w:rsidR="005B328A">
        <w:rPr>
          <w:rFonts w:asciiTheme="minorHAnsi" w:hAnsiTheme="minorHAnsi" w:cstheme="minorHAnsi"/>
        </w:rPr>
        <w:t xml:space="preserve"> of the new requirement </w:t>
      </w:r>
      <w:r w:rsidR="00C009E8">
        <w:rPr>
          <w:rFonts w:asciiTheme="minorHAnsi" w:hAnsiTheme="minorHAnsi" w:cstheme="minorHAnsi"/>
        </w:rPr>
        <w:t>on</w:t>
      </w:r>
      <w:r w:rsidR="002E56A2" w:rsidRPr="002E56A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both, </w:t>
      </w:r>
      <w:r w:rsidR="002E56A2" w:rsidRPr="002E56A2">
        <w:rPr>
          <w:rFonts w:asciiTheme="minorHAnsi" w:hAnsiTheme="minorHAnsi" w:cstheme="minorHAnsi"/>
        </w:rPr>
        <w:t xml:space="preserve">UEs </w:t>
      </w:r>
      <w:r w:rsidR="001D4DA8">
        <w:rPr>
          <w:rFonts w:asciiTheme="minorHAnsi" w:hAnsiTheme="minorHAnsi" w:cstheme="minorHAnsi"/>
        </w:rPr>
        <w:t xml:space="preserve">and TE </w:t>
      </w:r>
      <w:r w:rsidR="002E56A2" w:rsidRPr="002E56A2">
        <w:rPr>
          <w:rFonts w:asciiTheme="minorHAnsi" w:hAnsiTheme="minorHAnsi" w:cstheme="minorHAnsi"/>
        </w:rPr>
        <w:t xml:space="preserve">designed to the existing requirement. Legacy UEs would automatically meet the new </w:t>
      </w:r>
      <w:r w:rsidR="001D4058" w:rsidRPr="002E56A2">
        <w:rPr>
          <w:rFonts w:asciiTheme="minorHAnsi" w:hAnsiTheme="minorHAnsi" w:cstheme="minorHAnsi"/>
        </w:rPr>
        <w:t>requirement because</w:t>
      </w:r>
      <w:r w:rsidR="002E56A2" w:rsidRPr="002E56A2">
        <w:rPr>
          <w:rFonts w:asciiTheme="minorHAnsi" w:hAnsiTheme="minorHAnsi" w:cstheme="minorHAnsi"/>
        </w:rPr>
        <w:t xml:space="preserve"> </w:t>
      </w:r>
      <w:r w:rsidR="00B62906">
        <w:rPr>
          <w:rFonts w:asciiTheme="minorHAnsi" w:hAnsiTheme="minorHAnsi" w:cstheme="minorHAnsi"/>
        </w:rPr>
        <w:t>they</w:t>
      </w:r>
      <w:r w:rsidR="002E56A2" w:rsidRPr="002E56A2">
        <w:rPr>
          <w:rFonts w:asciiTheme="minorHAnsi" w:hAnsiTheme="minorHAnsi" w:cstheme="minorHAnsi"/>
        </w:rPr>
        <w:t xml:space="preserve"> represent </w:t>
      </w:r>
      <w:r w:rsidR="001D4058">
        <w:rPr>
          <w:rFonts w:asciiTheme="minorHAnsi" w:hAnsiTheme="minorHAnsi" w:cstheme="minorHAnsi"/>
        </w:rPr>
        <w:t xml:space="preserve">the simplest port mapping arrangement among those that </w:t>
      </w:r>
      <w:r w:rsidR="00592350">
        <w:rPr>
          <w:rFonts w:asciiTheme="minorHAnsi" w:hAnsiTheme="minorHAnsi" w:cstheme="minorHAnsi"/>
        </w:rPr>
        <w:t>would be</w:t>
      </w:r>
      <w:r w:rsidR="001D4058">
        <w:rPr>
          <w:rFonts w:asciiTheme="minorHAnsi" w:hAnsiTheme="minorHAnsi" w:cstheme="minorHAnsi"/>
        </w:rPr>
        <w:t xml:space="preserve"> allowed </w:t>
      </w:r>
      <w:r w:rsidR="00482228">
        <w:rPr>
          <w:rFonts w:asciiTheme="minorHAnsi" w:hAnsiTheme="minorHAnsi" w:cstheme="minorHAnsi"/>
        </w:rPr>
        <w:t xml:space="preserve">per </w:t>
      </w:r>
      <w:r w:rsidR="00057EDE">
        <w:rPr>
          <w:rFonts w:asciiTheme="minorHAnsi" w:hAnsiTheme="minorHAnsi" w:cstheme="minorHAnsi"/>
        </w:rPr>
        <w:t xml:space="preserve">the generalized EVM requirement </w:t>
      </w:r>
      <w:r w:rsidR="00482228">
        <w:rPr>
          <w:rFonts w:asciiTheme="minorHAnsi" w:hAnsiTheme="minorHAnsi" w:cstheme="minorHAnsi"/>
        </w:rPr>
        <w:t>proposal</w:t>
      </w:r>
      <w:r w:rsidR="002E56A2" w:rsidRPr="002E56A2">
        <w:rPr>
          <w:rFonts w:asciiTheme="minorHAnsi" w:hAnsiTheme="minorHAnsi" w:cstheme="minorHAnsi"/>
        </w:rPr>
        <w:t>.</w:t>
      </w:r>
      <w:r w:rsidR="007C75EA">
        <w:rPr>
          <w:rFonts w:asciiTheme="minorHAnsi" w:hAnsiTheme="minorHAnsi" w:cstheme="minorHAnsi"/>
        </w:rPr>
        <w:t xml:space="preserve"> Legacy TEs </w:t>
      </w:r>
      <w:r w:rsidR="000C18FF">
        <w:rPr>
          <w:rFonts w:asciiTheme="minorHAnsi" w:hAnsiTheme="minorHAnsi" w:cstheme="minorHAnsi"/>
        </w:rPr>
        <w:t>c</w:t>
      </w:r>
      <w:r w:rsidR="007C75EA">
        <w:rPr>
          <w:rFonts w:asciiTheme="minorHAnsi" w:hAnsiTheme="minorHAnsi" w:cstheme="minorHAnsi"/>
        </w:rPr>
        <w:t>ould declare UEs that use</w:t>
      </w:r>
      <w:r w:rsidR="000C18FF">
        <w:rPr>
          <w:rFonts w:asciiTheme="minorHAnsi" w:hAnsiTheme="minorHAnsi" w:cstheme="minorHAnsi"/>
        </w:rPr>
        <w:t xml:space="preserve"> </w:t>
      </w:r>
      <w:r w:rsidR="00F215FF">
        <w:rPr>
          <w:rFonts w:asciiTheme="minorHAnsi" w:hAnsiTheme="minorHAnsi" w:cstheme="minorHAnsi"/>
        </w:rPr>
        <w:t>non 1:1 mapping</w:t>
      </w:r>
      <w:r w:rsidR="007D3EE1">
        <w:rPr>
          <w:rFonts w:asciiTheme="minorHAnsi" w:hAnsiTheme="minorHAnsi" w:cstheme="minorHAnsi"/>
        </w:rPr>
        <w:t xml:space="preserve"> as non-compliant however, because they lack the ability to diagonalize the channel. </w:t>
      </w:r>
      <w:r w:rsidR="007339E5">
        <w:rPr>
          <w:rFonts w:asciiTheme="minorHAnsi" w:hAnsiTheme="minorHAnsi" w:cstheme="minorHAnsi"/>
        </w:rPr>
        <w:t xml:space="preserve">Table 2.2-1 captures the </w:t>
      </w:r>
      <w:r w:rsidR="002A2B51">
        <w:rPr>
          <w:rFonts w:asciiTheme="minorHAnsi" w:hAnsiTheme="minorHAnsi" w:cstheme="minorHAnsi"/>
        </w:rPr>
        <w:t xml:space="preserve">possibilities and outcomes </w:t>
      </w:r>
      <w:r w:rsidR="00B72427">
        <w:rPr>
          <w:rFonts w:asciiTheme="minorHAnsi" w:hAnsiTheme="minorHAnsi" w:cstheme="minorHAnsi"/>
        </w:rPr>
        <w:t>for this change</w:t>
      </w:r>
      <w:r w:rsidR="00BE2EFB">
        <w:rPr>
          <w:rFonts w:asciiTheme="minorHAnsi" w:hAnsiTheme="minorHAnsi" w:cstheme="minorHAnsi"/>
        </w:rPr>
        <w:t>.</w:t>
      </w:r>
      <w:r w:rsidR="00EC6E26">
        <w:rPr>
          <w:rFonts w:asciiTheme="minorHAnsi" w:hAnsiTheme="minorHAnsi" w:cstheme="minorHAnsi"/>
        </w:rPr>
        <w:t xml:space="preserve"> </w:t>
      </w:r>
      <w:r w:rsidR="00F64968">
        <w:rPr>
          <w:rFonts w:asciiTheme="minorHAnsi" w:hAnsiTheme="minorHAnsi" w:cstheme="minorHAnsi"/>
        </w:rPr>
        <w:t>‘Compliance</w:t>
      </w:r>
      <w:r w:rsidR="00EC6E26">
        <w:rPr>
          <w:rFonts w:asciiTheme="minorHAnsi" w:hAnsiTheme="minorHAnsi" w:cstheme="minorHAnsi"/>
        </w:rPr>
        <w:t>’ here is meant in the sense of the SNR seen by the receiver after demodulation and diagonalization of the channel.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6"/>
      </w:tblGrid>
      <w:tr w:rsidR="00804B97" w14:paraId="5BB0CDDB" w14:textId="77777777" w:rsidTr="00804B97">
        <w:trPr>
          <w:jc w:val="center"/>
        </w:trPr>
        <w:tc>
          <w:tcPr>
            <w:tcW w:w="2405" w:type="dxa"/>
            <w:vAlign w:val="center"/>
          </w:tcPr>
          <w:p w14:paraId="53570D81" w14:textId="77777777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05" w:type="dxa"/>
            <w:vAlign w:val="center"/>
          </w:tcPr>
          <w:p w14:paraId="4DADE621" w14:textId="2D8871F0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UE designed to old RAN4 EVM requirements</w:t>
            </w:r>
          </w:p>
        </w:tc>
        <w:tc>
          <w:tcPr>
            <w:tcW w:w="2406" w:type="dxa"/>
            <w:vAlign w:val="center"/>
          </w:tcPr>
          <w:p w14:paraId="236258C8" w14:textId="4E7EC864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UE with port mapping different than 1:1</w:t>
            </w:r>
          </w:p>
        </w:tc>
      </w:tr>
      <w:tr w:rsidR="00804B97" w14:paraId="5DDE82DF" w14:textId="77777777" w:rsidTr="00804B97">
        <w:trPr>
          <w:jc w:val="center"/>
        </w:trPr>
        <w:tc>
          <w:tcPr>
            <w:tcW w:w="2405" w:type="dxa"/>
            <w:vAlign w:val="center"/>
          </w:tcPr>
          <w:p w14:paraId="28D639E7" w14:textId="0154E417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Legacy TE and existing RAN4 requirement</w:t>
            </w:r>
          </w:p>
        </w:tc>
        <w:tc>
          <w:tcPr>
            <w:tcW w:w="2405" w:type="dxa"/>
            <w:vAlign w:val="center"/>
          </w:tcPr>
          <w:p w14:paraId="3D78299C" w14:textId="1F0C7138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Compliant</w:t>
            </w:r>
          </w:p>
        </w:tc>
        <w:tc>
          <w:tcPr>
            <w:tcW w:w="2406" w:type="dxa"/>
            <w:vAlign w:val="center"/>
          </w:tcPr>
          <w:p w14:paraId="45E12594" w14:textId="17E409BF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Non-compliant</w:t>
            </w:r>
            <w:r w:rsidR="006A7D2D">
              <w:rPr>
                <w:rFonts w:asciiTheme="minorHAnsi" w:hAnsiTheme="minorHAnsi" w:cstheme="minorHAnsi"/>
              </w:rPr>
              <w:t xml:space="preserve"> in general case.</w:t>
            </w:r>
          </w:p>
        </w:tc>
      </w:tr>
      <w:tr w:rsidR="00804B97" w14:paraId="0A96E714" w14:textId="77777777" w:rsidTr="00804B97">
        <w:trPr>
          <w:jc w:val="center"/>
        </w:trPr>
        <w:tc>
          <w:tcPr>
            <w:tcW w:w="2405" w:type="dxa"/>
            <w:vAlign w:val="center"/>
          </w:tcPr>
          <w:p w14:paraId="3C4F9195" w14:textId="07E96912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Proposed TE method + ‘per layer’</w:t>
            </w:r>
          </w:p>
        </w:tc>
        <w:tc>
          <w:tcPr>
            <w:tcW w:w="2405" w:type="dxa"/>
            <w:vAlign w:val="center"/>
          </w:tcPr>
          <w:p w14:paraId="5390E289" w14:textId="318855DC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Compliant</w:t>
            </w:r>
          </w:p>
        </w:tc>
        <w:tc>
          <w:tcPr>
            <w:tcW w:w="2406" w:type="dxa"/>
            <w:vAlign w:val="center"/>
          </w:tcPr>
          <w:p w14:paraId="784F80B3" w14:textId="6971D6EB" w:rsidR="00804B97" w:rsidRDefault="00804B97" w:rsidP="00804B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Compliant</w:t>
            </w:r>
          </w:p>
        </w:tc>
      </w:tr>
    </w:tbl>
    <w:p w14:paraId="0AC0DD65" w14:textId="77777777" w:rsidR="00BD40E1" w:rsidRPr="002E56A2" w:rsidRDefault="00BD40E1" w:rsidP="002E56A2">
      <w:pPr>
        <w:rPr>
          <w:rFonts w:asciiTheme="minorHAnsi" w:hAnsiTheme="minorHAnsi" w:cstheme="minorHAnsi"/>
        </w:rPr>
      </w:pPr>
    </w:p>
    <w:p w14:paraId="5C51EA7C" w14:textId="106EBB74" w:rsidR="002E56A2" w:rsidRDefault="002E56A2" w:rsidP="002E56A2">
      <w:pPr>
        <w:rPr>
          <w:rFonts w:asciiTheme="minorHAnsi" w:hAnsiTheme="minorHAnsi" w:cstheme="minorHAnsi"/>
        </w:rPr>
      </w:pPr>
      <w:r w:rsidRPr="002E56A2">
        <w:rPr>
          <w:rFonts w:asciiTheme="minorHAnsi" w:hAnsiTheme="minorHAnsi" w:cstheme="minorHAnsi"/>
          <w:b/>
          <w:bCs/>
        </w:rPr>
        <w:t xml:space="preserve">Observation </w:t>
      </w:r>
      <w:r w:rsidR="00B263AD">
        <w:rPr>
          <w:rFonts w:asciiTheme="minorHAnsi" w:hAnsiTheme="minorHAnsi" w:cstheme="minorHAnsi"/>
          <w:b/>
          <w:bCs/>
        </w:rPr>
        <w:t>3</w:t>
      </w:r>
      <w:r w:rsidRPr="002E56A2">
        <w:rPr>
          <w:rFonts w:asciiTheme="minorHAnsi" w:hAnsiTheme="minorHAnsi" w:cstheme="minorHAnsi"/>
          <w:b/>
          <w:bCs/>
        </w:rPr>
        <w:t>: Legacy UEs that meet the old 2L EVM requirement will also meet the new requirement</w:t>
      </w:r>
      <w:r w:rsidR="00F876A8">
        <w:rPr>
          <w:rFonts w:asciiTheme="minorHAnsi" w:hAnsiTheme="minorHAnsi" w:cstheme="minorHAnsi"/>
          <w:b/>
          <w:bCs/>
        </w:rPr>
        <w:t xml:space="preserve"> with the new TE method</w:t>
      </w:r>
      <w:r w:rsidRPr="002E56A2">
        <w:rPr>
          <w:rFonts w:asciiTheme="minorHAnsi" w:hAnsiTheme="minorHAnsi" w:cstheme="minorHAnsi"/>
          <w:b/>
          <w:bCs/>
        </w:rPr>
        <w:t>.</w:t>
      </w:r>
      <w:r w:rsidRPr="002E56A2">
        <w:rPr>
          <w:rFonts w:asciiTheme="minorHAnsi" w:hAnsiTheme="minorHAnsi" w:cstheme="minorHAnsi"/>
        </w:rPr>
        <w:t xml:space="preserve"> </w:t>
      </w:r>
    </w:p>
    <w:p w14:paraId="4C36E08F" w14:textId="70B41FB6" w:rsidR="00E10BD7" w:rsidRPr="002E56A2" w:rsidRDefault="00E10BD7" w:rsidP="002E56A2">
      <w:pPr>
        <w:rPr>
          <w:rFonts w:asciiTheme="minorHAnsi" w:hAnsiTheme="minorHAnsi" w:cstheme="minorHAnsi"/>
        </w:rPr>
      </w:pPr>
      <w:r w:rsidRPr="002E56A2">
        <w:rPr>
          <w:rFonts w:asciiTheme="minorHAnsi" w:hAnsiTheme="minorHAnsi" w:cstheme="minorHAnsi"/>
          <w:b/>
          <w:bCs/>
        </w:rPr>
        <w:t>Observation</w:t>
      </w:r>
      <w:r w:rsidR="00B263AD">
        <w:rPr>
          <w:rFonts w:asciiTheme="minorHAnsi" w:hAnsiTheme="minorHAnsi" w:cstheme="minorHAnsi"/>
          <w:b/>
          <w:bCs/>
        </w:rPr>
        <w:t xml:space="preserve"> 4</w:t>
      </w:r>
      <w:r w:rsidRPr="002E56A2">
        <w:rPr>
          <w:rFonts w:asciiTheme="minorHAnsi" w:hAnsiTheme="minorHAnsi" w:cstheme="minorHAnsi"/>
          <w:b/>
          <w:bCs/>
        </w:rPr>
        <w:t xml:space="preserve">: Legacy </w:t>
      </w:r>
      <w:r>
        <w:rPr>
          <w:rFonts w:asciiTheme="minorHAnsi" w:hAnsiTheme="minorHAnsi" w:cstheme="minorHAnsi"/>
          <w:b/>
          <w:bCs/>
        </w:rPr>
        <w:t>TE</w:t>
      </w:r>
      <w:r w:rsidRPr="002E56A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built to</w:t>
      </w:r>
      <w:r w:rsidRPr="002E56A2">
        <w:rPr>
          <w:rFonts w:asciiTheme="minorHAnsi" w:hAnsiTheme="minorHAnsi" w:cstheme="minorHAnsi"/>
          <w:b/>
          <w:bCs/>
        </w:rPr>
        <w:t xml:space="preserve"> the old 2L EVM requirement </w:t>
      </w:r>
      <w:r w:rsidR="0068220C">
        <w:rPr>
          <w:rFonts w:asciiTheme="minorHAnsi" w:hAnsiTheme="minorHAnsi" w:cstheme="minorHAnsi"/>
          <w:b/>
          <w:bCs/>
        </w:rPr>
        <w:t>can</w:t>
      </w:r>
      <w:r w:rsidRPr="002E56A2">
        <w:rPr>
          <w:rFonts w:asciiTheme="minorHAnsi" w:hAnsiTheme="minorHAnsi" w:cstheme="minorHAnsi"/>
          <w:b/>
          <w:bCs/>
        </w:rPr>
        <w:t xml:space="preserve"> </w:t>
      </w:r>
      <w:r w:rsidR="00A16BCB">
        <w:rPr>
          <w:rFonts w:asciiTheme="minorHAnsi" w:hAnsiTheme="minorHAnsi" w:cstheme="minorHAnsi"/>
          <w:b/>
          <w:bCs/>
        </w:rPr>
        <w:t>cause false failures of compliant UEs</w:t>
      </w:r>
      <w:r w:rsidRPr="002E56A2">
        <w:rPr>
          <w:rFonts w:asciiTheme="minorHAnsi" w:hAnsiTheme="minorHAnsi" w:cstheme="minorHAnsi"/>
          <w:b/>
          <w:bCs/>
        </w:rPr>
        <w:t>.</w:t>
      </w:r>
      <w:r w:rsidRPr="002E56A2">
        <w:rPr>
          <w:rFonts w:asciiTheme="minorHAnsi" w:hAnsiTheme="minorHAnsi" w:cstheme="minorHAnsi"/>
        </w:rPr>
        <w:t xml:space="preserve"> </w:t>
      </w:r>
    </w:p>
    <w:p w14:paraId="7BD3610D" w14:textId="70B5AF00" w:rsidR="0057490C" w:rsidRDefault="0057490C" w:rsidP="0057490C">
      <w:pPr>
        <w:pStyle w:val="Heading1"/>
      </w:pPr>
      <w:r>
        <w:t xml:space="preserve">3. </w:t>
      </w:r>
      <w:r>
        <w:tab/>
        <w:t>Conclusion</w:t>
      </w:r>
    </w:p>
    <w:p w14:paraId="038049BA" w14:textId="77777777" w:rsidR="003F4F47" w:rsidRPr="00A14644" w:rsidRDefault="003F4F47" w:rsidP="003F4F47">
      <w:pPr>
        <w:rPr>
          <w:rFonts w:ascii="Calibri" w:hAnsi="Calibri" w:cs="Calibri"/>
          <w:b/>
          <w:bCs/>
        </w:rPr>
      </w:pPr>
      <w:r w:rsidRPr="00A14644">
        <w:rPr>
          <w:rFonts w:ascii="Calibri" w:hAnsi="Calibri" w:cs="Calibri"/>
          <w:b/>
          <w:bCs/>
        </w:rPr>
        <w:t xml:space="preserve">Observation 1: </w:t>
      </w:r>
      <w:r>
        <w:rPr>
          <w:rFonts w:ascii="Calibri" w:hAnsi="Calibri" w:cs="Calibri"/>
          <w:b/>
          <w:bCs/>
        </w:rPr>
        <w:t>RAN4 recognizes that an FR1 UE can have non</w:t>
      </w:r>
      <w:r w:rsidRPr="00A14644">
        <w:rPr>
          <w:rFonts w:ascii="Calibri" w:hAnsi="Calibri" w:cs="Calibri"/>
          <w:b/>
          <w:bCs/>
        </w:rPr>
        <w:t>-1:1 mapping between a UE’s antenna connectors and its SRS port(s)</w:t>
      </w:r>
      <w:r>
        <w:rPr>
          <w:rFonts w:ascii="Calibri" w:hAnsi="Calibri" w:cs="Calibri"/>
          <w:b/>
          <w:bCs/>
        </w:rPr>
        <w:t>, by virtue of the effort to enable transparent TxD.</w:t>
      </w:r>
    </w:p>
    <w:p w14:paraId="69E3658C" w14:textId="77777777" w:rsidR="003F4F47" w:rsidRPr="008970BC" w:rsidRDefault="003F4F47" w:rsidP="003F4F47">
      <w:pPr>
        <w:rPr>
          <w:rFonts w:ascii="Calibri" w:hAnsi="Calibri" w:cs="Calibri"/>
          <w:b/>
          <w:bCs/>
        </w:rPr>
      </w:pPr>
      <w:r w:rsidRPr="008970BC">
        <w:rPr>
          <w:rFonts w:ascii="Calibri" w:hAnsi="Calibri" w:cs="Calibri"/>
          <w:b/>
          <w:bCs/>
        </w:rPr>
        <w:t>Observation 2: The FR1 2L EVM requirement which mandates a 1:1 relationship between a UE’s antenna connectors and its SRS ports is inconsistent with the effort to enable transparent TxD</w:t>
      </w:r>
    </w:p>
    <w:p w14:paraId="61183B3E" w14:textId="61558587" w:rsidR="003F4F47" w:rsidRDefault="003F4F47" w:rsidP="003F4F47">
      <w:pPr>
        <w:rPr>
          <w:b/>
          <w:bCs/>
          <w:lang w:eastAsia="en-US"/>
        </w:rPr>
      </w:pPr>
      <w:r w:rsidRPr="00DA1AC9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DA1AC9">
        <w:rPr>
          <w:b/>
          <w:bCs/>
          <w:lang w:eastAsia="en-US"/>
        </w:rPr>
        <w:t>: For 2L UL,</w:t>
      </w:r>
      <w:r>
        <w:rPr>
          <w:b/>
          <w:bCs/>
          <w:lang w:eastAsia="en-US"/>
        </w:rPr>
        <w:t xml:space="preserve"> EVM and</w:t>
      </w:r>
      <w:r w:rsidRPr="00DA1AC9">
        <w:rPr>
          <w:b/>
          <w:bCs/>
          <w:lang w:eastAsia="en-US"/>
        </w:rPr>
        <w:t xml:space="preserve"> EVM equalizer spectrum flatness shall be evaluated per. </w:t>
      </w:r>
    </w:p>
    <w:p w14:paraId="78078467" w14:textId="5E1E5248" w:rsidR="000B23D5" w:rsidRDefault="00227BDE" w:rsidP="0059730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Backward compatibility was also analysed across the </w:t>
      </w:r>
      <w:r w:rsidR="0061268D">
        <w:rPr>
          <w:rFonts w:ascii="Calibri" w:hAnsi="Calibri" w:cs="Calibri"/>
        </w:rPr>
        <w:t>proposed changes:</w:t>
      </w:r>
    </w:p>
    <w:p w14:paraId="5B56B2A7" w14:textId="77777777" w:rsidR="003F4F47" w:rsidRDefault="003F4F47" w:rsidP="003F4F47">
      <w:pPr>
        <w:rPr>
          <w:rFonts w:asciiTheme="minorHAnsi" w:hAnsiTheme="minorHAnsi" w:cstheme="minorHAnsi"/>
        </w:rPr>
      </w:pPr>
      <w:r w:rsidRPr="002E56A2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>3</w:t>
      </w:r>
      <w:r w:rsidRPr="002E56A2">
        <w:rPr>
          <w:rFonts w:asciiTheme="minorHAnsi" w:hAnsiTheme="minorHAnsi" w:cstheme="minorHAnsi"/>
          <w:b/>
          <w:bCs/>
        </w:rPr>
        <w:t>: Legacy UEs that meet the old 2L EVM requirement will also meet the new requirement</w:t>
      </w:r>
      <w:r>
        <w:rPr>
          <w:rFonts w:asciiTheme="minorHAnsi" w:hAnsiTheme="minorHAnsi" w:cstheme="minorHAnsi"/>
          <w:b/>
          <w:bCs/>
        </w:rPr>
        <w:t xml:space="preserve"> with the new TE method</w:t>
      </w:r>
      <w:r w:rsidRPr="002E56A2">
        <w:rPr>
          <w:rFonts w:asciiTheme="minorHAnsi" w:hAnsiTheme="minorHAnsi" w:cstheme="minorHAnsi"/>
          <w:b/>
          <w:bCs/>
        </w:rPr>
        <w:t>.</w:t>
      </w:r>
      <w:r w:rsidRPr="002E56A2">
        <w:rPr>
          <w:rFonts w:asciiTheme="minorHAnsi" w:hAnsiTheme="minorHAnsi" w:cstheme="minorHAnsi"/>
        </w:rPr>
        <w:t xml:space="preserve"> </w:t>
      </w:r>
    </w:p>
    <w:p w14:paraId="28109513" w14:textId="77777777" w:rsidR="003F4F47" w:rsidRPr="002E56A2" w:rsidRDefault="003F4F47" w:rsidP="003F4F47">
      <w:pPr>
        <w:rPr>
          <w:rFonts w:asciiTheme="minorHAnsi" w:hAnsiTheme="minorHAnsi" w:cstheme="minorHAnsi"/>
        </w:rPr>
      </w:pPr>
      <w:r w:rsidRPr="002E56A2">
        <w:rPr>
          <w:rFonts w:asciiTheme="minorHAnsi" w:hAnsiTheme="minorHAnsi" w:cstheme="minorHAnsi"/>
          <w:b/>
          <w:bCs/>
        </w:rPr>
        <w:t>Observation</w:t>
      </w:r>
      <w:r>
        <w:rPr>
          <w:rFonts w:asciiTheme="minorHAnsi" w:hAnsiTheme="minorHAnsi" w:cstheme="minorHAnsi"/>
          <w:b/>
          <w:bCs/>
        </w:rPr>
        <w:t xml:space="preserve"> 4</w:t>
      </w:r>
      <w:r w:rsidRPr="002E56A2">
        <w:rPr>
          <w:rFonts w:asciiTheme="minorHAnsi" w:hAnsiTheme="minorHAnsi" w:cstheme="minorHAnsi"/>
          <w:b/>
          <w:bCs/>
        </w:rPr>
        <w:t xml:space="preserve">: Legacy </w:t>
      </w:r>
      <w:r>
        <w:rPr>
          <w:rFonts w:asciiTheme="minorHAnsi" w:hAnsiTheme="minorHAnsi" w:cstheme="minorHAnsi"/>
          <w:b/>
          <w:bCs/>
        </w:rPr>
        <w:t>TE</w:t>
      </w:r>
      <w:r w:rsidRPr="002E56A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built to</w:t>
      </w:r>
      <w:r w:rsidRPr="002E56A2">
        <w:rPr>
          <w:rFonts w:asciiTheme="minorHAnsi" w:hAnsiTheme="minorHAnsi" w:cstheme="minorHAnsi"/>
          <w:b/>
          <w:bCs/>
        </w:rPr>
        <w:t xml:space="preserve"> the old 2L EVM requirement </w:t>
      </w:r>
      <w:r>
        <w:rPr>
          <w:rFonts w:asciiTheme="minorHAnsi" w:hAnsiTheme="minorHAnsi" w:cstheme="minorHAnsi"/>
          <w:b/>
          <w:bCs/>
        </w:rPr>
        <w:t>can</w:t>
      </w:r>
      <w:r w:rsidRPr="002E56A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cause false failures of compliant UEs</w:t>
      </w:r>
      <w:r w:rsidRPr="002E56A2">
        <w:rPr>
          <w:rFonts w:asciiTheme="minorHAnsi" w:hAnsiTheme="minorHAnsi" w:cstheme="minorHAnsi"/>
          <w:b/>
          <w:bCs/>
        </w:rPr>
        <w:t>.</w:t>
      </w:r>
      <w:r w:rsidRPr="002E56A2">
        <w:rPr>
          <w:rFonts w:asciiTheme="minorHAnsi" w:hAnsiTheme="minorHAnsi" w:cstheme="minorHAnsi"/>
        </w:rPr>
        <w:t xml:space="preserve"> </w:t>
      </w:r>
    </w:p>
    <w:p w14:paraId="51EFEE84" w14:textId="5DF204B8" w:rsidR="007865FC" w:rsidRPr="007865FC" w:rsidRDefault="007865FC" w:rsidP="0059730F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</w:t>
      </w:r>
      <w:r w:rsidRPr="002E56A2">
        <w:rPr>
          <w:rFonts w:asciiTheme="minorHAnsi" w:hAnsiTheme="minorHAnsi" w:cstheme="minorHAnsi"/>
        </w:rPr>
        <w:t>roposal</w:t>
      </w:r>
      <w:r>
        <w:rPr>
          <w:rFonts w:asciiTheme="minorHAnsi" w:hAnsiTheme="minorHAnsi" w:cstheme="minorHAnsi"/>
        </w:rPr>
        <w:t xml:space="preserve"> </w:t>
      </w:r>
      <w:r w:rsidR="00771511">
        <w:rPr>
          <w:rFonts w:asciiTheme="minorHAnsi" w:hAnsiTheme="minorHAnsi" w:cstheme="minorHAnsi"/>
        </w:rPr>
        <w:t>1</w:t>
      </w:r>
      <w:r w:rsidRPr="002E56A2">
        <w:rPr>
          <w:rFonts w:asciiTheme="minorHAnsi" w:hAnsiTheme="minorHAnsi" w:cstheme="minorHAnsi"/>
        </w:rPr>
        <w:t xml:space="preserve"> and supporting changes </w:t>
      </w:r>
      <w:r>
        <w:rPr>
          <w:rFonts w:asciiTheme="minorHAnsi" w:hAnsiTheme="minorHAnsi" w:cstheme="minorHAnsi"/>
        </w:rPr>
        <w:t>are captured</w:t>
      </w:r>
      <w:r w:rsidRPr="002E56A2">
        <w:rPr>
          <w:rFonts w:asciiTheme="minorHAnsi" w:hAnsiTheme="minorHAnsi" w:cstheme="minorHAnsi"/>
        </w:rPr>
        <w:t xml:space="preserve"> in</w:t>
      </w:r>
      <w:r>
        <w:rPr>
          <w:rFonts w:asciiTheme="minorHAnsi" w:hAnsiTheme="minorHAnsi" w:cstheme="minorHAnsi"/>
        </w:rPr>
        <w:t xml:space="preserve"> a companion CR</w:t>
      </w:r>
      <w:r w:rsidRPr="002E56A2">
        <w:rPr>
          <w:rFonts w:asciiTheme="minorHAnsi" w:hAnsiTheme="minorHAnsi" w:cstheme="minorHAnsi"/>
        </w:rPr>
        <w:t xml:space="preserve"> [</w:t>
      </w:r>
      <w:r w:rsidR="00E36565">
        <w:rPr>
          <w:rFonts w:asciiTheme="minorHAnsi" w:hAnsiTheme="minorHAnsi" w:cstheme="minorHAnsi"/>
        </w:rPr>
        <w:t>2</w:t>
      </w:r>
      <w:r w:rsidRPr="002E56A2">
        <w:rPr>
          <w:rFonts w:asciiTheme="minorHAnsi" w:hAnsiTheme="minorHAnsi" w:cstheme="minorHAnsi"/>
        </w:rPr>
        <w:t>]</w:t>
      </w:r>
      <w:r>
        <w:rPr>
          <w:rFonts w:asciiTheme="minorHAnsi" w:hAnsiTheme="minorHAnsi" w:cstheme="minorHAnsi"/>
        </w:rPr>
        <w:t>.</w:t>
      </w:r>
    </w:p>
    <w:p w14:paraId="1F63889B" w14:textId="2B717623" w:rsidR="0045428D" w:rsidRDefault="0057490C" w:rsidP="00534C0E">
      <w:pPr>
        <w:pStyle w:val="Heading1"/>
        <w:rPr>
          <w:b/>
          <w:sz w:val="24"/>
        </w:rPr>
      </w:pPr>
      <w:r>
        <w:t>4</w:t>
      </w:r>
      <w:r w:rsidR="00534C0E">
        <w:t xml:space="preserve">. </w:t>
      </w:r>
      <w:r w:rsidR="00534C0E">
        <w:tab/>
      </w:r>
      <w:r w:rsidR="00934DE1" w:rsidRPr="00534C0E">
        <w:t>References</w:t>
      </w:r>
    </w:p>
    <w:p w14:paraId="06F1DACD" w14:textId="047A4299" w:rsidR="007C426D" w:rsidRDefault="00190FD2" w:rsidP="002705E8">
      <w:pPr>
        <w:pStyle w:val="11BodyText"/>
        <w:numPr>
          <w:ilvl w:val="0"/>
          <w:numId w:val="17"/>
        </w:numPr>
        <w:tabs>
          <w:tab w:val="left" w:pos="1080"/>
        </w:tabs>
        <w:overflowPunct w:val="0"/>
        <w:autoSpaceDE w:val="0"/>
        <w:autoSpaceDN w:val="0"/>
        <w:adjustRightInd w:val="0"/>
        <w:rPr>
          <w:rFonts w:cs="Arial"/>
          <w:bCs/>
          <w:sz w:val="18"/>
          <w:szCs w:val="18"/>
        </w:rPr>
      </w:pPr>
      <w:r w:rsidRPr="00D76EF4">
        <w:rPr>
          <w:rFonts w:cs="Arial"/>
          <w:bCs/>
          <w:sz w:val="18"/>
          <w:szCs w:val="18"/>
        </w:rPr>
        <w:t>R4-2</w:t>
      </w:r>
      <w:r>
        <w:rPr>
          <w:rFonts w:cs="Arial"/>
          <w:bCs/>
          <w:sz w:val="18"/>
          <w:szCs w:val="18"/>
        </w:rPr>
        <w:t>102661</w:t>
      </w:r>
      <w:r w:rsidRPr="00544045">
        <w:rPr>
          <w:rFonts w:cs="Arial"/>
          <w:bCs/>
          <w:sz w:val="18"/>
          <w:szCs w:val="18"/>
        </w:rPr>
        <w:t>,</w:t>
      </w:r>
      <w:r>
        <w:rPr>
          <w:rFonts w:cs="Arial"/>
          <w:bCs/>
          <w:sz w:val="18"/>
          <w:szCs w:val="18"/>
        </w:rPr>
        <w:t xml:space="preserve"> ‘</w:t>
      </w:r>
      <w:r w:rsidRPr="003778CD">
        <w:rPr>
          <w:rFonts w:cs="Arial"/>
          <w:bCs/>
          <w:sz w:val="18"/>
          <w:szCs w:val="18"/>
        </w:rPr>
        <w:t>On FR1 2L UL EVM Requirement</w:t>
      </w:r>
      <w:r>
        <w:rPr>
          <w:rFonts w:cs="Arial"/>
          <w:bCs/>
          <w:sz w:val="18"/>
          <w:szCs w:val="18"/>
        </w:rPr>
        <w:t>’</w:t>
      </w:r>
      <w:r w:rsidRPr="00544045">
        <w:rPr>
          <w:rFonts w:cs="Arial"/>
          <w:bCs/>
          <w:sz w:val="18"/>
          <w:szCs w:val="18"/>
        </w:rPr>
        <w:t>, Qualcomm</w:t>
      </w:r>
      <w:r>
        <w:rPr>
          <w:rFonts w:cs="Arial"/>
          <w:bCs/>
          <w:sz w:val="18"/>
          <w:szCs w:val="18"/>
        </w:rPr>
        <w:t xml:space="preserve"> et al,</w:t>
      </w:r>
      <w:r w:rsidRPr="00544045">
        <w:rPr>
          <w:rFonts w:cs="Arial"/>
          <w:bCs/>
          <w:sz w:val="18"/>
          <w:szCs w:val="18"/>
        </w:rPr>
        <w:t xml:space="preserve"> RAN4#9</w:t>
      </w:r>
      <w:r>
        <w:rPr>
          <w:rFonts w:cs="Arial"/>
          <w:bCs/>
          <w:sz w:val="18"/>
          <w:szCs w:val="18"/>
        </w:rPr>
        <w:t>8-e</w:t>
      </w:r>
      <w:r w:rsidRPr="00544045">
        <w:rPr>
          <w:rFonts w:cs="Arial"/>
          <w:bCs/>
          <w:sz w:val="18"/>
          <w:szCs w:val="18"/>
        </w:rPr>
        <w:t xml:space="preserve">, </w:t>
      </w:r>
      <w:r>
        <w:rPr>
          <w:rFonts w:cs="Arial"/>
          <w:bCs/>
          <w:sz w:val="18"/>
          <w:szCs w:val="18"/>
        </w:rPr>
        <w:t>Jan-Feb</w:t>
      </w:r>
      <w:r w:rsidRPr="00544045">
        <w:rPr>
          <w:rFonts w:cs="Arial"/>
          <w:bCs/>
          <w:sz w:val="18"/>
          <w:szCs w:val="18"/>
        </w:rPr>
        <w:t xml:space="preserve"> 20</w:t>
      </w:r>
      <w:r>
        <w:rPr>
          <w:rFonts w:cs="Arial"/>
          <w:bCs/>
          <w:sz w:val="18"/>
          <w:szCs w:val="18"/>
        </w:rPr>
        <w:t>21</w:t>
      </w:r>
    </w:p>
    <w:p w14:paraId="61599D14" w14:textId="4A942F13" w:rsidR="002705E8" w:rsidRDefault="0061268D" w:rsidP="00930C42">
      <w:pPr>
        <w:pStyle w:val="11BodyText"/>
        <w:numPr>
          <w:ilvl w:val="0"/>
          <w:numId w:val="17"/>
        </w:numPr>
        <w:tabs>
          <w:tab w:val="left" w:pos="1080"/>
        </w:tabs>
        <w:overflowPunct w:val="0"/>
        <w:autoSpaceDE w:val="0"/>
        <w:autoSpaceDN w:val="0"/>
        <w:adjustRightInd w:val="0"/>
        <w:rPr>
          <w:rFonts w:cs="Arial"/>
          <w:bCs/>
          <w:sz w:val="18"/>
          <w:szCs w:val="18"/>
        </w:rPr>
      </w:pPr>
      <w:r w:rsidRPr="00D76EF4">
        <w:rPr>
          <w:rFonts w:cs="Arial"/>
          <w:bCs/>
          <w:sz w:val="18"/>
          <w:szCs w:val="18"/>
        </w:rPr>
        <w:t>R4-</w:t>
      </w:r>
      <w:r w:rsidR="00DE136F">
        <w:rPr>
          <w:rFonts w:cs="Arial"/>
          <w:bCs/>
          <w:sz w:val="18"/>
          <w:szCs w:val="18"/>
        </w:rPr>
        <w:t>2111906</w:t>
      </w:r>
      <w:r>
        <w:rPr>
          <w:rFonts w:cs="Arial"/>
          <w:bCs/>
          <w:sz w:val="18"/>
          <w:szCs w:val="18"/>
        </w:rPr>
        <w:t xml:space="preserve"> ‘</w:t>
      </w:r>
      <w:r w:rsidR="000C6CA1">
        <w:rPr>
          <w:rFonts w:cs="Arial"/>
          <w:bCs/>
          <w:sz w:val="18"/>
          <w:szCs w:val="18"/>
        </w:rPr>
        <w:t xml:space="preserve">draft </w:t>
      </w:r>
      <w:r w:rsidR="00930C42" w:rsidRPr="00930C42">
        <w:rPr>
          <w:rFonts w:cs="Arial"/>
          <w:bCs/>
          <w:sz w:val="18"/>
          <w:szCs w:val="18"/>
        </w:rPr>
        <w:t>CR to 38.101-1: UL MIMO requirements update</w:t>
      </w:r>
      <w:r w:rsidR="00930C42">
        <w:rPr>
          <w:rFonts w:cs="Arial"/>
          <w:bCs/>
          <w:sz w:val="18"/>
          <w:szCs w:val="18"/>
        </w:rPr>
        <w:t>’</w:t>
      </w:r>
      <w:r w:rsidRPr="00544045">
        <w:rPr>
          <w:rFonts w:cs="Arial"/>
          <w:bCs/>
          <w:sz w:val="18"/>
          <w:szCs w:val="18"/>
        </w:rPr>
        <w:t>, Qualcomm</w:t>
      </w:r>
      <w:r>
        <w:rPr>
          <w:rFonts w:cs="Arial"/>
          <w:bCs/>
          <w:sz w:val="18"/>
          <w:szCs w:val="18"/>
        </w:rPr>
        <w:t>,</w:t>
      </w:r>
      <w:r w:rsidRPr="00544045">
        <w:rPr>
          <w:rFonts w:cs="Arial"/>
          <w:bCs/>
          <w:sz w:val="18"/>
          <w:szCs w:val="18"/>
        </w:rPr>
        <w:t xml:space="preserve"> </w:t>
      </w:r>
      <w:r w:rsidRPr="000B036D">
        <w:rPr>
          <w:rFonts w:cs="Arial"/>
          <w:bCs/>
          <w:sz w:val="18"/>
          <w:szCs w:val="18"/>
        </w:rPr>
        <w:t>RAN4#</w:t>
      </w:r>
      <w:r w:rsidR="00DE136F">
        <w:rPr>
          <w:rFonts w:cs="Arial"/>
          <w:bCs/>
          <w:sz w:val="18"/>
          <w:szCs w:val="18"/>
        </w:rPr>
        <w:t>100</w:t>
      </w:r>
      <w:r>
        <w:rPr>
          <w:rFonts w:cs="Arial"/>
          <w:bCs/>
          <w:sz w:val="18"/>
          <w:szCs w:val="18"/>
        </w:rPr>
        <w:t>-e</w:t>
      </w:r>
      <w:r w:rsidRPr="000B036D">
        <w:rPr>
          <w:rFonts w:cs="Arial"/>
          <w:bCs/>
          <w:sz w:val="18"/>
          <w:szCs w:val="18"/>
        </w:rPr>
        <w:t xml:space="preserve">, </w:t>
      </w:r>
      <w:r>
        <w:rPr>
          <w:rFonts w:cs="Arial"/>
          <w:bCs/>
          <w:sz w:val="18"/>
          <w:szCs w:val="18"/>
        </w:rPr>
        <w:t>May</w:t>
      </w:r>
      <w:r w:rsidRPr="000B036D">
        <w:rPr>
          <w:rFonts w:cs="Arial"/>
          <w:bCs/>
          <w:sz w:val="18"/>
          <w:szCs w:val="18"/>
        </w:rPr>
        <w:t xml:space="preserve"> 20</w:t>
      </w:r>
      <w:r>
        <w:rPr>
          <w:rFonts w:cs="Arial"/>
          <w:bCs/>
          <w:sz w:val="18"/>
          <w:szCs w:val="18"/>
        </w:rPr>
        <w:t>21</w:t>
      </w:r>
    </w:p>
    <w:p w14:paraId="7416F034" w14:textId="77777777" w:rsidR="002A3D5F" w:rsidRPr="00930C42" w:rsidRDefault="002A3D5F" w:rsidP="002A3D5F">
      <w:pPr>
        <w:pStyle w:val="11BodyText"/>
        <w:tabs>
          <w:tab w:val="left" w:pos="1080"/>
        </w:tabs>
        <w:overflowPunct w:val="0"/>
        <w:autoSpaceDE w:val="0"/>
        <w:autoSpaceDN w:val="0"/>
        <w:adjustRightInd w:val="0"/>
        <w:ind w:left="720"/>
        <w:rPr>
          <w:rFonts w:cs="Arial"/>
          <w:bCs/>
          <w:sz w:val="18"/>
          <w:szCs w:val="18"/>
        </w:rPr>
      </w:pPr>
    </w:p>
    <w:sectPr w:rsidR="002A3D5F" w:rsidRPr="00930C4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6711EE9"/>
    <w:multiLevelType w:val="hybridMultilevel"/>
    <w:tmpl w:val="571E8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617E4"/>
    <w:multiLevelType w:val="hybridMultilevel"/>
    <w:tmpl w:val="1E3C4FE8"/>
    <w:lvl w:ilvl="0" w:tplc="35AC92D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8"/>
  </w:num>
  <w:num w:numId="9">
    <w:abstractNumId w:val="14"/>
  </w:num>
  <w:num w:numId="10">
    <w:abstractNumId w:val="13"/>
  </w:num>
  <w:num w:numId="11">
    <w:abstractNumId w:val="12"/>
  </w:num>
  <w:num w:numId="12">
    <w:abstractNumId w:val="9"/>
  </w:num>
  <w:num w:numId="13">
    <w:abstractNumId w:val="16"/>
  </w:num>
  <w:num w:numId="14">
    <w:abstractNumId w:val="11"/>
  </w:num>
  <w:num w:numId="15">
    <w:abstractNumId w:val="8"/>
  </w:num>
  <w:num w:numId="16">
    <w:abstractNumId w:val="21"/>
  </w:num>
  <w:num w:numId="17">
    <w:abstractNumId w:val="20"/>
  </w:num>
  <w:num w:numId="18">
    <w:abstractNumId w:val="10"/>
  </w:num>
  <w:num w:numId="19">
    <w:abstractNumId w:val="7"/>
  </w:num>
  <w:num w:numId="20">
    <w:abstractNumId w:val="17"/>
  </w:num>
  <w:num w:numId="21">
    <w:abstractNumId w:val="1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1CED"/>
    <w:rsid w:val="000262B9"/>
    <w:rsid w:val="00032669"/>
    <w:rsid w:val="000356CB"/>
    <w:rsid w:val="00036B49"/>
    <w:rsid w:val="00037A84"/>
    <w:rsid w:val="00043AFD"/>
    <w:rsid w:val="00043E19"/>
    <w:rsid w:val="0004539D"/>
    <w:rsid w:val="000454A9"/>
    <w:rsid w:val="00055E7A"/>
    <w:rsid w:val="00057EDE"/>
    <w:rsid w:val="0006121E"/>
    <w:rsid w:val="0006136D"/>
    <w:rsid w:val="00074C38"/>
    <w:rsid w:val="000775B1"/>
    <w:rsid w:val="00077EB3"/>
    <w:rsid w:val="000831CC"/>
    <w:rsid w:val="000908D9"/>
    <w:rsid w:val="00094DF4"/>
    <w:rsid w:val="000976DC"/>
    <w:rsid w:val="000A46BC"/>
    <w:rsid w:val="000A5286"/>
    <w:rsid w:val="000A567D"/>
    <w:rsid w:val="000A6172"/>
    <w:rsid w:val="000A643B"/>
    <w:rsid w:val="000B0067"/>
    <w:rsid w:val="000B036D"/>
    <w:rsid w:val="000B18F8"/>
    <w:rsid w:val="000B23D5"/>
    <w:rsid w:val="000B25CC"/>
    <w:rsid w:val="000B764D"/>
    <w:rsid w:val="000C1514"/>
    <w:rsid w:val="000C18FF"/>
    <w:rsid w:val="000C3C06"/>
    <w:rsid w:val="000C5D2E"/>
    <w:rsid w:val="000C678D"/>
    <w:rsid w:val="000C6CA1"/>
    <w:rsid w:val="000C70B0"/>
    <w:rsid w:val="000D18EC"/>
    <w:rsid w:val="000D4C19"/>
    <w:rsid w:val="000E0A10"/>
    <w:rsid w:val="000E20B6"/>
    <w:rsid w:val="000E26BD"/>
    <w:rsid w:val="000E4512"/>
    <w:rsid w:val="000E596C"/>
    <w:rsid w:val="000E7763"/>
    <w:rsid w:val="000F157F"/>
    <w:rsid w:val="000F502F"/>
    <w:rsid w:val="000F519D"/>
    <w:rsid w:val="000F5FC9"/>
    <w:rsid w:val="000F65D1"/>
    <w:rsid w:val="000F7ECB"/>
    <w:rsid w:val="0010618D"/>
    <w:rsid w:val="00110F8F"/>
    <w:rsid w:val="00112950"/>
    <w:rsid w:val="00112C18"/>
    <w:rsid w:val="00116429"/>
    <w:rsid w:val="001214AE"/>
    <w:rsid w:val="00122190"/>
    <w:rsid w:val="0012277A"/>
    <w:rsid w:val="001251AF"/>
    <w:rsid w:val="0012615B"/>
    <w:rsid w:val="00126E1A"/>
    <w:rsid w:val="00130E79"/>
    <w:rsid w:val="001314AE"/>
    <w:rsid w:val="00131AFF"/>
    <w:rsid w:val="00131E65"/>
    <w:rsid w:val="001351EB"/>
    <w:rsid w:val="00140438"/>
    <w:rsid w:val="001448F1"/>
    <w:rsid w:val="00144FDD"/>
    <w:rsid w:val="001512D7"/>
    <w:rsid w:val="00153184"/>
    <w:rsid w:val="00156B5E"/>
    <w:rsid w:val="00161C73"/>
    <w:rsid w:val="00166E70"/>
    <w:rsid w:val="00180253"/>
    <w:rsid w:val="001815D0"/>
    <w:rsid w:val="00183F04"/>
    <w:rsid w:val="00186DCC"/>
    <w:rsid w:val="001872E7"/>
    <w:rsid w:val="00190FD2"/>
    <w:rsid w:val="00194520"/>
    <w:rsid w:val="00194778"/>
    <w:rsid w:val="001A1290"/>
    <w:rsid w:val="001A4703"/>
    <w:rsid w:val="001A68C7"/>
    <w:rsid w:val="001A7322"/>
    <w:rsid w:val="001B3183"/>
    <w:rsid w:val="001B4872"/>
    <w:rsid w:val="001B74BC"/>
    <w:rsid w:val="001D00F7"/>
    <w:rsid w:val="001D4058"/>
    <w:rsid w:val="001D4399"/>
    <w:rsid w:val="001D4DA8"/>
    <w:rsid w:val="001D7749"/>
    <w:rsid w:val="001E4305"/>
    <w:rsid w:val="001E4702"/>
    <w:rsid w:val="001F53A1"/>
    <w:rsid w:val="001F6DA4"/>
    <w:rsid w:val="00200596"/>
    <w:rsid w:val="00201443"/>
    <w:rsid w:val="00201520"/>
    <w:rsid w:val="00201FB4"/>
    <w:rsid w:val="0020355B"/>
    <w:rsid w:val="002036D3"/>
    <w:rsid w:val="00203D36"/>
    <w:rsid w:val="00213B9B"/>
    <w:rsid w:val="00214B13"/>
    <w:rsid w:val="00215DF5"/>
    <w:rsid w:val="00216428"/>
    <w:rsid w:val="002167A7"/>
    <w:rsid w:val="00222D66"/>
    <w:rsid w:val="00227BDE"/>
    <w:rsid w:val="002414AB"/>
    <w:rsid w:val="002414BF"/>
    <w:rsid w:val="00241773"/>
    <w:rsid w:val="00244785"/>
    <w:rsid w:val="002476C8"/>
    <w:rsid w:val="00251CFA"/>
    <w:rsid w:val="002539C2"/>
    <w:rsid w:val="00253CE9"/>
    <w:rsid w:val="0026064B"/>
    <w:rsid w:val="002611B2"/>
    <w:rsid w:val="00264FB5"/>
    <w:rsid w:val="00266CF2"/>
    <w:rsid w:val="002702A8"/>
    <w:rsid w:val="002705E8"/>
    <w:rsid w:val="002715F5"/>
    <w:rsid w:val="00272536"/>
    <w:rsid w:val="00274600"/>
    <w:rsid w:val="002820E8"/>
    <w:rsid w:val="00283AE6"/>
    <w:rsid w:val="002850E0"/>
    <w:rsid w:val="00286DA5"/>
    <w:rsid w:val="002904AC"/>
    <w:rsid w:val="00293E95"/>
    <w:rsid w:val="00294B04"/>
    <w:rsid w:val="002960BC"/>
    <w:rsid w:val="002A08FE"/>
    <w:rsid w:val="002A1C01"/>
    <w:rsid w:val="002A1DAF"/>
    <w:rsid w:val="002A2B51"/>
    <w:rsid w:val="002A3D5F"/>
    <w:rsid w:val="002A4EAB"/>
    <w:rsid w:val="002B09A1"/>
    <w:rsid w:val="002B0D24"/>
    <w:rsid w:val="002B2323"/>
    <w:rsid w:val="002B3757"/>
    <w:rsid w:val="002B3F06"/>
    <w:rsid w:val="002B76BD"/>
    <w:rsid w:val="002C65B6"/>
    <w:rsid w:val="002D0370"/>
    <w:rsid w:val="002D0C08"/>
    <w:rsid w:val="002D2421"/>
    <w:rsid w:val="002D3140"/>
    <w:rsid w:val="002D388D"/>
    <w:rsid w:val="002D4CC7"/>
    <w:rsid w:val="002D4FBE"/>
    <w:rsid w:val="002D6A81"/>
    <w:rsid w:val="002E2724"/>
    <w:rsid w:val="002E272A"/>
    <w:rsid w:val="002E3654"/>
    <w:rsid w:val="002E56A2"/>
    <w:rsid w:val="002E6961"/>
    <w:rsid w:val="002E7011"/>
    <w:rsid w:val="002F1C8C"/>
    <w:rsid w:val="002F28ED"/>
    <w:rsid w:val="002F2AF3"/>
    <w:rsid w:val="002F46FA"/>
    <w:rsid w:val="00302E72"/>
    <w:rsid w:val="0030770F"/>
    <w:rsid w:val="00311F48"/>
    <w:rsid w:val="0032245A"/>
    <w:rsid w:val="00323299"/>
    <w:rsid w:val="00324D06"/>
    <w:rsid w:val="0032799F"/>
    <w:rsid w:val="00327EAD"/>
    <w:rsid w:val="00330849"/>
    <w:rsid w:val="00333C34"/>
    <w:rsid w:val="003351A4"/>
    <w:rsid w:val="00343905"/>
    <w:rsid w:val="003457D5"/>
    <w:rsid w:val="003461A5"/>
    <w:rsid w:val="0034635A"/>
    <w:rsid w:val="003476B3"/>
    <w:rsid w:val="003479CA"/>
    <w:rsid w:val="003665F7"/>
    <w:rsid w:val="003700B1"/>
    <w:rsid w:val="00375AA5"/>
    <w:rsid w:val="0038188A"/>
    <w:rsid w:val="003850C4"/>
    <w:rsid w:val="0038770D"/>
    <w:rsid w:val="003917F8"/>
    <w:rsid w:val="003A13FC"/>
    <w:rsid w:val="003A18DB"/>
    <w:rsid w:val="003A1D5C"/>
    <w:rsid w:val="003A43B2"/>
    <w:rsid w:val="003A4491"/>
    <w:rsid w:val="003A4CD3"/>
    <w:rsid w:val="003A51A9"/>
    <w:rsid w:val="003A69A4"/>
    <w:rsid w:val="003B4BF2"/>
    <w:rsid w:val="003B6F17"/>
    <w:rsid w:val="003C3383"/>
    <w:rsid w:val="003D08F2"/>
    <w:rsid w:val="003E4CBC"/>
    <w:rsid w:val="003E722B"/>
    <w:rsid w:val="003F18EE"/>
    <w:rsid w:val="003F245D"/>
    <w:rsid w:val="003F4F47"/>
    <w:rsid w:val="003F6DA5"/>
    <w:rsid w:val="003F7817"/>
    <w:rsid w:val="00401C26"/>
    <w:rsid w:val="00404BB3"/>
    <w:rsid w:val="004127B2"/>
    <w:rsid w:val="00414BD6"/>
    <w:rsid w:val="00414CE5"/>
    <w:rsid w:val="00417573"/>
    <w:rsid w:val="00420A31"/>
    <w:rsid w:val="00423E85"/>
    <w:rsid w:val="00432734"/>
    <w:rsid w:val="00433CB8"/>
    <w:rsid w:val="00435B76"/>
    <w:rsid w:val="0044685E"/>
    <w:rsid w:val="004541E5"/>
    <w:rsid w:val="0045428D"/>
    <w:rsid w:val="004544D6"/>
    <w:rsid w:val="0045557B"/>
    <w:rsid w:val="00457F94"/>
    <w:rsid w:val="0046053E"/>
    <w:rsid w:val="0046074D"/>
    <w:rsid w:val="004609D7"/>
    <w:rsid w:val="00462017"/>
    <w:rsid w:val="00462494"/>
    <w:rsid w:val="00462799"/>
    <w:rsid w:val="004673F2"/>
    <w:rsid w:val="00470CD4"/>
    <w:rsid w:val="00471253"/>
    <w:rsid w:val="00471E01"/>
    <w:rsid w:val="00474336"/>
    <w:rsid w:val="00474FE5"/>
    <w:rsid w:val="004801EA"/>
    <w:rsid w:val="00481250"/>
    <w:rsid w:val="00482228"/>
    <w:rsid w:val="00482DCE"/>
    <w:rsid w:val="004832D5"/>
    <w:rsid w:val="0048465E"/>
    <w:rsid w:val="00484A20"/>
    <w:rsid w:val="00495466"/>
    <w:rsid w:val="00496FBC"/>
    <w:rsid w:val="00497C68"/>
    <w:rsid w:val="004A291B"/>
    <w:rsid w:val="004B4E78"/>
    <w:rsid w:val="004B779E"/>
    <w:rsid w:val="004B78ED"/>
    <w:rsid w:val="004C1484"/>
    <w:rsid w:val="004C2A36"/>
    <w:rsid w:val="004C2B1B"/>
    <w:rsid w:val="004C4BB2"/>
    <w:rsid w:val="004C5930"/>
    <w:rsid w:val="004C6841"/>
    <w:rsid w:val="004D17AA"/>
    <w:rsid w:val="004D3585"/>
    <w:rsid w:val="004D43C9"/>
    <w:rsid w:val="004D59D7"/>
    <w:rsid w:val="004E0CD1"/>
    <w:rsid w:val="004E54CB"/>
    <w:rsid w:val="004F1DC3"/>
    <w:rsid w:val="004F6C74"/>
    <w:rsid w:val="005026C3"/>
    <w:rsid w:val="0050748D"/>
    <w:rsid w:val="005120D5"/>
    <w:rsid w:val="00515ECE"/>
    <w:rsid w:val="00526A77"/>
    <w:rsid w:val="00527894"/>
    <w:rsid w:val="00532DE4"/>
    <w:rsid w:val="005341AC"/>
    <w:rsid w:val="00534C0E"/>
    <w:rsid w:val="00544262"/>
    <w:rsid w:val="005520D7"/>
    <w:rsid w:val="005536D9"/>
    <w:rsid w:val="0055684F"/>
    <w:rsid w:val="00562430"/>
    <w:rsid w:val="00562DA2"/>
    <w:rsid w:val="00570862"/>
    <w:rsid w:val="0057490C"/>
    <w:rsid w:val="00582270"/>
    <w:rsid w:val="005839AE"/>
    <w:rsid w:val="0059212B"/>
    <w:rsid w:val="00592350"/>
    <w:rsid w:val="0059257A"/>
    <w:rsid w:val="00593E1F"/>
    <w:rsid w:val="0059419C"/>
    <w:rsid w:val="00595134"/>
    <w:rsid w:val="00595EEE"/>
    <w:rsid w:val="0059730F"/>
    <w:rsid w:val="0059794A"/>
    <w:rsid w:val="00597FAA"/>
    <w:rsid w:val="005A0F40"/>
    <w:rsid w:val="005A3C28"/>
    <w:rsid w:val="005A5500"/>
    <w:rsid w:val="005B03DB"/>
    <w:rsid w:val="005B16F2"/>
    <w:rsid w:val="005B328A"/>
    <w:rsid w:val="005B4A28"/>
    <w:rsid w:val="005D1530"/>
    <w:rsid w:val="005D3879"/>
    <w:rsid w:val="005D3D57"/>
    <w:rsid w:val="005E1DB3"/>
    <w:rsid w:val="005E2B0B"/>
    <w:rsid w:val="005E35F9"/>
    <w:rsid w:val="005E3A5E"/>
    <w:rsid w:val="005E4466"/>
    <w:rsid w:val="005E7655"/>
    <w:rsid w:val="005F33D7"/>
    <w:rsid w:val="005F35A7"/>
    <w:rsid w:val="00600A82"/>
    <w:rsid w:val="0060292E"/>
    <w:rsid w:val="00602D50"/>
    <w:rsid w:val="0060402D"/>
    <w:rsid w:val="00606A5C"/>
    <w:rsid w:val="006109C4"/>
    <w:rsid w:val="0061268D"/>
    <w:rsid w:val="0061694E"/>
    <w:rsid w:val="00622D61"/>
    <w:rsid w:val="006330B1"/>
    <w:rsid w:val="00633655"/>
    <w:rsid w:val="00633ED6"/>
    <w:rsid w:val="00652416"/>
    <w:rsid w:val="006528DF"/>
    <w:rsid w:val="00663A3A"/>
    <w:rsid w:val="00663E54"/>
    <w:rsid w:val="00664963"/>
    <w:rsid w:val="00667D71"/>
    <w:rsid w:val="0067055A"/>
    <w:rsid w:val="0067106B"/>
    <w:rsid w:val="006742F7"/>
    <w:rsid w:val="00674D9B"/>
    <w:rsid w:val="00681C5A"/>
    <w:rsid w:val="0068220C"/>
    <w:rsid w:val="006834CE"/>
    <w:rsid w:val="00687977"/>
    <w:rsid w:val="00691155"/>
    <w:rsid w:val="00691500"/>
    <w:rsid w:val="00693267"/>
    <w:rsid w:val="00694771"/>
    <w:rsid w:val="00695F3B"/>
    <w:rsid w:val="00696D53"/>
    <w:rsid w:val="006A3DD3"/>
    <w:rsid w:val="006A47D6"/>
    <w:rsid w:val="006A7D2D"/>
    <w:rsid w:val="006B3E20"/>
    <w:rsid w:val="006B4A0C"/>
    <w:rsid w:val="006B592B"/>
    <w:rsid w:val="006C0280"/>
    <w:rsid w:val="006C3160"/>
    <w:rsid w:val="006D244C"/>
    <w:rsid w:val="006D5E7B"/>
    <w:rsid w:val="006E274D"/>
    <w:rsid w:val="006E4D30"/>
    <w:rsid w:val="006F2300"/>
    <w:rsid w:val="006F43BA"/>
    <w:rsid w:val="006F62D2"/>
    <w:rsid w:val="006F68A1"/>
    <w:rsid w:val="007009E6"/>
    <w:rsid w:val="00717947"/>
    <w:rsid w:val="00720DB6"/>
    <w:rsid w:val="00720F63"/>
    <w:rsid w:val="00721F34"/>
    <w:rsid w:val="007244F1"/>
    <w:rsid w:val="007254B7"/>
    <w:rsid w:val="0073208C"/>
    <w:rsid w:val="007332C9"/>
    <w:rsid w:val="007339E5"/>
    <w:rsid w:val="00733CD6"/>
    <w:rsid w:val="00735039"/>
    <w:rsid w:val="00737A61"/>
    <w:rsid w:val="007435A4"/>
    <w:rsid w:val="007477B0"/>
    <w:rsid w:val="00751878"/>
    <w:rsid w:val="00757789"/>
    <w:rsid w:val="00757E61"/>
    <w:rsid w:val="00763E41"/>
    <w:rsid w:val="00771511"/>
    <w:rsid w:val="0077264D"/>
    <w:rsid w:val="00772B52"/>
    <w:rsid w:val="00773096"/>
    <w:rsid w:val="00774F6F"/>
    <w:rsid w:val="00775054"/>
    <w:rsid w:val="0077514D"/>
    <w:rsid w:val="007816A2"/>
    <w:rsid w:val="007865FC"/>
    <w:rsid w:val="00787EE4"/>
    <w:rsid w:val="00791845"/>
    <w:rsid w:val="00791CE3"/>
    <w:rsid w:val="00792165"/>
    <w:rsid w:val="00795AC4"/>
    <w:rsid w:val="007A1A88"/>
    <w:rsid w:val="007A47D1"/>
    <w:rsid w:val="007A5FE3"/>
    <w:rsid w:val="007A741B"/>
    <w:rsid w:val="007B0169"/>
    <w:rsid w:val="007B2100"/>
    <w:rsid w:val="007B605F"/>
    <w:rsid w:val="007B6FCF"/>
    <w:rsid w:val="007C2EEE"/>
    <w:rsid w:val="007C391C"/>
    <w:rsid w:val="007C426D"/>
    <w:rsid w:val="007C6050"/>
    <w:rsid w:val="007C75EA"/>
    <w:rsid w:val="007D3EE1"/>
    <w:rsid w:val="007D7F6F"/>
    <w:rsid w:val="007E62D2"/>
    <w:rsid w:val="007E62DA"/>
    <w:rsid w:val="007F5A2D"/>
    <w:rsid w:val="0080082C"/>
    <w:rsid w:val="0080109A"/>
    <w:rsid w:val="0080320A"/>
    <w:rsid w:val="00804B97"/>
    <w:rsid w:val="00814CC3"/>
    <w:rsid w:val="008223A7"/>
    <w:rsid w:val="0082323B"/>
    <w:rsid w:val="00830C2E"/>
    <w:rsid w:val="00831881"/>
    <w:rsid w:val="00834977"/>
    <w:rsid w:val="00835E0C"/>
    <w:rsid w:val="008404F5"/>
    <w:rsid w:val="00841F46"/>
    <w:rsid w:val="00843682"/>
    <w:rsid w:val="00843945"/>
    <w:rsid w:val="00850213"/>
    <w:rsid w:val="008516A3"/>
    <w:rsid w:val="00855747"/>
    <w:rsid w:val="008619D6"/>
    <w:rsid w:val="00861D83"/>
    <w:rsid w:val="0086678D"/>
    <w:rsid w:val="008777D1"/>
    <w:rsid w:val="00877D51"/>
    <w:rsid w:val="008800AA"/>
    <w:rsid w:val="00881ABF"/>
    <w:rsid w:val="00885E3A"/>
    <w:rsid w:val="0088723A"/>
    <w:rsid w:val="00892C52"/>
    <w:rsid w:val="008970BC"/>
    <w:rsid w:val="008A3EAF"/>
    <w:rsid w:val="008A4C1E"/>
    <w:rsid w:val="008B2872"/>
    <w:rsid w:val="008B2A7D"/>
    <w:rsid w:val="008B5A5E"/>
    <w:rsid w:val="008B5B7D"/>
    <w:rsid w:val="008B75A6"/>
    <w:rsid w:val="008B7DBA"/>
    <w:rsid w:val="008C48DA"/>
    <w:rsid w:val="008D2D0A"/>
    <w:rsid w:val="008D305A"/>
    <w:rsid w:val="008E1A41"/>
    <w:rsid w:val="008E4929"/>
    <w:rsid w:val="008F13B3"/>
    <w:rsid w:val="008F302B"/>
    <w:rsid w:val="008F3089"/>
    <w:rsid w:val="008F3EA8"/>
    <w:rsid w:val="008F457B"/>
    <w:rsid w:val="008F63B0"/>
    <w:rsid w:val="008F67FD"/>
    <w:rsid w:val="009014A4"/>
    <w:rsid w:val="0090240B"/>
    <w:rsid w:val="00906CD4"/>
    <w:rsid w:val="0091787F"/>
    <w:rsid w:val="00924408"/>
    <w:rsid w:val="00930C42"/>
    <w:rsid w:val="00932A43"/>
    <w:rsid w:val="00934DE1"/>
    <w:rsid w:val="00935E09"/>
    <w:rsid w:val="0094492E"/>
    <w:rsid w:val="00954D53"/>
    <w:rsid w:val="0096054F"/>
    <w:rsid w:val="00962566"/>
    <w:rsid w:val="009673C2"/>
    <w:rsid w:val="00970373"/>
    <w:rsid w:val="00973015"/>
    <w:rsid w:val="0097566C"/>
    <w:rsid w:val="009764B5"/>
    <w:rsid w:val="00977122"/>
    <w:rsid w:val="00977601"/>
    <w:rsid w:val="0098447D"/>
    <w:rsid w:val="009853DF"/>
    <w:rsid w:val="00986BEA"/>
    <w:rsid w:val="00990755"/>
    <w:rsid w:val="009915C5"/>
    <w:rsid w:val="009A2557"/>
    <w:rsid w:val="009B0424"/>
    <w:rsid w:val="009B100E"/>
    <w:rsid w:val="009B4544"/>
    <w:rsid w:val="009B48F7"/>
    <w:rsid w:val="009B7730"/>
    <w:rsid w:val="009C054C"/>
    <w:rsid w:val="009C2C31"/>
    <w:rsid w:val="009D1612"/>
    <w:rsid w:val="009D21B1"/>
    <w:rsid w:val="009D51F8"/>
    <w:rsid w:val="009D6F57"/>
    <w:rsid w:val="009E08C2"/>
    <w:rsid w:val="009E3820"/>
    <w:rsid w:val="009E54DA"/>
    <w:rsid w:val="009E5A8F"/>
    <w:rsid w:val="009E60F6"/>
    <w:rsid w:val="009E6DAC"/>
    <w:rsid w:val="009F69DF"/>
    <w:rsid w:val="00A00D97"/>
    <w:rsid w:val="00A02BE1"/>
    <w:rsid w:val="00A04F2A"/>
    <w:rsid w:val="00A10D0C"/>
    <w:rsid w:val="00A14644"/>
    <w:rsid w:val="00A167BE"/>
    <w:rsid w:val="00A16BCB"/>
    <w:rsid w:val="00A17D67"/>
    <w:rsid w:val="00A24525"/>
    <w:rsid w:val="00A307F8"/>
    <w:rsid w:val="00A30923"/>
    <w:rsid w:val="00A34FF4"/>
    <w:rsid w:val="00A41D25"/>
    <w:rsid w:val="00A43D0D"/>
    <w:rsid w:val="00A4545A"/>
    <w:rsid w:val="00A47107"/>
    <w:rsid w:val="00A5069A"/>
    <w:rsid w:val="00A517EF"/>
    <w:rsid w:val="00A51DCB"/>
    <w:rsid w:val="00A52029"/>
    <w:rsid w:val="00A53D14"/>
    <w:rsid w:val="00A73F07"/>
    <w:rsid w:val="00A812C2"/>
    <w:rsid w:val="00A84304"/>
    <w:rsid w:val="00A92091"/>
    <w:rsid w:val="00A948A5"/>
    <w:rsid w:val="00A97F55"/>
    <w:rsid w:val="00AA33EC"/>
    <w:rsid w:val="00AA681A"/>
    <w:rsid w:val="00AA6C2D"/>
    <w:rsid w:val="00AA76A8"/>
    <w:rsid w:val="00AB3D55"/>
    <w:rsid w:val="00AB40EC"/>
    <w:rsid w:val="00AB5C3D"/>
    <w:rsid w:val="00AB6DDF"/>
    <w:rsid w:val="00AD2220"/>
    <w:rsid w:val="00AD6423"/>
    <w:rsid w:val="00AD73C1"/>
    <w:rsid w:val="00AD7D8B"/>
    <w:rsid w:val="00AE0DB0"/>
    <w:rsid w:val="00AE7673"/>
    <w:rsid w:val="00AF1D05"/>
    <w:rsid w:val="00AF2933"/>
    <w:rsid w:val="00AF5CBA"/>
    <w:rsid w:val="00AF5E77"/>
    <w:rsid w:val="00B03E3A"/>
    <w:rsid w:val="00B074EB"/>
    <w:rsid w:val="00B10065"/>
    <w:rsid w:val="00B1037D"/>
    <w:rsid w:val="00B10A08"/>
    <w:rsid w:val="00B11A1B"/>
    <w:rsid w:val="00B12FF0"/>
    <w:rsid w:val="00B17B6B"/>
    <w:rsid w:val="00B22E34"/>
    <w:rsid w:val="00B23705"/>
    <w:rsid w:val="00B2627B"/>
    <w:rsid w:val="00B263AD"/>
    <w:rsid w:val="00B31821"/>
    <w:rsid w:val="00B31916"/>
    <w:rsid w:val="00B32F81"/>
    <w:rsid w:val="00B33522"/>
    <w:rsid w:val="00B33AD6"/>
    <w:rsid w:val="00B342AF"/>
    <w:rsid w:val="00B3741F"/>
    <w:rsid w:val="00B37BF6"/>
    <w:rsid w:val="00B420A4"/>
    <w:rsid w:val="00B42867"/>
    <w:rsid w:val="00B4352E"/>
    <w:rsid w:val="00B45164"/>
    <w:rsid w:val="00B45B76"/>
    <w:rsid w:val="00B46B41"/>
    <w:rsid w:val="00B52886"/>
    <w:rsid w:val="00B5499F"/>
    <w:rsid w:val="00B57E31"/>
    <w:rsid w:val="00B60568"/>
    <w:rsid w:val="00B62906"/>
    <w:rsid w:val="00B72427"/>
    <w:rsid w:val="00B74655"/>
    <w:rsid w:val="00B753CF"/>
    <w:rsid w:val="00B76872"/>
    <w:rsid w:val="00B77567"/>
    <w:rsid w:val="00B81F12"/>
    <w:rsid w:val="00B828C7"/>
    <w:rsid w:val="00B83716"/>
    <w:rsid w:val="00B90EDB"/>
    <w:rsid w:val="00B9209A"/>
    <w:rsid w:val="00B9250E"/>
    <w:rsid w:val="00B94B0F"/>
    <w:rsid w:val="00B96C62"/>
    <w:rsid w:val="00BA3C61"/>
    <w:rsid w:val="00BA4DF2"/>
    <w:rsid w:val="00BA647F"/>
    <w:rsid w:val="00BA7246"/>
    <w:rsid w:val="00BB2DCE"/>
    <w:rsid w:val="00BB57EF"/>
    <w:rsid w:val="00BD0BE9"/>
    <w:rsid w:val="00BD1470"/>
    <w:rsid w:val="00BD40E1"/>
    <w:rsid w:val="00BE2EFB"/>
    <w:rsid w:val="00BE3C14"/>
    <w:rsid w:val="00BE6823"/>
    <w:rsid w:val="00BE73C5"/>
    <w:rsid w:val="00BF3C2F"/>
    <w:rsid w:val="00BF617B"/>
    <w:rsid w:val="00C009E8"/>
    <w:rsid w:val="00C01262"/>
    <w:rsid w:val="00C03FE3"/>
    <w:rsid w:val="00C06D5E"/>
    <w:rsid w:val="00C07551"/>
    <w:rsid w:val="00C104F8"/>
    <w:rsid w:val="00C10C7E"/>
    <w:rsid w:val="00C1219E"/>
    <w:rsid w:val="00C131EA"/>
    <w:rsid w:val="00C142B9"/>
    <w:rsid w:val="00C21D61"/>
    <w:rsid w:val="00C2400B"/>
    <w:rsid w:val="00C241BC"/>
    <w:rsid w:val="00C260A1"/>
    <w:rsid w:val="00C32014"/>
    <w:rsid w:val="00C32114"/>
    <w:rsid w:val="00C3557A"/>
    <w:rsid w:val="00C45FFE"/>
    <w:rsid w:val="00C51D0C"/>
    <w:rsid w:val="00C5207D"/>
    <w:rsid w:val="00C531CD"/>
    <w:rsid w:val="00C54751"/>
    <w:rsid w:val="00C56833"/>
    <w:rsid w:val="00C629E9"/>
    <w:rsid w:val="00C65F7C"/>
    <w:rsid w:val="00C71D1C"/>
    <w:rsid w:val="00C7440A"/>
    <w:rsid w:val="00C803A3"/>
    <w:rsid w:val="00C83E56"/>
    <w:rsid w:val="00C908CF"/>
    <w:rsid w:val="00C9521B"/>
    <w:rsid w:val="00CA134D"/>
    <w:rsid w:val="00CB053D"/>
    <w:rsid w:val="00CB171D"/>
    <w:rsid w:val="00CC1CFE"/>
    <w:rsid w:val="00CC28C2"/>
    <w:rsid w:val="00CC358C"/>
    <w:rsid w:val="00CC4DB9"/>
    <w:rsid w:val="00CD230E"/>
    <w:rsid w:val="00CD2345"/>
    <w:rsid w:val="00CE3E8B"/>
    <w:rsid w:val="00CE495B"/>
    <w:rsid w:val="00CE5127"/>
    <w:rsid w:val="00CE6D8D"/>
    <w:rsid w:val="00CF11B9"/>
    <w:rsid w:val="00CF3819"/>
    <w:rsid w:val="00CF41C5"/>
    <w:rsid w:val="00D01F33"/>
    <w:rsid w:val="00D077E5"/>
    <w:rsid w:val="00D16179"/>
    <w:rsid w:val="00D22597"/>
    <w:rsid w:val="00D244C7"/>
    <w:rsid w:val="00D2529E"/>
    <w:rsid w:val="00D26F85"/>
    <w:rsid w:val="00D32F27"/>
    <w:rsid w:val="00D33AFD"/>
    <w:rsid w:val="00D353A0"/>
    <w:rsid w:val="00D35B3D"/>
    <w:rsid w:val="00D3699F"/>
    <w:rsid w:val="00D43454"/>
    <w:rsid w:val="00D4395D"/>
    <w:rsid w:val="00D449BB"/>
    <w:rsid w:val="00D451C4"/>
    <w:rsid w:val="00D45657"/>
    <w:rsid w:val="00D5108E"/>
    <w:rsid w:val="00D51493"/>
    <w:rsid w:val="00D55A51"/>
    <w:rsid w:val="00D56A23"/>
    <w:rsid w:val="00D57287"/>
    <w:rsid w:val="00D57735"/>
    <w:rsid w:val="00D6005D"/>
    <w:rsid w:val="00D62530"/>
    <w:rsid w:val="00D65CEF"/>
    <w:rsid w:val="00D66097"/>
    <w:rsid w:val="00D66235"/>
    <w:rsid w:val="00D7062E"/>
    <w:rsid w:val="00D70D7D"/>
    <w:rsid w:val="00D743AB"/>
    <w:rsid w:val="00D805A5"/>
    <w:rsid w:val="00D81C65"/>
    <w:rsid w:val="00D84406"/>
    <w:rsid w:val="00D92533"/>
    <w:rsid w:val="00DA02DB"/>
    <w:rsid w:val="00DA1790"/>
    <w:rsid w:val="00DA1AC9"/>
    <w:rsid w:val="00DA3470"/>
    <w:rsid w:val="00DA34F0"/>
    <w:rsid w:val="00DA7EB7"/>
    <w:rsid w:val="00DC0E15"/>
    <w:rsid w:val="00DC278D"/>
    <w:rsid w:val="00DC3625"/>
    <w:rsid w:val="00DC5180"/>
    <w:rsid w:val="00DC5DEE"/>
    <w:rsid w:val="00DD0CFC"/>
    <w:rsid w:val="00DD282A"/>
    <w:rsid w:val="00DD29CF"/>
    <w:rsid w:val="00DD34BB"/>
    <w:rsid w:val="00DE136F"/>
    <w:rsid w:val="00DE1998"/>
    <w:rsid w:val="00DE326B"/>
    <w:rsid w:val="00DF7031"/>
    <w:rsid w:val="00E07822"/>
    <w:rsid w:val="00E07880"/>
    <w:rsid w:val="00E10BD7"/>
    <w:rsid w:val="00E12B03"/>
    <w:rsid w:val="00E166DD"/>
    <w:rsid w:val="00E30BA1"/>
    <w:rsid w:val="00E34776"/>
    <w:rsid w:val="00E35269"/>
    <w:rsid w:val="00E35657"/>
    <w:rsid w:val="00E35802"/>
    <w:rsid w:val="00E36565"/>
    <w:rsid w:val="00E412C9"/>
    <w:rsid w:val="00E509F8"/>
    <w:rsid w:val="00E54351"/>
    <w:rsid w:val="00E5616F"/>
    <w:rsid w:val="00E56DB5"/>
    <w:rsid w:val="00E727F4"/>
    <w:rsid w:val="00E733D3"/>
    <w:rsid w:val="00E73A82"/>
    <w:rsid w:val="00E82F3C"/>
    <w:rsid w:val="00E85F30"/>
    <w:rsid w:val="00E917F5"/>
    <w:rsid w:val="00E96910"/>
    <w:rsid w:val="00EA33CB"/>
    <w:rsid w:val="00EA438F"/>
    <w:rsid w:val="00EA5F40"/>
    <w:rsid w:val="00EA6F8E"/>
    <w:rsid w:val="00EB1AB7"/>
    <w:rsid w:val="00EB1B42"/>
    <w:rsid w:val="00EB2720"/>
    <w:rsid w:val="00EB73E3"/>
    <w:rsid w:val="00EB750D"/>
    <w:rsid w:val="00EC01E1"/>
    <w:rsid w:val="00EC200B"/>
    <w:rsid w:val="00EC5B50"/>
    <w:rsid w:val="00EC6E26"/>
    <w:rsid w:val="00ED00E1"/>
    <w:rsid w:val="00ED414A"/>
    <w:rsid w:val="00EE4179"/>
    <w:rsid w:val="00EE45C2"/>
    <w:rsid w:val="00EF4DBE"/>
    <w:rsid w:val="00EF60CC"/>
    <w:rsid w:val="00EF7949"/>
    <w:rsid w:val="00F00686"/>
    <w:rsid w:val="00F03916"/>
    <w:rsid w:val="00F03E83"/>
    <w:rsid w:val="00F06E5E"/>
    <w:rsid w:val="00F13034"/>
    <w:rsid w:val="00F20900"/>
    <w:rsid w:val="00F20F97"/>
    <w:rsid w:val="00F215FF"/>
    <w:rsid w:val="00F333C7"/>
    <w:rsid w:val="00F4038A"/>
    <w:rsid w:val="00F44D73"/>
    <w:rsid w:val="00F56496"/>
    <w:rsid w:val="00F56F06"/>
    <w:rsid w:val="00F62267"/>
    <w:rsid w:val="00F636AB"/>
    <w:rsid w:val="00F64968"/>
    <w:rsid w:val="00F70BC7"/>
    <w:rsid w:val="00F72902"/>
    <w:rsid w:val="00F77E03"/>
    <w:rsid w:val="00F8462C"/>
    <w:rsid w:val="00F85E00"/>
    <w:rsid w:val="00F876A8"/>
    <w:rsid w:val="00F91D60"/>
    <w:rsid w:val="00F93C78"/>
    <w:rsid w:val="00F96820"/>
    <w:rsid w:val="00FA0787"/>
    <w:rsid w:val="00FA6EF6"/>
    <w:rsid w:val="00FA6FCA"/>
    <w:rsid w:val="00FB2922"/>
    <w:rsid w:val="00FB388A"/>
    <w:rsid w:val="00FB713B"/>
    <w:rsid w:val="00FC1C17"/>
    <w:rsid w:val="00FC7B97"/>
    <w:rsid w:val="00FD7C6A"/>
    <w:rsid w:val="00FE023B"/>
    <w:rsid w:val="00FE2D98"/>
    <w:rsid w:val="00FE3315"/>
    <w:rsid w:val="00FE3E52"/>
    <w:rsid w:val="00FE61C1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AA2D17"/>
  <w15:chartTrackingRefBased/>
  <w15:docId w15:val="{C2A42846-0962-4755-9F29-8C9117E9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EC200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918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9189D-B069-4812-A6DF-F0F8A4D38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79C4FA-FA0A-48C5-9B1B-0C8B83FA1A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Qualcomm</cp:lastModifiedBy>
  <cp:revision>62</cp:revision>
  <dcterms:created xsi:type="dcterms:W3CDTF">2021-07-14T14:38:00Z</dcterms:created>
  <dcterms:modified xsi:type="dcterms:W3CDTF">2021-08-04T03:51:00Z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