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7BC8BD5A"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A75CFA">
        <w:rPr>
          <w:lang w:val="en-US"/>
        </w:rPr>
        <w:t>#ad-hoc</w:t>
      </w:r>
      <w:r w:rsidR="000360FE">
        <w:rPr>
          <w:lang w:val="en-US"/>
        </w:rPr>
        <w:tab/>
      </w:r>
      <w:r w:rsidR="000360FE" w:rsidRPr="000360FE">
        <w:rPr>
          <w:lang w:val="en-US"/>
        </w:rPr>
        <w:t>R3-172500</w:t>
      </w:r>
    </w:p>
    <w:p w14:paraId="34D94E32" w14:textId="061FBAAD" w:rsidR="00067548" w:rsidRDefault="00A75CFA" w:rsidP="00236EF1">
      <w:pPr>
        <w:pStyle w:val="3GPPHeader"/>
        <w:spacing w:after="60"/>
        <w:jc w:val="right"/>
        <w:rPr>
          <w:b w:val="0"/>
          <w:noProof/>
        </w:rPr>
      </w:pPr>
      <w:r>
        <w:rPr>
          <w:lang w:val="en-US"/>
        </w:rPr>
        <w:t>Qingdao</w:t>
      </w:r>
      <w:r w:rsidR="001433E3">
        <w:rPr>
          <w:lang w:val="en-US"/>
        </w:rPr>
        <w:t xml:space="preserve">, </w:t>
      </w:r>
      <w:r w:rsidR="002F1867">
        <w:rPr>
          <w:lang w:val="en-US"/>
        </w:rPr>
        <w:t xml:space="preserve">P.R.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30</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0891E8B4"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bookmarkStart w:id="0" w:name="_GoBack"/>
      <w:bookmarkEnd w:id="0"/>
      <w:r w:rsidR="008F7FB5" w:rsidRPr="008F7FB5">
        <w:rPr>
          <w:sz w:val="22"/>
          <w:szCs w:val="22"/>
          <w:lang w:val="en-US"/>
        </w:rPr>
        <w:t>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69D40C5"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D17E6E">
        <w:rPr>
          <w:sz w:val="22"/>
          <w:szCs w:val="22"/>
        </w:rPr>
        <w:t>Data forwarding at handover</w:t>
      </w:r>
      <w:r w:rsidR="001D4D2D" w:rsidRPr="00902CE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07E06CC" w14:textId="77777777" w:rsidR="00E90E49" w:rsidRPr="00CE0424" w:rsidRDefault="00E90E49" w:rsidP="009A3844">
      <w:pPr>
        <w:pStyle w:val="Heading1"/>
        <w:jc w:val="both"/>
      </w:pPr>
      <w:r w:rsidRPr="00CE0424">
        <w:t>Introduction</w:t>
      </w:r>
    </w:p>
    <w:p w14:paraId="3FA4A10C" w14:textId="28857EDD" w:rsidR="00B00123" w:rsidRDefault="00D17E6E" w:rsidP="009A3844">
      <w:r>
        <w:t>RAN2</w:t>
      </w:r>
      <w:r w:rsidR="00131A53">
        <w:t xml:space="preserve"> discussed</w:t>
      </w:r>
      <w:r>
        <w:t xml:space="preserve"> </w:t>
      </w:r>
      <w:r w:rsidR="00A50F2F">
        <w:t xml:space="preserve">the </w:t>
      </w:r>
      <w:r w:rsidR="00B0790E">
        <w:t>lossless intra-NR handover (HO) and</w:t>
      </w:r>
      <w:r w:rsidR="00131A53">
        <w:t xml:space="preserve"> reached</w:t>
      </w:r>
      <w:r w:rsidR="00B0790E">
        <w:t xml:space="preserve"> </w:t>
      </w:r>
      <w:r w:rsidR="00131A53">
        <w:t>the following agreement</w:t>
      </w:r>
      <w:r w:rsidR="00B0790E">
        <w:t>:</w:t>
      </w:r>
    </w:p>
    <w:p w14:paraId="29C31E68" w14:textId="77777777" w:rsidR="00B00123" w:rsidRPr="001E7EC3" w:rsidRDefault="00B00123" w:rsidP="00B079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73B1B704" w14:textId="77777777" w:rsidR="00B0790E" w:rsidRDefault="00B0790E" w:rsidP="00B0790E">
      <w:pPr>
        <w:pStyle w:val="Doc-text2"/>
        <w:numPr>
          <w:ilvl w:val="0"/>
          <w:numId w:val="27"/>
        </w:numPr>
        <w:pBdr>
          <w:top w:val="single" w:sz="4" w:space="1" w:color="auto"/>
          <w:left w:val="single" w:sz="4" w:space="4" w:color="auto"/>
          <w:bottom w:val="single" w:sz="4" w:space="1" w:color="auto"/>
          <w:right w:val="single" w:sz="4" w:space="4" w:color="auto"/>
        </w:pBdr>
        <w:spacing w:after="60"/>
        <w:ind w:left="1616" w:hanging="357"/>
        <w:jc w:val="both"/>
      </w:pPr>
      <w:r>
        <w:t xml:space="preserve">For intra NR mobility, when “Lossless HO”, that is lossless, in sequence without duplication to upper layers, can be accomplished by the target using the same DRB configuration and QoS flow to DRB mapping as the source. </w:t>
      </w:r>
    </w:p>
    <w:p w14:paraId="03C70DEA" w14:textId="77777777" w:rsidR="00B0790E" w:rsidRDefault="00B0790E" w:rsidP="00B0790E">
      <w:pPr>
        <w:pStyle w:val="Doc-text2"/>
        <w:pBdr>
          <w:top w:val="single" w:sz="4" w:space="1" w:color="auto"/>
          <w:left w:val="single" w:sz="4" w:space="4" w:color="auto"/>
          <w:bottom w:val="single" w:sz="4" w:space="1" w:color="auto"/>
          <w:right w:val="single" w:sz="4" w:space="4" w:color="auto"/>
        </w:pBdr>
        <w:spacing w:after="60"/>
        <w:ind w:left="1259" w:firstLine="0"/>
        <w:jc w:val="both"/>
      </w:pPr>
      <w:r>
        <w:t>FFS Whether anything more is needed in Rel-15 to support flow remapping at handover. Will be concluded after flow remapping not at handover is concluded.</w:t>
      </w:r>
    </w:p>
    <w:p w14:paraId="41D50745" w14:textId="38B5081E" w:rsidR="00706C0A" w:rsidRPr="00B0790E" w:rsidRDefault="00B0790E" w:rsidP="00A90D70">
      <w:pPr>
        <w:pStyle w:val="Doc-text2"/>
        <w:numPr>
          <w:ilvl w:val="0"/>
          <w:numId w:val="27"/>
        </w:numPr>
        <w:pBdr>
          <w:top w:val="single" w:sz="4" w:space="1" w:color="auto"/>
          <w:left w:val="single" w:sz="4" w:space="4" w:color="auto"/>
          <w:bottom w:val="single" w:sz="4" w:space="1" w:color="auto"/>
          <w:right w:val="single" w:sz="4" w:space="4" w:color="auto"/>
        </w:pBdr>
        <w:spacing w:after="120"/>
        <w:ind w:left="1616" w:hanging="357"/>
        <w:jc w:val="both"/>
      </w:pPr>
      <w:r>
        <w:tab/>
        <w:t>HO with full configuration shall be supported</w:t>
      </w:r>
    </w:p>
    <w:p w14:paraId="72DC441B" w14:textId="4F67C4A0" w:rsidR="001433E3" w:rsidRDefault="00D873F3" w:rsidP="009A3844">
      <w:pPr>
        <w:pStyle w:val="BodyText"/>
      </w:pPr>
      <w:r>
        <w:t>RAN</w:t>
      </w:r>
      <w:r w:rsidR="00B0790E">
        <w:t>3</w:t>
      </w:r>
      <w:r w:rsidR="00131A53">
        <w:t xml:space="preserve"> discussed</w:t>
      </w:r>
      <w:r w:rsidR="00B0790E">
        <w:t xml:space="preserve"> the lossless intra-system </w:t>
      </w:r>
      <w:r w:rsidR="00131A53">
        <w:t xml:space="preserve">HO </w:t>
      </w:r>
      <w:r w:rsidR="00B0790E">
        <w:t xml:space="preserve">and </w:t>
      </w:r>
      <w:r w:rsidR="00131A53">
        <w:t>reached the following agreement</w:t>
      </w:r>
      <w:r w:rsidR="00B0790E">
        <w:t xml:space="preserve">: </w:t>
      </w:r>
    </w:p>
    <w:p w14:paraId="17888AF5" w14:textId="77777777" w:rsidR="00F7628D" w:rsidRPr="001E7EC3" w:rsidRDefault="00F7628D" w:rsidP="00780C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05F61109" w14:textId="2D1B1F3F" w:rsidR="00F7628D" w:rsidRDefault="0048043F" w:rsidP="00A90D70">
      <w:pPr>
        <w:pStyle w:val="Doc-text2"/>
        <w:pBdr>
          <w:top w:val="single" w:sz="4" w:space="1" w:color="auto"/>
          <w:left w:val="single" w:sz="4" w:space="4" w:color="auto"/>
          <w:bottom w:val="single" w:sz="4" w:space="1" w:color="auto"/>
          <w:right w:val="single" w:sz="4" w:space="4" w:color="auto"/>
        </w:pBdr>
        <w:spacing w:after="120"/>
        <w:jc w:val="both"/>
      </w:pPr>
      <w:r>
        <w:t xml:space="preserve">1 </w:t>
      </w:r>
      <w:r w:rsidR="00493FEC">
        <w:t xml:space="preserve">    </w:t>
      </w:r>
      <w:r w:rsidR="00B0790E" w:rsidRPr="00B0790E">
        <w:t>The LTE lossless intra-RAT handover procedures over the S1/X2 interfaces should be used as a basis for designing the lossless intra-system handover procedure for NR and LTE-5G-CN over the NG/Xn interfaces.</w:t>
      </w:r>
    </w:p>
    <w:p w14:paraId="7CCA1EEF" w14:textId="3AF2ED59" w:rsidR="00F7628D" w:rsidRDefault="00BE0F16" w:rsidP="009A3844">
      <w:pPr>
        <w:pStyle w:val="BodyText"/>
      </w:pPr>
      <w:r>
        <w:t xml:space="preserve">Considering these agreements, in </w:t>
      </w:r>
      <w:r w:rsidR="00F7628D">
        <w:t xml:space="preserve">this contribution we further discuss the lossless </w:t>
      </w:r>
      <w:r w:rsidR="00B0790E">
        <w:t>intra-system HO and the data forwarding mechanism</w:t>
      </w:r>
      <w:r w:rsidR="008C3E15">
        <w:t xml:space="preserve"> over the Xn interface</w:t>
      </w:r>
      <w:r w:rsidR="00B0790E">
        <w:t xml:space="preserve">. </w:t>
      </w:r>
    </w:p>
    <w:p w14:paraId="36CEC7B2" w14:textId="27AC4F8D" w:rsidR="001643A8" w:rsidRDefault="008570A8" w:rsidP="009A3844">
      <w:pPr>
        <w:pStyle w:val="Heading1"/>
        <w:jc w:val="both"/>
      </w:pPr>
      <w:r>
        <w:t>Discussion</w:t>
      </w:r>
    </w:p>
    <w:p w14:paraId="7A51C30D" w14:textId="0D63F05F" w:rsidR="00C402ED" w:rsidRDefault="008C3E15" w:rsidP="00C402ED">
      <w:r>
        <w:rPr>
          <w:rFonts w:cs="Arial"/>
          <w:color w:val="231F20"/>
          <w:lang w:val="en-US"/>
        </w:rPr>
        <w:t>The lossless intra-system HO</w:t>
      </w:r>
      <w:r w:rsidR="00364CFD">
        <w:rPr>
          <w:rFonts w:cs="Arial"/>
          <w:color w:val="231F20"/>
          <w:lang w:val="en-US"/>
        </w:rPr>
        <w:t>,</w:t>
      </w:r>
      <w:r w:rsidR="00364CFD" w:rsidRPr="00364CFD">
        <w:t xml:space="preserve"> </w:t>
      </w:r>
      <w:r w:rsidR="00B5567E">
        <w:t>that is lossless, in-</w:t>
      </w:r>
      <w:r w:rsidR="00364CFD">
        <w:t xml:space="preserve">sequence </w:t>
      </w:r>
      <w:r w:rsidR="00B5567E">
        <w:t xml:space="preserve">and </w:t>
      </w:r>
      <w:r w:rsidR="00364CFD">
        <w:t xml:space="preserve">without duplication to upper layers, </w:t>
      </w:r>
      <w:r>
        <w:rPr>
          <w:rFonts w:cs="Arial"/>
          <w:color w:val="231F20"/>
          <w:lang w:val="en-US"/>
        </w:rPr>
        <w:t xml:space="preserve">has been discussed in previous meetings both in RAN2 and RAN3. </w:t>
      </w:r>
      <w:r w:rsidR="006063B7">
        <w:t>It was observed that the re-mapping of a QoS-flow to a different DRB during HO may cause out-of-sequence packet delivery.</w:t>
      </w:r>
      <w:r w:rsidR="00E66FB4">
        <w:t xml:space="preserve"> </w:t>
      </w:r>
      <w:r w:rsidR="00E66FB4">
        <w:rPr>
          <w:rFonts w:cs="Arial"/>
          <w:color w:val="231F20"/>
          <w:lang w:val="en-US"/>
        </w:rPr>
        <w:t>To address this problem different</w:t>
      </w:r>
      <w:r>
        <w:rPr>
          <w:rFonts w:cs="Arial"/>
          <w:color w:val="231F20"/>
          <w:lang w:val="en-US"/>
        </w:rPr>
        <w:t xml:space="preserve"> solutions have been proposed</w:t>
      </w:r>
      <w:r w:rsidR="00E66FB4">
        <w:rPr>
          <w:rFonts w:cs="Arial"/>
          <w:color w:val="231F20"/>
          <w:lang w:val="en-US"/>
        </w:rPr>
        <w:t xml:space="preserve">. One possible solution is to introduce an </w:t>
      </w:r>
      <w:r w:rsidR="00E66FB4">
        <w:t>addition</w:t>
      </w:r>
      <w:r w:rsidR="001D1BAA">
        <w:t>al re-ordering function per QoS-f</w:t>
      </w:r>
      <w:r w:rsidR="00E66FB4">
        <w:t>low (above PDCP)</w:t>
      </w:r>
      <w:r w:rsidR="001D1BAA">
        <w:rPr>
          <w:rFonts w:cs="Arial"/>
          <w:color w:val="231F20"/>
          <w:lang w:val="en-US"/>
        </w:rPr>
        <w:t>. However, this seems a rather complex solution which would create unnecessary overhead and</w:t>
      </w:r>
      <w:r w:rsidR="00364CFD">
        <w:rPr>
          <w:rFonts w:cs="Arial"/>
          <w:color w:val="231F20"/>
          <w:lang w:val="en-US"/>
        </w:rPr>
        <w:t xml:space="preserve"> potentially</w:t>
      </w:r>
      <w:r w:rsidR="001D1BAA">
        <w:rPr>
          <w:rFonts w:cs="Arial"/>
          <w:color w:val="231F20"/>
          <w:lang w:val="en-US"/>
        </w:rPr>
        <w:t xml:space="preserve"> have negative impact on the radio performance. Another possible solution is to enhance the PDCP layer with additional functionalities </w:t>
      </w:r>
      <w:r w:rsidR="00EC16D1">
        <w:rPr>
          <w:rFonts w:cs="Arial"/>
          <w:color w:val="231F20"/>
          <w:lang w:val="en-US"/>
        </w:rPr>
        <w:t>(e.g., enhance the PDCP status report to instruct the PDCP receiver to ignore ga</w:t>
      </w:r>
      <w:r w:rsidR="00D13F8A">
        <w:rPr>
          <w:rFonts w:cs="Arial"/>
          <w:color w:val="231F20"/>
          <w:lang w:val="en-US"/>
        </w:rPr>
        <w:t>ps). However, this also seems a not ideal</w:t>
      </w:r>
      <w:r w:rsidR="00EC16D1">
        <w:rPr>
          <w:rFonts w:cs="Arial"/>
          <w:color w:val="231F20"/>
          <w:lang w:val="en-US"/>
        </w:rPr>
        <w:t xml:space="preserve"> solution as it will add unnecessary complexity to the NR-PDCP protocol and deviate from LTE-PDCP protocol</w:t>
      </w:r>
      <w:r w:rsidR="00364CFD">
        <w:rPr>
          <w:rFonts w:cs="Arial"/>
          <w:color w:val="231F20"/>
          <w:lang w:val="en-US"/>
        </w:rPr>
        <w:t xml:space="preserve"> functionalities</w:t>
      </w:r>
      <w:r w:rsidR="00EC16D1">
        <w:rPr>
          <w:rFonts w:cs="Arial"/>
          <w:color w:val="231F20"/>
          <w:lang w:val="en-US"/>
        </w:rPr>
        <w:t>. Finally, another possible solution is that the target node uses the same</w:t>
      </w:r>
      <w:r w:rsidR="005F0B7E">
        <w:rPr>
          <w:rFonts w:cs="Arial"/>
          <w:color w:val="231F20"/>
          <w:lang w:val="en-US"/>
        </w:rPr>
        <w:t xml:space="preserve"> QoS-flows to DRBs mapping</w:t>
      </w:r>
      <w:r w:rsidR="00EC16D1">
        <w:rPr>
          <w:rFonts w:cs="Arial"/>
          <w:color w:val="231F20"/>
          <w:lang w:val="en-US"/>
        </w:rPr>
        <w:t xml:space="preserve"> </w:t>
      </w:r>
      <w:r w:rsidR="005F0B7E" w:rsidRPr="00321723">
        <w:t>for a transition period</w:t>
      </w:r>
      <w:r w:rsidR="005F0B7E">
        <w:t>, where the t</w:t>
      </w:r>
      <w:r w:rsidR="005F0B7E" w:rsidRPr="00321723">
        <w:t xml:space="preserve">ransition period </w:t>
      </w:r>
      <w:r w:rsidR="005F0B7E">
        <w:t>could</w:t>
      </w:r>
      <w:r w:rsidR="005F0B7E" w:rsidRPr="00321723">
        <w:t xml:space="preserve"> </w:t>
      </w:r>
      <w:r w:rsidR="005F0B7E">
        <w:t xml:space="preserve">correspond to the time required to </w:t>
      </w:r>
      <w:r w:rsidR="005F0B7E" w:rsidRPr="00321723">
        <w:t>transmit</w:t>
      </w:r>
      <w:r w:rsidR="005F0B7E">
        <w:t xml:space="preserve"> </w:t>
      </w:r>
      <w:r w:rsidR="00364CFD">
        <w:t xml:space="preserve">the </w:t>
      </w:r>
      <w:r w:rsidR="005F0B7E" w:rsidRPr="00321723">
        <w:t>packets that ha</w:t>
      </w:r>
      <w:r w:rsidR="005F0B7E">
        <w:t xml:space="preserve">ve been assigned a PDCP </w:t>
      </w:r>
      <w:r w:rsidR="005F0B7E" w:rsidRPr="00321723">
        <w:t xml:space="preserve">SN </w:t>
      </w:r>
      <w:r w:rsidR="005F0B7E">
        <w:t>in</w:t>
      </w:r>
      <w:r w:rsidR="005F0B7E" w:rsidRPr="00321723">
        <w:t xml:space="preserve"> the source </w:t>
      </w:r>
      <w:r w:rsidR="005F0B7E">
        <w:t>node</w:t>
      </w:r>
      <w:r w:rsidR="00A358AF">
        <w:t xml:space="preserve"> [1]</w:t>
      </w:r>
      <w:r w:rsidR="005F0B7E" w:rsidRPr="00321723">
        <w:t>.</w:t>
      </w:r>
      <w:r w:rsidR="00284D8E">
        <w:t xml:space="preserve"> This seems a more interesting approach. However, there </w:t>
      </w:r>
      <w:r w:rsidR="00022E92">
        <w:t>are some</w:t>
      </w:r>
      <w:r w:rsidR="00284D8E">
        <w:t xml:space="preserve"> </w:t>
      </w:r>
      <w:r w:rsidR="00766C8B">
        <w:t>drawbacks</w:t>
      </w:r>
      <w:r w:rsidR="00284D8E">
        <w:t xml:space="preserve"> when looking at the UL scenario and taking into consideration the reflective QoS feature. </w:t>
      </w:r>
      <w:r w:rsidR="00B5567E">
        <w:rPr>
          <w:rFonts w:cs="Arial"/>
          <w:color w:val="231F20"/>
        </w:rPr>
        <w:t>This is because t</w:t>
      </w:r>
      <w:r w:rsidR="00C402ED">
        <w:rPr>
          <w:rFonts w:cs="Arial"/>
          <w:color w:val="231F20"/>
        </w:rPr>
        <w:t xml:space="preserve">he target node </w:t>
      </w:r>
      <w:r w:rsidR="00C402ED">
        <w:t>does not know the UE</w:t>
      </w:r>
      <w:r w:rsidR="00B5567E">
        <w:t xml:space="preserve"> reflective QoS filters. </w:t>
      </w:r>
      <w:r w:rsidR="00C402ED">
        <w:t xml:space="preserve">One could consider that the source </w:t>
      </w:r>
      <w:r w:rsidR="00B5567E">
        <w:t>node</w:t>
      </w:r>
      <w:r w:rsidR="00C402ED">
        <w:t xml:space="preserve"> provides the reflective UL QoS mappings to the target </w:t>
      </w:r>
      <w:r w:rsidR="00B5567E">
        <w:t>node</w:t>
      </w:r>
      <w:r w:rsidR="00C402ED">
        <w:t xml:space="preserve"> (e.g.</w:t>
      </w:r>
      <w:r w:rsidR="00B5567E">
        <w:t>,</w:t>
      </w:r>
      <w:r w:rsidR="00C402ED">
        <w:t xml:space="preserve"> in AS-Context).</w:t>
      </w:r>
      <w:r w:rsidR="00566DA6">
        <w:t xml:space="preserve"> Additionally</w:t>
      </w:r>
      <w:r w:rsidR="00C402ED">
        <w:t xml:space="preserve">, </w:t>
      </w:r>
      <w:r w:rsidR="00C402ED" w:rsidRPr="00AF29CE">
        <w:t xml:space="preserve">the target node </w:t>
      </w:r>
      <w:r w:rsidR="003C08CF">
        <w:t>when</w:t>
      </w:r>
      <w:r w:rsidR="00C402ED" w:rsidRPr="00AF29CE">
        <w:t xml:space="preserve"> chang</w:t>
      </w:r>
      <w:r w:rsidR="003C08CF">
        <w:t>ing</w:t>
      </w:r>
      <w:r w:rsidR="00C402ED" w:rsidRPr="00AF29CE">
        <w:t xml:space="preserve"> the QoS</w:t>
      </w:r>
      <w:r w:rsidR="00B5567E">
        <w:t>-flows to DRBs</w:t>
      </w:r>
      <w:r w:rsidR="00C402ED" w:rsidRPr="00AF29CE">
        <w:t xml:space="preserve"> mapping </w:t>
      </w:r>
      <w:r w:rsidR="003C08CF">
        <w:t>should</w:t>
      </w:r>
      <w:r w:rsidR="00C402ED" w:rsidRPr="00AF29CE">
        <w:t xml:space="preserve"> send the new mapping to the UE in the HO command (RRCConnectionReconfiguration)</w:t>
      </w:r>
      <w:r w:rsidR="00C402ED">
        <w:t xml:space="preserve">. </w:t>
      </w:r>
      <w:r w:rsidR="00766C8B">
        <w:t>However,</w:t>
      </w:r>
      <w:r w:rsidR="00C402ED">
        <w:t xml:space="preserve"> we </w:t>
      </w:r>
      <w:r w:rsidR="00766C8B">
        <w:t>believe</w:t>
      </w:r>
      <w:r w:rsidR="00C402ED">
        <w:t xml:space="preserve"> this being unnecessarily complex and it would also introduce risk of state mismatch. It appears simpler that the UE maintains a reflective UL QoS mapping as long as the DRB with which it is associated exists</w:t>
      </w:r>
      <w:r w:rsidR="002277E9">
        <w:t>, i.e., also during</w:t>
      </w:r>
      <w:r w:rsidR="00B5567E">
        <w:t xml:space="preserve"> </w:t>
      </w:r>
      <w:r w:rsidR="00C402ED">
        <w:t xml:space="preserve">mobility. </w:t>
      </w:r>
      <w:r w:rsidR="00B5567E" w:rsidRPr="003F4744">
        <w:t xml:space="preserve">This implies that the best approach for guaranteeing lossless intra-system HO is that the source and the target </w:t>
      </w:r>
      <w:r w:rsidR="00174286" w:rsidRPr="003F4744">
        <w:t xml:space="preserve">nodes </w:t>
      </w:r>
      <w:r w:rsidR="00B5567E" w:rsidRPr="003F4744">
        <w:t>use the same QoS-flow to DRB mapping.</w:t>
      </w:r>
    </w:p>
    <w:p w14:paraId="6CB476A8" w14:textId="09DEF8BE" w:rsidR="008C3E15" w:rsidRDefault="008C3E15" w:rsidP="008C3E15">
      <w:pPr>
        <w:pStyle w:val="TOC1"/>
        <w:jc w:val="both"/>
      </w:pPr>
      <w:bookmarkStart w:id="1" w:name="_Hlk485638500"/>
      <w:r>
        <w:lastRenderedPageBreak/>
        <w:t>Proposal 1</w:t>
      </w:r>
      <w:r>
        <w:rPr>
          <w:rFonts w:asciiTheme="minorHAnsi" w:eastAsiaTheme="minorEastAsia" w:hAnsiTheme="minorHAnsi" w:cstheme="minorBidi"/>
          <w:b w:val="0"/>
          <w:sz w:val="22"/>
          <w:lang w:eastAsia="en-US"/>
        </w:rPr>
        <w:tab/>
      </w:r>
      <w:r w:rsidR="000E38E9">
        <w:t>The solution for lossless intra-system HO, that is lossless, in-sequence and without duplication to upper layers is to use the same QoS-flows to DRBs mapping in the source and target nodes</w:t>
      </w:r>
    </w:p>
    <w:bookmarkEnd w:id="1"/>
    <w:p w14:paraId="174B698C" w14:textId="555C38FA" w:rsidR="00CD78C3" w:rsidRDefault="00CD78C3" w:rsidP="00CD78C3">
      <w:pPr>
        <w:pStyle w:val="TOC1"/>
        <w:ind w:left="0" w:firstLine="0"/>
        <w:jc w:val="both"/>
      </w:pPr>
      <w:r w:rsidRPr="00CD78C3">
        <w:rPr>
          <w:b w:val="0"/>
        </w:rPr>
        <w:t xml:space="preserve">Another issue that has been discussed in RAN3 is how to forward data </w:t>
      </w:r>
      <w:r>
        <w:rPr>
          <w:b w:val="0"/>
        </w:rPr>
        <w:t>between source and target node over the Xn initerface</w:t>
      </w:r>
      <w:r w:rsidRPr="00CD78C3">
        <w:rPr>
          <w:b w:val="0"/>
        </w:rPr>
        <w:t xml:space="preserve">. </w:t>
      </w:r>
      <w:r w:rsidR="009A2EF0" w:rsidRPr="00CD78C3">
        <w:rPr>
          <w:b w:val="0"/>
        </w:rPr>
        <w:t xml:space="preserve">Based on the agreement that was taken in the last RAN3 meeting, the LTE lossless intra-RAT handover procedures over the S1/X2 interfaces should be used as a basis for designing the lossless intra-system handover procedure for NR and LTE-5G-CN over the NG/Xn interfaces. This implies that to ensure lossless intra-system mobility the PDCP-SN status will be transferred from source to target node and that </w:t>
      </w:r>
      <w:r w:rsidR="009A2EF0" w:rsidRPr="003F4744">
        <w:rPr>
          <w:b w:val="0"/>
        </w:rPr>
        <w:t xml:space="preserve">the packets that have already been assigned a PDCP SN in the source should be transmitted to the target on a per-bearer basis, which implies creating one GTP tunnel per each bearer over the Xn interface. </w:t>
      </w:r>
      <w:r w:rsidRPr="003F4744">
        <w:rPr>
          <w:b w:val="0"/>
        </w:rPr>
        <w:t xml:space="preserve">On the other hand, a single GTP tunnel per PDU session can be used </w:t>
      </w:r>
      <w:r w:rsidR="00BB793E" w:rsidRPr="003F4744">
        <w:rPr>
          <w:b w:val="0"/>
        </w:rPr>
        <w:t>to transfer the new incoming IP packtes in</w:t>
      </w:r>
      <w:r w:rsidR="00BB793E">
        <w:rPr>
          <w:b w:val="0"/>
        </w:rPr>
        <w:t xml:space="preserve"> downlink (DL)</w:t>
      </w:r>
      <w:r w:rsidR="00022E92">
        <w:rPr>
          <w:b w:val="0"/>
        </w:rPr>
        <w:t xml:space="preserve"> direction</w:t>
      </w:r>
      <w:r w:rsidR="009B6A21">
        <w:rPr>
          <w:b w:val="0"/>
        </w:rPr>
        <w:t>, i.e., the packets</w:t>
      </w:r>
      <w:r w:rsidR="0024540C">
        <w:rPr>
          <w:b w:val="0"/>
        </w:rPr>
        <w:t xml:space="preserve"> that have not received a SN in the source node</w:t>
      </w:r>
      <w:r w:rsidR="00BB793E">
        <w:rPr>
          <w:b w:val="0"/>
        </w:rPr>
        <w:t xml:space="preserve">. </w:t>
      </w:r>
      <w:r w:rsidR="009A2EF0">
        <w:rPr>
          <w:b w:val="0"/>
        </w:rPr>
        <w:t>An example of data forwarding over the Xn is provided in Figure 1.</w:t>
      </w:r>
    </w:p>
    <w:p w14:paraId="39E0DA61" w14:textId="77777777" w:rsidR="00D65733" w:rsidRDefault="00D65733" w:rsidP="00D65733">
      <w:pPr>
        <w:pStyle w:val="TOC1"/>
        <w:jc w:val="both"/>
      </w:pPr>
      <w:r>
        <w:t>Proposal 2</w:t>
      </w:r>
      <w:r>
        <w:rPr>
          <w:rFonts w:asciiTheme="minorHAnsi" w:eastAsiaTheme="minorEastAsia" w:hAnsiTheme="minorHAnsi" w:cstheme="minorBidi"/>
          <w:b w:val="0"/>
          <w:sz w:val="22"/>
          <w:lang w:eastAsia="en-US"/>
        </w:rPr>
        <w:tab/>
      </w:r>
      <w:r>
        <w:t>For data forwarding between soure and target over the Xn: (1) one GTP tunnel per bearer is utilized to transmit the packets that have already been assigned a SN in the source; (2) one GTP tunnel per PDU session is utilized to transmit new incoming IP packets in downlink.</w:t>
      </w:r>
    </w:p>
    <w:p w14:paraId="3FF4CD7A" w14:textId="1EEF024D" w:rsidR="00BB793E" w:rsidRDefault="002B00A3" w:rsidP="002B00A3">
      <w:pPr>
        <w:pStyle w:val="TOC1"/>
        <w:ind w:left="0" w:firstLine="0"/>
        <w:jc w:val="center"/>
      </w:pPr>
      <w:r>
        <w:rPr>
          <w:lang w:val="en-GB" w:eastAsia="en-GB"/>
        </w:rPr>
        <w:drawing>
          <wp:inline distT="0" distB="0" distL="0" distR="0" wp14:anchorId="40435251" wp14:editId="523D90DC">
            <wp:extent cx="2959223" cy="2340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59223" cy="2340000"/>
                    </a:xfrm>
                    <a:prstGeom prst="rect">
                      <a:avLst/>
                    </a:prstGeom>
                  </pic:spPr>
                </pic:pic>
              </a:graphicData>
            </a:graphic>
          </wp:inline>
        </w:drawing>
      </w:r>
    </w:p>
    <w:p w14:paraId="5238022A" w14:textId="783A5BD0" w:rsidR="002B00A3" w:rsidRDefault="002B00A3" w:rsidP="002B00A3">
      <w:pPr>
        <w:pStyle w:val="TOC1"/>
        <w:ind w:left="0" w:firstLine="0"/>
        <w:jc w:val="center"/>
      </w:pPr>
      <w:r>
        <w:t>Figure 1: Example of data forwarding over Xn.</w:t>
      </w:r>
    </w:p>
    <w:p w14:paraId="7E690B51" w14:textId="77777777" w:rsidR="00C01F33" w:rsidRPr="00CE0424" w:rsidRDefault="00C01F33" w:rsidP="009A3844">
      <w:pPr>
        <w:pStyle w:val="Heading1"/>
        <w:jc w:val="both"/>
      </w:pPr>
      <w:r w:rsidRPr="00CE0424">
        <w:t>Conclusion</w:t>
      </w:r>
    </w:p>
    <w:p w14:paraId="4C6989FF" w14:textId="0BFC6073" w:rsidR="00161906" w:rsidRDefault="00161906" w:rsidP="00161906">
      <w:pPr>
        <w:pStyle w:val="BodyText"/>
      </w:pPr>
      <w:bookmarkStart w:id="2" w:name="_Hlk485638577"/>
      <w:r>
        <w:t xml:space="preserve">In this contribution we analysed the lossless </w:t>
      </w:r>
      <w:r w:rsidR="009A2EF0">
        <w:t xml:space="preserve">intra-system </w:t>
      </w:r>
      <w:r>
        <w:t xml:space="preserve">handover. Based on our analysis we </w:t>
      </w:r>
      <w:r w:rsidR="009A2EF0">
        <w:t>advanced</w:t>
      </w:r>
      <w:r>
        <w:t xml:space="preserve"> the following proposals:</w:t>
      </w:r>
    </w:p>
    <w:p w14:paraId="0BEC507F" w14:textId="5135607C" w:rsidR="009A2EF0" w:rsidRDefault="009A2EF0" w:rsidP="009A2EF0">
      <w:pPr>
        <w:pStyle w:val="TOC1"/>
        <w:jc w:val="both"/>
      </w:pPr>
      <w:bookmarkStart w:id="3" w:name="_In-sequence_SDU_delivery"/>
      <w:bookmarkEnd w:id="2"/>
      <w:bookmarkEnd w:id="3"/>
      <w:r>
        <w:t>Proposal 1</w:t>
      </w:r>
      <w:r>
        <w:rPr>
          <w:rFonts w:asciiTheme="minorHAnsi" w:eastAsiaTheme="minorEastAsia" w:hAnsiTheme="minorHAnsi" w:cstheme="minorBidi"/>
          <w:b w:val="0"/>
          <w:sz w:val="22"/>
          <w:lang w:eastAsia="en-US"/>
        </w:rPr>
        <w:tab/>
      </w:r>
      <w:r w:rsidRPr="00CD3B4F">
        <w:t>The</w:t>
      </w:r>
      <w:r>
        <w:t xml:space="preserve"> solution for lossless intra-system HO, that is lossless, in-sequence and without duplication to upper layers is to use the same QoS-flows to DRBs mapping in the source and target nodes.</w:t>
      </w:r>
    </w:p>
    <w:p w14:paraId="665937F0" w14:textId="314A80A1" w:rsidR="00A358AF" w:rsidRDefault="00A358AF" w:rsidP="00A358AF">
      <w:pPr>
        <w:pStyle w:val="TOC1"/>
        <w:jc w:val="both"/>
      </w:pPr>
      <w:r>
        <w:t>Proposal 2</w:t>
      </w:r>
      <w:r>
        <w:rPr>
          <w:rFonts w:asciiTheme="minorHAnsi" w:eastAsiaTheme="minorEastAsia" w:hAnsiTheme="minorHAnsi" w:cstheme="minorBidi"/>
          <w:b w:val="0"/>
          <w:sz w:val="22"/>
          <w:lang w:eastAsia="en-US"/>
        </w:rPr>
        <w:tab/>
      </w:r>
      <w:r>
        <w:t>For data forwarding between soure and target over the Xn: (1) one GTP tunnel per bearer is utilized to tran</w:t>
      </w:r>
      <w:r w:rsidR="00D65733">
        <w:t>s</w:t>
      </w:r>
      <w:r>
        <w:t>mit the packet</w:t>
      </w:r>
      <w:r w:rsidR="00D65733">
        <w:t>s</w:t>
      </w:r>
      <w:r>
        <w:t xml:space="preserve"> that have already been assigned a SN in the source; (2) one GTP tunnel per PDU session is utilized to transmit new incoming IP packets in downlink.</w:t>
      </w:r>
    </w:p>
    <w:p w14:paraId="4C9431F6" w14:textId="77777777" w:rsidR="00F507D1" w:rsidRPr="00CE0424" w:rsidRDefault="00F507D1" w:rsidP="009A3844">
      <w:pPr>
        <w:pStyle w:val="Heading1"/>
        <w:jc w:val="both"/>
      </w:pPr>
      <w:r w:rsidRPr="00CE0424">
        <w:t>References</w:t>
      </w:r>
    </w:p>
    <w:p w14:paraId="61E15B05" w14:textId="2CF36C1A" w:rsidR="00891882" w:rsidRDefault="00A358AF" w:rsidP="00A358AF">
      <w:pPr>
        <w:pStyle w:val="Reference"/>
      </w:pPr>
      <w:r>
        <w:t xml:space="preserve">R3-171120, </w:t>
      </w:r>
      <w:r w:rsidRPr="00A358AF">
        <w:t>Intra-NG RAN Lossless handover and data forwarding</w:t>
      </w:r>
      <w:r>
        <w:t>, Nokia</w:t>
      </w:r>
    </w:p>
    <w:sectPr w:rsidR="0089188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667C4" w14:textId="77777777" w:rsidR="00B140A8" w:rsidRDefault="00B140A8">
      <w:r>
        <w:separator/>
      </w:r>
    </w:p>
  </w:endnote>
  <w:endnote w:type="continuationSeparator" w:id="0">
    <w:p w14:paraId="017C9FD9" w14:textId="77777777" w:rsidR="00B140A8" w:rsidRDefault="00B1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4838D1D"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124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24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B602B" w14:textId="77777777" w:rsidR="00B140A8" w:rsidRDefault="00B140A8">
      <w:r>
        <w:separator/>
      </w:r>
    </w:p>
  </w:footnote>
  <w:footnote w:type="continuationSeparator" w:id="0">
    <w:p w14:paraId="030C7384" w14:textId="77777777" w:rsidR="00B140A8" w:rsidRDefault="00B14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7"/>
  </w:num>
  <w:num w:numId="10">
    <w:abstractNumId w:val="2"/>
  </w:num>
  <w:num w:numId="11">
    <w:abstractNumId w:val="1"/>
  </w:num>
  <w:num w:numId="12">
    <w:abstractNumId w:val="0"/>
  </w:num>
  <w:num w:numId="13">
    <w:abstractNumId w:val="20"/>
  </w:num>
  <w:num w:numId="14">
    <w:abstractNumId w:val="23"/>
  </w:num>
  <w:num w:numId="15">
    <w:abstractNumId w:val="17"/>
  </w:num>
  <w:num w:numId="16">
    <w:abstractNumId w:val="26"/>
  </w:num>
  <w:num w:numId="17">
    <w:abstractNumId w:val="22"/>
  </w:num>
  <w:num w:numId="18">
    <w:abstractNumId w:val="8"/>
  </w:num>
  <w:num w:numId="19">
    <w:abstractNumId w:val="5"/>
  </w:num>
  <w:num w:numId="20">
    <w:abstractNumId w:val="19"/>
  </w:num>
  <w:num w:numId="21">
    <w:abstractNumId w:val="4"/>
  </w:num>
  <w:num w:numId="22">
    <w:abstractNumId w:val="15"/>
  </w:num>
  <w:num w:numId="23">
    <w:abstractNumId w:val="9"/>
  </w:num>
  <w:num w:numId="24">
    <w:abstractNumId w:val="6"/>
  </w:num>
  <w:num w:numId="25">
    <w:abstractNumId w:val="25"/>
  </w:num>
  <w:num w:numId="26">
    <w:abstractNumId w:val="24"/>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2E92"/>
    <w:rsid w:val="0002437C"/>
    <w:rsid w:val="0002564D"/>
    <w:rsid w:val="00025ECA"/>
    <w:rsid w:val="00027939"/>
    <w:rsid w:val="000325B8"/>
    <w:rsid w:val="00034724"/>
    <w:rsid w:val="00034C15"/>
    <w:rsid w:val="00035C99"/>
    <w:rsid w:val="00035FB9"/>
    <w:rsid w:val="000360FE"/>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797"/>
    <w:rsid w:val="000D4EC3"/>
    <w:rsid w:val="000E0527"/>
    <w:rsid w:val="000E1E92"/>
    <w:rsid w:val="000E280D"/>
    <w:rsid w:val="000E38E9"/>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1A53"/>
    <w:rsid w:val="00132FD0"/>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67C94"/>
    <w:rsid w:val="001708F2"/>
    <w:rsid w:val="00173A8E"/>
    <w:rsid w:val="00174286"/>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543A"/>
    <w:rsid w:val="001C6495"/>
    <w:rsid w:val="001D0623"/>
    <w:rsid w:val="001D0C4C"/>
    <w:rsid w:val="001D1BAA"/>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423"/>
    <w:rsid w:val="002158FA"/>
    <w:rsid w:val="00220600"/>
    <w:rsid w:val="00221332"/>
    <w:rsid w:val="002224DB"/>
    <w:rsid w:val="00223FCB"/>
    <w:rsid w:val="002252C3"/>
    <w:rsid w:val="0022599D"/>
    <w:rsid w:val="00225C54"/>
    <w:rsid w:val="002277E9"/>
    <w:rsid w:val="00230765"/>
    <w:rsid w:val="002318BC"/>
    <w:rsid w:val="002319E4"/>
    <w:rsid w:val="00235632"/>
    <w:rsid w:val="00235872"/>
    <w:rsid w:val="00235A08"/>
    <w:rsid w:val="00236EF1"/>
    <w:rsid w:val="00241559"/>
    <w:rsid w:val="002435B3"/>
    <w:rsid w:val="0024540C"/>
    <w:rsid w:val="00245524"/>
    <w:rsid w:val="002458EB"/>
    <w:rsid w:val="002500C8"/>
    <w:rsid w:val="00257543"/>
    <w:rsid w:val="00260065"/>
    <w:rsid w:val="002617E7"/>
    <w:rsid w:val="00261FC8"/>
    <w:rsid w:val="00263710"/>
    <w:rsid w:val="00264228"/>
    <w:rsid w:val="00264334"/>
    <w:rsid w:val="0026473E"/>
    <w:rsid w:val="00266214"/>
    <w:rsid w:val="00267C83"/>
    <w:rsid w:val="00271242"/>
    <w:rsid w:val="0027144F"/>
    <w:rsid w:val="00271F3A"/>
    <w:rsid w:val="00272585"/>
    <w:rsid w:val="002727E1"/>
    <w:rsid w:val="00273278"/>
    <w:rsid w:val="002734CE"/>
    <w:rsid w:val="002737F4"/>
    <w:rsid w:val="00274BD1"/>
    <w:rsid w:val="002805F5"/>
    <w:rsid w:val="00280751"/>
    <w:rsid w:val="002825CB"/>
    <w:rsid w:val="0028280A"/>
    <w:rsid w:val="00284D8E"/>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00A3"/>
    <w:rsid w:val="002B24D6"/>
    <w:rsid w:val="002C41E6"/>
    <w:rsid w:val="002C6D51"/>
    <w:rsid w:val="002D071A"/>
    <w:rsid w:val="002D0B56"/>
    <w:rsid w:val="002D2DE7"/>
    <w:rsid w:val="002D34B2"/>
    <w:rsid w:val="002D47E3"/>
    <w:rsid w:val="002D7637"/>
    <w:rsid w:val="002E17F2"/>
    <w:rsid w:val="002E7CAE"/>
    <w:rsid w:val="002F1867"/>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FD6"/>
    <w:rsid w:val="003143BD"/>
    <w:rsid w:val="00317B01"/>
    <w:rsid w:val="003203ED"/>
    <w:rsid w:val="00321ACD"/>
    <w:rsid w:val="00322C9F"/>
    <w:rsid w:val="003242F4"/>
    <w:rsid w:val="00324D23"/>
    <w:rsid w:val="00326C94"/>
    <w:rsid w:val="00331751"/>
    <w:rsid w:val="003335CC"/>
    <w:rsid w:val="00334579"/>
    <w:rsid w:val="00335858"/>
    <w:rsid w:val="00336BDA"/>
    <w:rsid w:val="00340D15"/>
    <w:rsid w:val="00342BD7"/>
    <w:rsid w:val="00343A07"/>
    <w:rsid w:val="00346DB5"/>
    <w:rsid w:val="00346F8A"/>
    <w:rsid w:val="003477B1"/>
    <w:rsid w:val="00347F5E"/>
    <w:rsid w:val="0035411B"/>
    <w:rsid w:val="0035482C"/>
    <w:rsid w:val="00357380"/>
    <w:rsid w:val="003602D9"/>
    <w:rsid w:val="003604CE"/>
    <w:rsid w:val="00361F95"/>
    <w:rsid w:val="00364029"/>
    <w:rsid w:val="00364CFD"/>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8CF"/>
    <w:rsid w:val="003C0E86"/>
    <w:rsid w:val="003C11C8"/>
    <w:rsid w:val="003C2702"/>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4AB"/>
    <w:rsid w:val="003F05C7"/>
    <w:rsid w:val="003F2CD4"/>
    <w:rsid w:val="003F474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5DB7"/>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B30AA"/>
    <w:rsid w:val="004B7C0C"/>
    <w:rsid w:val="004C3898"/>
    <w:rsid w:val="004C3C78"/>
    <w:rsid w:val="004C7C52"/>
    <w:rsid w:val="004D36B1"/>
    <w:rsid w:val="004D7EBD"/>
    <w:rsid w:val="004E2680"/>
    <w:rsid w:val="004E28F9"/>
    <w:rsid w:val="004E40EA"/>
    <w:rsid w:val="004E462E"/>
    <w:rsid w:val="004E4B67"/>
    <w:rsid w:val="004E56DC"/>
    <w:rsid w:val="004E76F4"/>
    <w:rsid w:val="004F0B4E"/>
    <w:rsid w:val="004F0B6C"/>
    <w:rsid w:val="004F18F3"/>
    <w:rsid w:val="004F2078"/>
    <w:rsid w:val="004F2F28"/>
    <w:rsid w:val="004F4DA3"/>
    <w:rsid w:val="004F73F0"/>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4E19"/>
    <w:rsid w:val="005550A9"/>
    <w:rsid w:val="0056121F"/>
    <w:rsid w:val="00561BED"/>
    <w:rsid w:val="00566DA6"/>
    <w:rsid w:val="00570B4D"/>
    <w:rsid w:val="00572505"/>
    <w:rsid w:val="005745BA"/>
    <w:rsid w:val="00580202"/>
    <w:rsid w:val="00582490"/>
    <w:rsid w:val="00582809"/>
    <w:rsid w:val="0058363F"/>
    <w:rsid w:val="0058798C"/>
    <w:rsid w:val="005900FA"/>
    <w:rsid w:val="005935A4"/>
    <w:rsid w:val="005948C2"/>
    <w:rsid w:val="00595AC4"/>
    <w:rsid w:val="00595DCA"/>
    <w:rsid w:val="0059779B"/>
    <w:rsid w:val="005A209A"/>
    <w:rsid w:val="005A662D"/>
    <w:rsid w:val="005B0D1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0B7E"/>
    <w:rsid w:val="005F2CB1"/>
    <w:rsid w:val="005F3025"/>
    <w:rsid w:val="005F4D03"/>
    <w:rsid w:val="005F5947"/>
    <w:rsid w:val="005F618C"/>
    <w:rsid w:val="005F6C7F"/>
    <w:rsid w:val="005F70BD"/>
    <w:rsid w:val="005F781A"/>
    <w:rsid w:val="0060283C"/>
    <w:rsid w:val="00604F14"/>
    <w:rsid w:val="00605F62"/>
    <w:rsid w:val="006063B7"/>
    <w:rsid w:val="00611B83"/>
    <w:rsid w:val="00612C56"/>
    <w:rsid w:val="00613257"/>
    <w:rsid w:val="00616AAA"/>
    <w:rsid w:val="0062061C"/>
    <w:rsid w:val="006207F6"/>
    <w:rsid w:val="00620A71"/>
    <w:rsid w:val="00620D80"/>
    <w:rsid w:val="006234A6"/>
    <w:rsid w:val="00624217"/>
    <w:rsid w:val="00624D23"/>
    <w:rsid w:val="00627520"/>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5562"/>
    <w:rsid w:val="0064624E"/>
    <w:rsid w:val="00646E1B"/>
    <w:rsid w:val="00650AB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2E75"/>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66C8B"/>
    <w:rsid w:val="00770A3C"/>
    <w:rsid w:val="00772536"/>
    <w:rsid w:val="007730BD"/>
    <w:rsid w:val="007755F2"/>
    <w:rsid w:val="007767C8"/>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896"/>
    <w:rsid w:val="007D5901"/>
    <w:rsid w:val="007D7526"/>
    <w:rsid w:val="007E2A4D"/>
    <w:rsid w:val="007E2AE4"/>
    <w:rsid w:val="007E4610"/>
    <w:rsid w:val="007E4715"/>
    <w:rsid w:val="007E505B"/>
    <w:rsid w:val="007E61E2"/>
    <w:rsid w:val="007E7091"/>
    <w:rsid w:val="007F2D36"/>
    <w:rsid w:val="007F3DE8"/>
    <w:rsid w:val="008025B8"/>
    <w:rsid w:val="00803FAE"/>
    <w:rsid w:val="0080605F"/>
    <w:rsid w:val="00807216"/>
    <w:rsid w:val="00807786"/>
    <w:rsid w:val="00811FCB"/>
    <w:rsid w:val="008132C3"/>
    <w:rsid w:val="008158D6"/>
    <w:rsid w:val="00817196"/>
    <w:rsid w:val="00817EDE"/>
    <w:rsid w:val="008235DB"/>
    <w:rsid w:val="00824AB4"/>
    <w:rsid w:val="00825C42"/>
    <w:rsid w:val="00825D25"/>
    <w:rsid w:val="00827D6F"/>
    <w:rsid w:val="008376AC"/>
    <w:rsid w:val="00843558"/>
    <w:rsid w:val="008444E8"/>
    <w:rsid w:val="00844E80"/>
    <w:rsid w:val="00846FE7"/>
    <w:rsid w:val="00847423"/>
    <w:rsid w:val="00850CEC"/>
    <w:rsid w:val="00852973"/>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1822"/>
    <w:rsid w:val="008C2017"/>
    <w:rsid w:val="008C3E15"/>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31BD9"/>
    <w:rsid w:val="00932DF3"/>
    <w:rsid w:val="009353C8"/>
    <w:rsid w:val="009368F3"/>
    <w:rsid w:val="00937917"/>
    <w:rsid w:val="00941636"/>
    <w:rsid w:val="00942317"/>
    <w:rsid w:val="00943742"/>
    <w:rsid w:val="00945C05"/>
    <w:rsid w:val="00946945"/>
    <w:rsid w:val="00946A21"/>
    <w:rsid w:val="00947713"/>
    <w:rsid w:val="00950DE7"/>
    <w:rsid w:val="00951F4F"/>
    <w:rsid w:val="00952F48"/>
    <w:rsid w:val="00953920"/>
    <w:rsid w:val="00953D47"/>
    <w:rsid w:val="00954AA2"/>
    <w:rsid w:val="0095681E"/>
    <w:rsid w:val="009572D4"/>
    <w:rsid w:val="00960755"/>
    <w:rsid w:val="00961921"/>
    <w:rsid w:val="0096430A"/>
    <w:rsid w:val="0096554B"/>
    <w:rsid w:val="0096584A"/>
    <w:rsid w:val="00971F08"/>
    <w:rsid w:val="0097603D"/>
    <w:rsid w:val="00976949"/>
    <w:rsid w:val="00980477"/>
    <w:rsid w:val="009826F5"/>
    <w:rsid w:val="00985253"/>
    <w:rsid w:val="009853B3"/>
    <w:rsid w:val="00985477"/>
    <w:rsid w:val="009863D1"/>
    <w:rsid w:val="00990630"/>
    <w:rsid w:val="00991761"/>
    <w:rsid w:val="00993DEF"/>
    <w:rsid w:val="00994DCA"/>
    <w:rsid w:val="009960EC"/>
    <w:rsid w:val="009970DD"/>
    <w:rsid w:val="00997977"/>
    <w:rsid w:val="009A0FBA"/>
    <w:rsid w:val="009A1601"/>
    <w:rsid w:val="009A231B"/>
    <w:rsid w:val="009A2EF0"/>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6A21"/>
    <w:rsid w:val="009B7E87"/>
    <w:rsid w:val="009C403E"/>
    <w:rsid w:val="009C62B8"/>
    <w:rsid w:val="009C6918"/>
    <w:rsid w:val="009C6996"/>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3E54"/>
    <w:rsid w:val="00A17F63"/>
    <w:rsid w:val="00A2193B"/>
    <w:rsid w:val="00A2351A"/>
    <w:rsid w:val="00A24107"/>
    <w:rsid w:val="00A264A9"/>
    <w:rsid w:val="00A26A20"/>
    <w:rsid w:val="00A26F88"/>
    <w:rsid w:val="00A27785"/>
    <w:rsid w:val="00A30187"/>
    <w:rsid w:val="00A31BD9"/>
    <w:rsid w:val="00A33AE9"/>
    <w:rsid w:val="00A3448A"/>
    <w:rsid w:val="00A358AF"/>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2935"/>
    <w:rsid w:val="00A739D0"/>
    <w:rsid w:val="00A75CFA"/>
    <w:rsid w:val="00A761D4"/>
    <w:rsid w:val="00A76A4F"/>
    <w:rsid w:val="00A77EC4"/>
    <w:rsid w:val="00A82105"/>
    <w:rsid w:val="00A835FB"/>
    <w:rsid w:val="00A85D83"/>
    <w:rsid w:val="00A90D70"/>
    <w:rsid w:val="00A92096"/>
    <w:rsid w:val="00A92879"/>
    <w:rsid w:val="00A9442A"/>
    <w:rsid w:val="00AA016F"/>
    <w:rsid w:val="00AA1ED6"/>
    <w:rsid w:val="00AA43BF"/>
    <w:rsid w:val="00AA51D6"/>
    <w:rsid w:val="00AA63D9"/>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D0AA3"/>
    <w:rsid w:val="00AD15C1"/>
    <w:rsid w:val="00AD1BAE"/>
    <w:rsid w:val="00AD3F94"/>
    <w:rsid w:val="00AD4A5A"/>
    <w:rsid w:val="00AD5605"/>
    <w:rsid w:val="00AD648D"/>
    <w:rsid w:val="00AE1581"/>
    <w:rsid w:val="00AE27AC"/>
    <w:rsid w:val="00AE40E0"/>
    <w:rsid w:val="00AE4DBA"/>
    <w:rsid w:val="00AE4F07"/>
    <w:rsid w:val="00AF1807"/>
    <w:rsid w:val="00AF1C5D"/>
    <w:rsid w:val="00AF20DE"/>
    <w:rsid w:val="00AF42D7"/>
    <w:rsid w:val="00AF6CB5"/>
    <w:rsid w:val="00AF7803"/>
    <w:rsid w:val="00B00123"/>
    <w:rsid w:val="00B00417"/>
    <w:rsid w:val="00B006FE"/>
    <w:rsid w:val="00B007CB"/>
    <w:rsid w:val="00B02AA9"/>
    <w:rsid w:val="00B02FA3"/>
    <w:rsid w:val="00B05084"/>
    <w:rsid w:val="00B0790E"/>
    <w:rsid w:val="00B140A8"/>
    <w:rsid w:val="00B157F9"/>
    <w:rsid w:val="00B167F1"/>
    <w:rsid w:val="00B1772D"/>
    <w:rsid w:val="00B20256"/>
    <w:rsid w:val="00B20D09"/>
    <w:rsid w:val="00B20E32"/>
    <w:rsid w:val="00B25A92"/>
    <w:rsid w:val="00B2763F"/>
    <w:rsid w:val="00B27AAC"/>
    <w:rsid w:val="00B30929"/>
    <w:rsid w:val="00B372AA"/>
    <w:rsid w:val="00B40445"/>
    <w:rsid w:val="00B4137E"/>
    <w:rsid w:val="00B41888"/>
    <w:rsid w:val="00B42BDB"/>
    <w:rsid w:val="00B45A52"/>
    <w:rsid w:val="00B46175"/>
    <w:rsid w:val="00B5105F"/>
    <w:rsid w:val="00B54C09"/>
    <w:rsid w:val="00B5567E"/>
    <w:rsid w:val="00B56AFB"/>
    <w:rsid w:val="00B572DC"/>
    <w:rsid w:val="00B60372"/>
    <w:rsid w:val="00B628B0"/>
    <w:rsid w:val="00B62AAA"/>
    <w:rsid w:val="00B63CAC"/>
    <w:rsid w:val="00B649A7"/>
    <w:rsid w:val="00B65ABE"/>
    <w:rsid w:val="00B65F37"/>
    <w:rsid w:val="00B664C7"/>
    <w:rsid w:val="00B67818"/>
    <w:rsid w:val="00B67CAC"/>
    <w:rsid w:val="00B72D4F"/>
    <w:rsid w:val="00B739F6"/>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B793E"/>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6BDE"/>
    <w:rsid w:val="00C26FAA"/>
    <w:rsid w:val="00C279B5"/>
    <w:rsid w:val="00C27C45"/>
    <w:rsid w:val="00C3719D"/>
    <w:rsid w:val="00C379C1"/>
    <w:rsid w:val="00C402ED"/>
    <w:rsid w:val="00C51EEF"/>
    <w:rsid w:val="00C54995"/>
    <w:rsid w:val="00C54D41"/>
    <w:rsid w:val="00C60783"/>
    <w:rsid w:val="00C6110A"/>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A4702"/>
    <w:rsid w:val="00CB06CA"/>
    <w:rsid w:val="00CB1F6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D78C3"/>
    <w:rsid w:val="00CE0424"/>
    <w:rsid w:val="00CE0C79"/>
    <w:rsid w:val="00CE2FD1"/>
    <w:rsid w:val="00CE34C5"/>
    <w:rsid w:val="00CE3F4A"/>
    <w:rsid w:val="00CE7561"/>
    <w:rsid w:val="00CF11FA"/>
    <w:rsid w:val="00CF1354"/>
    <w:rsid w:val="00CF3B1F"/>
    <w:rsid w:val="00CF3BF6"/>
    <w:rsid w:val="00CF625B"/>
    <w:rsid w:val="00CF687E"/>
    <w:rsid w:val="00D0349B"/>
    <w:rsid w:val="00D04434"/>
    <w:rsid w:val="00D10249"/>
    <w:rsid w:val="00D115C3"/>
    <w:rsid w:val="00D11897"/>
    <w:rsid w:val="00D118A0"/>
    <w:rsid w:val="00D13135"/>
    <w:rsid w:val="00D13E4E"/>
    <w:rsid w:val="00D13F8A"/>
    <w:rsid w:val="00D17E6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2D8B"/>
    <w:rsid w:val="00D5303D"/>
    <w:rsid w:val="00D546FF"/>
    <w:rsid w:val="00D55AD5"/>
    <w:rsid w:val="00D576CA"/>
    <w:rsid w:val="00D60E13"/>
    <w:rsid w:val="00D61AF5"/>
    <w:rsid w:val="00D62CD5"/>
    <w:rsid w:val="00D6435F"/>
    <w:rsid w:val="00D652B5"/>
    <w:rsid w:val="00D65733"/>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05AB"/>
    <w:rsid w:val="00D9196D"/>
    <w:rsid w:val="00D92982"/>
    <w:rsid w:val="00D96606"/>
    <w:rsid w:val="00DA0C42"/>
    <w:rsid w:val="00DA305E"/>
    <w:rsid w:val="00DA5007"/>
    <w:rsid w:val="00DA5417"/>
    <w:rsid w:val="00DA56E8"/>
    <w:rsid w:val="00DB0A9F"/>
    <w:rsid w:val="00DB0AB1"/>
    <w:rsid w:val="00DB377D"/>
    <w:rsid w:val="00DC280D"/>
    <w:rsid w:val="00DC2D36"/>
    <w:rsid w:val="00DC53EF"/>
    <w:rsid w:val="00DC6807"/>
    <w:rsid w:val="00DD2997"/>
    <w:rsid w:val="00DD6B05"/>
    <w:rsid w:val="00DE3616"/>
    <w:rsid w:val="00DE5557"/>
    <w:rsid w:val="00DE5608"/>
    <w:rsid w:val="00DE58D0"/>
    <w:rsid w:val="00DE642C"/>
    <w:rsid w:val="00DE654F"/>
    <w:rsid w:val="00DF0B6E"/>
    <w:rsid w:val="00DF15E0"/>
    <w:rsid w:val="00DF37A0"/>
    <w:rsid w:val="00DF4E35"/>
    <w:rsid w:val="00DF5C56"/>
    <w:rsid w:val="00DF61C5"/>
    <w:rsid w:val="00DF67D4"/>
    <w:rsid w:val="00E024E8"/>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6FB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16D1"/>
    <w:rsid w:val="00EC236F"/>
    <w:rsid w:val="00EC27C6"/>
    <w:rsid w:val="00EC4207"/>
    <w:rsid w:val="00EC5653"/>
    <w:rsid w:val="00EC60B5"/>
    <w:rsid w:val="00EC71CE"/>
    <w:rsid w:val="00ED1006"/>
    <w:rsid w:val="00ED222F"/>
    <w:rsid w:val="00EE500A"/>
    <w:rsid w:val="00EE7987"/>
    <w:rsid w:val="00EF18FE"/>
    <w:rsid w:val="00EF3F8F"/>
    <w:rsid w:val="00EF5787"/>
    <w:rsid w:val="00EF5AB5"/>
    <w:rsid w:val="00EF60D0"/>
    <w:rsid w:val="00F020AC"/>
    <w:rsid w:val="00F0528D"/>
    <w:rsid w:val="00F06C67"/>
    <w:rsid w:val="00F06DFD"/>
    <w:rsid w:val="00F071D1"/>
    <w:rsid w:val="00F07533"/>
    <w:rsid w:val="00F10629"/>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263C"/>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157220">
      <w:bodyDiv w:val="1"/>
      <w:marLeft w:val="0"/>
      <w:marRight w:val="0"/>
      <w:marTop w:val="0"/>
      <w:marBottom w:val="0"/>
      <w:divBdr>
        <w:top w:val="none" w:sz="0" w:space="0" w:color="auto"/>
        <w:left w:val="none" w:sz="0" w:space="0" w:color="auto"/>
        <w:bottom w:val="none" w:sz="0" w:space="0" w:color="auto"/>
        <w:right w:val="none" w:sz="0" w:space="0" w:color="auto"/>
      </w:divBdr>
    </w:div>
    <w:div w:id="104636702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6EAB5B83-6E50-4877-A98C-141DC5E4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User_2</cp:lastModifiedBy>
  <cp:revision>3</cp:revision>
  <cp:lastPrinted>2008-01-31T06:09:00Z</cp:lastPrinted>
  <dcterms:created xsi:type="dcterms:W3CDTF">2017-06-19T16:44:00Z</dcterms:created>
  <dcterms:modified xsi:type="dcterms:W3CDTF">2017-06-19T20:08:00Z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