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9A4A4" w14:textId="344E66E1"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3GPP T</w:t>
      </w:r>
      <w:bookmarkStart w:id="0" w:name="_Ref452454252"/>
      <w:bookmarkEnd w:id="0"/>
      <w:r w:rsidRPr="00230E70">
        <w:rPr>
          <w:noProof w:val="0"/>
          <w:sz w:val="22"/>
          <w:szCs w:val="20"/>
          <w:lang w:eastAsia="en-US"/>
        </w:rPr>
        <w:t>SG-RAN WG3 Meeting #99bis</w:t>
      </w:r>
      <w:r w:rsidRPr="00230E70">
        <w:rPr>
          <w:noProof w:val="0"/>
          <w:sz w:val="22"/>
          <w:szCs w:val="20"/>
          <w:lang w:eastAsia="en-US"/>
        </w:rPr>
        <w:tab/>
      </w:r>
      <w:r>
        <w:rPr>
          <w:noProof w:val="0"/>
          <w:sz w:val="22"/>
          <w:szCs w:val="20"/>
          <w:lang w:eastAsia="en-US"/>
        </w:rPr>
        <w:tab/>
      </w:r>
      <w:r>
        <w:rPr>
          <w:noProof w:val="0"/>
          <w:sz w:val="22"/>
          <w:szCs w:val="20"/>
          <w:lang w:eastAsia="en-US"/>
        </w:rPr>
        <w:tab/>
      </w:r>
      <w:r w:rsidR="00A00AFB" w:rsidRPr="00A00AFB">
        <w:rPr>
          <w:noProof w:val="0"/>
          <w:sz w:val="22"/>
          <w:szCs w:val="20"/>
          <w:lang w:eastAsia="en-US"/>
        </w:rPr>
        <w:t>R3-182263</w:t>
      </w:r>
      <w:bookmarkStart w:id="1" w:name="_GoBack"/>
      <w:bookmarkEnd w:id="1"/>
    </w:p>
    <w:p w14:paraId="4B1DF07C" w14:textId="77777777"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Sanya, China, 16th – 20th April 2018</w:t>
      </w:r>
    </w:p>
    <w:p w14:paraId="2EFEE3E2" w14:textId="6122F1F8" w:rsidR="00A94761" w:rsidRPr="00230E70" w:rsidRDefault="00A94761" w:rsidP="00A94761">
      <w:pPr>
        <w:pStyle w:val="CRCoverPage"/>
        <w:outlineLvl w:val="0"/>
        <w:rPr>
          <w:b/>
          <w:noProof/>
          <w:sz w:val="24"/>
          <w:lang w:val="en-US"/>
        </w:rPr>
      </w:pPr>
    </w:p>
    <w:p w14:paraId="65101127" w14:textId="77777777" w:rsidR="007A068F" w:rsidRPr="00230E70" w:rsidRDefault="007A068F" w:rsidP="00311702">
      <w:pPr>
        <w:pStyle w:val="3GPPHeader"/>
        <w:rPr>
          <w:sz w:val="22"/>
          <w:szCs w:val="22"/>
          <w:lang w:val="en-US"/>
        </w:rPr>
      </w:pPr>
    </w:p>
    <w:p w14:paraId="4A4F422A" w14:textId="2840706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5F1985">
        <w:rPr>
          <w:sz w:val="22"/>
          <w:szCs w:val="22"/>
          <w:lang w:val="en-US"/>
        </w:rPr>
        <w:t>3</w:t>
      </w:r>
      <w:r w:rsidR="000040B6">
        <w:rPr>
          <w:noProof/>
          <w:lang w:val="en-US"/>
        </w:rPr>
        <w:t>1</w:t>
      </w:r>
      <w:r w:rsidR="005F1985">
        <w:rPr>
          <w:noProof/>
          <w:lang w:val="en-US"/>
        </w:rPr>
        <w:t>.3.1.2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2D43E7E" w:rsidR="00E90E49" w:rsidRPr="00CE0424" w:rsidRDefault="003D3C45" w:rsidP="00311702">
      <w:pPr>
        <w:pStyle w:val="3GPPHeader"/>
        <w:rPr>
          <w:sz w:val="22"/>
          <w:szCs w:val="22"/>
        </w:rPr>
      </w:pPr>
      <w:r>
        <w:rPr>
          <w:sz w:val="22"/>
          <w:szCs w:val="22"/>
        </w:rPr>
        <w:t>Title:</w:t>
      </w:r>
      <w:r w:rsidR="00E90E49" w:rsidRPr="00CE0424">
        <w:rPr>
          <w:sz w:val="22"/>
          <w:szCs w:val="22"/>
        </w:rPr>
        <w:tab/>
      </w:r>
      <w:r w:rsidR="00001D76">
        <w:rPr>
          <w:sz w:val="22"/>
          <w:szCs w:val="22"/>
        </w:rPr>
        <w:t>Securing signalling connections</w:t>
      </w:r>
      <w:r w:rsidR="001051DE">
        <w:rPr>
          <w:sz w:val="22"/>
          <w:szCs w:val="22"/>
        </w:rPr>
        <w:t xml:space="preserve"> </w:t>
      </w:r>
      <w:r w:rsidR="00DA01B6">
        <w:rPr>
          <w:sz w:val="22"/>
          <w:szCs w:val="22"/>
        </w:rPr>
        <w:t xml:space="preserve"> </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22AE4F8A" w14:textId="6A5E2D70" w:rsidR="00112C34" w:rsidRDefault="00001D76" w:rsidP="000040B6">
      <w:r>
        <w:t>At the last RAN3 meeting a short discussion took place on Friday afternoon on whether signalling connections need to be secured.</w:t>
      </w:r>
    </w:p>
    <w:p w14:paraId="2D2C292D" w14:textId="3B360E21" w:rsidR="00001D76" w:rsidRDefault="00001D76" w:rsidP="00001D76">
      <w:r>
        <w:t xml:space="preserve">An LS from SA3 in </w:t>
      </w:r>
      <w:r w:rsidRPr="00001D76">
        <w:t>S3-180986</w:t>
      </w:r>
      <w:r>
        <w:t xml:space="preserve"> confirmed that:</w:t>
      </w:r>
    </w:p>
    <w:p w14:paraId="123464B0" w14:textId="77777777" w:rsidR="00001D76" w:rsidRDefault="00001D76" w:rsidP="00001D76"/>
    <w:p w14:paraId="7F077665" w14:textId="77777777" w:rsidR="00001D76" w:rsidRPr="00BA7A9C" w:rsidRDefault="00001D76" w:rsidP="00001D76">
      <w:pPr>
        <w:rPr>
          <w:i/>
        </w:rPr>
      </w:pPr>
      <w:r w:rsidRPr="00BA7A9C">
        <w:rPr>
          <w:rFonts w:cs="Arial"/>
          <w:i/>
        </w:rPr>
        <w:t>SA3 has discussed the conditions for setting up the AS security context in the gNB and observed that this depends on the type of the registration</w:t>
      </w:r>
      <w:r w:rsidRPr="00001D76">
        <w:rPr>
          <w:rFonts w:cs="Arial"/>
          <w:i/>
        </w:rPr>
        <w:t>.</w:t>
      </w:r>
      <w:r w:rsidRPr="00BA7A9C">
        <w:rPr>
          <w:rFonts w:cs="Arial"/>
          <w:i/>
          <w:highlight w:val="yellow"/>
        </w:rPr>
        <w:t xml:space="preserve"> If the registration does not require UP connection setup, SA3 assumes that the AS security context setup is not required</w:t>
      </w:r>
      <w:r w:rsidRPr="00BA7A9C">
        <w:rPr>
          <w:rFonts w:cs="Arial"/>
          <w:i/>
        </w:rPr>
        <w:t xml:space="preserve"> unless there are other reasons for which AS security context setup is required.</w:t>
      </w:r>
    </w:p>
    <w:p w14:paraId="3A021EBE" w14:textId="58682C93" w:rsidR="00001D76" w:rsidRDefault="00001D76" w:rsidP="000040B6"/>
    <w:p w14:paraId="2F82F3CC" w14:textId="08F807E1" w:rsidR="00001D76" w:rsidRDefault="00001D76" w:rsidP="000040B6">
      <w:r>
        <w:t>However, despite this feedback from a technical WG</w:t>
      </w:r>
      <w:r w:rsidR="0082467C">
        <w:t>,</w:t>
      </w:r>
      <w:r>
        <w:t xml:space="preserve"> RAN plenary decided that the requirement on securing signalling connections is confirmed, as per LS in RP-1805</w:t>
      </w:r>
      <w:r w:rsidR="006F0D19">
        <w:t>90</w:t>
      </w:r>
      <w:r>
        <w:t>.</w:t>
      </w:r>
    </w:p>
    <w:p w14:paraId="677A1B06" w14:textId="1326A20E" w:rsidR="00B964CD" w:rsidRDefault="00B964CD" w:rsidP="000040B6">
      <w:r>
        <w:t>At the same time the LS in RP-180590 states in the actions that:</w:t>
      </w:r>
    </w:p>
    <w:p w14:paraId="4C23A2AB" w14:textId="12002ED5" w:rsidR="00B964CD" w:rsidRPr="00B964CD" w:rsidRDefault="00B964CD" w:rsidP="000040B6">
      <w:pPr>
        <w:rPr>
          <w:rFonts w:cs="Arial"/>
          <w:i/>
        </w:rPr>
      </w:pPr>
      <w:r w:rsidRPr="00B964CD">
        <w:rPr>
          <w:rFonts w:cs="Arial"/>
          <w:i/>
        </w:rPr>
        <w:t>TSG RAN asks SA2 and SA3 to provide RAN WG3 with use cases for this feature.</w:t>
      </w:r>
    </w:p>
    <w:p w14:paraId="2C115C59" w14:textId="77777777" w:rsidR="00B964CD" w:rsidRDefault="00B964CD" w:rsidP="000040B6"/>
    <w:p w14:paraId="21F751C6" w14:textId="100D417E" w:rsidR="00001D76" w:rsidRPr="00CE0424" w:rsidRDefault="00001D76" w:rsidP="000040B6">
      <w:r>
        <w:t>In this paper</w:t>
      </w:r>
      <w:r w:rsidR="004F2417">
        <w:t xml:space="preserve"> the LS from RAN plenary is discussed. </w:t>
      </w:r>
      <w:r>
        <w:t xml:space="preserve"> </w:t>
      </w:r>
      <w:r w:rsidR="004F2417">
        <w:t>I</w:t>
      </w:r>
      <w:r>
        <w:t>t is</w:t>
      </w:r>
      <w:r w:rsidR="004F2417">
        <w:t xml:space="preserve"> then</w:t>
      </w:r>
      <w:r>
        <w:t xml:space="preserve"> explained that securing signalling connections is already possible according to the current specifications and for that future proofness can be already assumed to be in place.</w:t>
      </w:r>
    </w:p>
    <w:p w14:paraId="42CD00DB" w14:textId="77777777" w:rsidR="000040B6" w:rsidRDefault="000040B6" w:rsidP="000040B6">
      <w:pPr>
        <w:pStyle w:val="Heading1"/>
      </w:pPr>
      <w:bookmarkStart w:id="2" w:name="_Toc491772836"/>
      <w:r>
        <w:t xml:space="preserve">Discussion </w:t>
      </w:r>
    </w:p>
    <w:p w14:paraId="1C82B28D" w14:textId="4C255E44" w:rsidR="00C407E0" w:rsidRDefault="004F2417" w:rsidP="00453C2C">
      <w:r>
        <w:t xml:space="preserve">The </w:t>
      </w:r>
      <w:r w:rsidR="00C407E0">
        <w:t>RAN LS in RP-18059</w:t>
      </w:r>
      <w:r w:rsidR="006F0D19">
        <w:t>0</w:t>
      </w:r>
      <w:r w:rsidR="00C407E0">
        <w:t xml:space="preserve"> </w:t>
      </w:r>
      <w:r>
        <w:t>asks RAN3 to find a solution for the requirement stated, but it asks SA2 and SA3 to provide use cases for such solution. That seems to suggest that use cases for the requirement and solution do not exist so far and should be agreed in SA2 and SA3.</w:t>
      </w:r>
    </w:p>
    <w:p w14:paraId="509E30B1" w14:textId="5FCE51B3" w:rsidR="004F2417" w:rsidRDefault="004F2417" w:rsidP="00453C2C">
      <w:r>
        <w:t>It seems logical that if such use cases were not found the requirement would not subsist anymore, as well as the need for a solution from RAN3.</w:t>
      </w:r>
    </w:p>
    <w:p w14:paraId="09211CF1" w14:textId="6E5D279C" w:rsidR="004F2417" w:rsidRDefault="004F2417" w:rsidP="00453C2C">
      <w:r>
        <w:t>It can therefore be first concluded that</w:t>
      </w:r>
    </w:p>
    <w:p w14:paraId="06C58D74" w14:textId="22C6AB7D" w:rsidR="004F2417" w:rsidRPr="004F2417" w:rsidRDefault="004F2417" w:rsidP="00453C2C">
      <w:pPr>
        <w:rPr>
          <w:b/>
        </w:rPr>
      </w:pPr>
      <w:r w:rsidRPr="004F2417">
        <w:rPr>
          <w:b/>
        </w:rPr>
        <w:t>Conclusion 1: RAN3 should wait for SA2 and SA3 to provide use cases that validate the requirement from RAN plenary, before agreeing to any solution.</w:t>
      </w:r>
    </w:p>
    <w:p w14:paraId="383CB79E" w14:textId="29417CCB" w:rsidR="004F2417" w:rsidRDefault="004F2417" w:rsidP="00453C2C"/>
    <w:p w14:paraId="505D3EC7" w14:textId="1F9DE673" w:rsidR="004F2417" w:rsidRDefault="004F2417" w:rsidP="00453C2C">
      <w:r>
        <w:t>Although the conclusion above implies that RAN3 should put the topic on hold until use cases in SA2 and SA3 are agreed and communicated, the paper discusses below of possible technical mechanisms to secure signalling connections.</w:t>
      </w:r>
    </w:p>
    <w:p w14:paraId="0A6C32F9" w14:textId="6EA482D9" w:rsidR="00453C2C" w:rsidRDefault="00453C2C" w:rsidP="00453C2C">
      <w:r>
        <w:lastRenderedPageBreak/>
        <w:t>In the figure below a possible UE Initial Access procedure is described, where AS security is established over signalling radio bearers without the need to run an F1: UE context Setup procedure.</w:t>
      </w:r>
    </w:p>
    <w:p w14:paraId="73EC26F6" w14:textId="77777777" w:rsidR="00453C2C" w:rsidRDefault="00453C2C" w:rsidP="00453C2C"/>
    <w:p w14:paraId="459FA786" w14:textId="77777777" w:rsidR="00453C2C" w:rsidRDefault="00453C2C" w:rsidP="00453C2C">
      <w:r>
        <w:object w:dxaOrig="8955" w:dyaOrig="5310" w14:anchorId="21D1D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65.5pt" o:ole="">
            <v:imagedata r:id="rId13" o:title=""/>
          </v:shape>
          <o:OLEObject Type="Embed" ProgID="Visio.Drawing.15" ShapeID="_x0000_i1025" DrawAspect="Content" ObjectID="_1584559198" r:id="rId14"/>
        </w:object>
      </w:r>
    </w:p>
    <w:p w14:paraId="18EA98C6" w14:textId="77777777" w:rsidR="00453C2C" w:rsidRPr="00102264" w:rsidRDefault="00453C2C" w:rsidP="00453C2C">
      <w:pPr>
        <w:jc w:val="center"/>
        <w:rPr>
          <w:b/>
        </w:rPr>
      </w:pPr>
      <w:r w:rsidRPr="00102264">
        <w:rPr>
          <w:b/>
        </w:rPr>
        <w:t>Figure 1: UE Initial Access without F1: UE Context Setup procedure</w:t>
      </w:r>
    </w:p>
    <w:p w14:paraId="7AF39647" w14:textId="77777777" w:rsidR="00453C2C" w:rsidRPr="007206F6" w:rsidRDefault="00453C2C" w:rsidP="00453C2C"/>
    <w:p w14:paraId="6DD92464" w14:textId="77777777" w:rsidR="00453C2C" w:rsidRDefault="00453C2C" w:rsidP="00453C2C">
      <w:r>
        <w:t>The description in Figure 1 can be derived from the running CR for TS38.401 in R3-181576.</w:t>
      </w:r>
    </w:p>
    <w:p w14:paraId="3E56013F" w14:textId="77777777" w:rsidR="00453C2C" w:rsidRDefault="00453C2C" w:rsidP="00453C2C">
      <w:r>
        <w:t>Quoting R3-181576 for the description of the messages, the following can be seen:</w:t>
      </w:r>
    </w:p>
    <w:p w14:paraId="047A9D8A" w14:textId="77777777" w:rsidR="00453C2C" w:rsidRPr="00102264" w:rsidRDefault="00453C2C" w:rsidP="00453C2C">
      <w:pPr>
        <w:ind w:left="568" w:hanging="284"/>
        <w:rPr>
          <w:i/>
        </w:rPr>
      </w:pPr>
      <w:r w:rsidRPr="00102264">
        <w:rPr>
          <w:i/>
        </w:rPr>
        <w:t>1.</w:t>
      </w:r>
      <w:r w:rsidRPr="00102264">
        <w:rPr>
          <w:rFonts w:hint="eastAsia"/>
          <w:i/>
        </w:rPr>
        <w:t xml:space="preserve"> </w:t>
      </w:r>
      <w:r w:rsidRPr="00102264">
        <w:rPr>
          <w:i/>
        </w:rPr>
        <w:t xml:space="preserve">The </w:t>
      </w:r>
      <w:r w:rsidRPr="00102264">
        <w:rPr>
          <w:rFonts w:hint="eastAsia"/>
          <w:i/>
        </w:rPr>
        <w:t xml:space="preserve">UE sends RRC Connection Request message </w:t>
      </w:r>
      <w:r w:rsidRPr="00102264">
        <w:rPr>
          <w:i/>
        </w:rPr>
        <w:t>to</w:t>
      </w:r>
      <w:r w:rsidRPr="00102264">
        <w:rPr>
          <w:rFonts w:hint="eastAsia"/>
          <w:i/>
        </w:rPr>
        <w:t xml:space="preserve"> the gNB-</w:t>
      </w:r>
      <w:r w:rsidRPr="00102264">
        <w:rPr>
          <w:i/>
        </w:rPr>
        <w:t>D</w:t>
      </w:r>
      <w:r w:rsidRPr="00102264">
        <w:rPr>
          <w:rFonts w:hint="eastAsia"/>
          <w:i/>
        </w:rPr>
        <w:t xml:space="preserve">U. </w:t>
      </w:r>
    </w:p>
    <w:p w14:paraId="6EFA6DD4" w14:textId="77777777" w:rsidR="00453C2C" w:rsidRPr="00102264" w:rsidRDefault="00453C2C" w:rsidP="00453C2C">
      <w:pPr>
        <w:ind w:left="568" w:hanging="284"/>
        <w:rPr>
          <w:i/>
        </w:rPr>
      </w:pPr>
      <w:r w:rsidRPr="00102264">
        <w:rPr>
          <w:rFonts w:hint="eastAsia"/>
          <w:i/>
        </w:rPr>
        <w:t>2</w:t>
      </w:r>
      <w:r w:rsidRPr="00102264">
        <w:rPr>
          <w:i/>
        </w:rPr>
        <w:t xml:space="preserve">. </w:t>
      </w:r>
      <w:r w:rsidRPr="00635B6C">
        <w:rPr>
          <w:rFonts w:hint="eastAsia"/>
          <w:i/>
          <w:highlight w:val="yellow"/>
        </w:rPr>
        <w:t xml:space="preserve">The gNB-DU includes the RRC message </w:t>
      </w:r>
      <w:r w:rsidRPr="00635B6C">
        <w:rPr>
          <w:i/>
          <w:highlight w:val="yellow"/>
        </w:rPr>
        <w:t xml:space="preserve">and, if the UE is admitted, the corresponding low layer configuration for the UE </w:t>
      </w:r>
      <w:r w:rsidRPr="00635B6C">
        <w:rPr>
          <w:rFonts w:hint="eastAsia"/>
          <w:i/>
          <w:highlight w:val="yellow"/>
        </w:rPr>
        <w:t xml:space="preserve">in </w:t>
      </w:r>
      <w:r w:rsidRPr="00635B6C">
        <w:rPr>
          <w:i/>
          <w:highlight w:val="yellow"/>
        </w:rPr>
        <w:t>the</w:t>
      </w:r>
      <w:r w:rsidRPr="00635B6C">
        <w:rPr>
          <w:rFonts w:hint="eastAsia"/>
          <w:i/>
          <w:highlight w:val="yellow"/>
        </w:rPr>
        <w:t xml:space="preserve"> F1AP INITIAL UL RRC MESSAGE TRANSFER messag</w:t>
      </w:r>
      <w:r w:rsidRPr="00102264">
        <w:rPr>
          <w:rFonts w:hint="eastAsia"/>
          <w:i/>
          <w:highlight w:val="yellow"/>
        </w:rPr>
        <w:t>e and transfer</w:t>
      </w:r>
      <w:r w:rsidRPr="00102264">
        <w:rPr>
          <w:i/>
          <w:highlight w:val="yellow"/>
        </w:rPr>
        <w:t>s</w:t>
      </w:r>
      <w:r w:rsidRPr="00102264">
        <w:rPr>
          <w:rFonts w:hint="eastAsia"/>
          <w:i/>
          <w:highlight w:val="yellow"/>
        </w:rPr>
        <w:t xml:space="preserve"> to the gNB-CU</w:t>
      </w:r>
      <w:r w:rsidRPr="00102264">
        <w:rPr>
          <w:rFonts w:hint="eastAsia"/>
          <w:i/>
        </w:rPr>
        <w:t xml:space="preserve">. The </w:t>
      </w:r>
      <w:r w:rsidRPr="00102264">
        <w:rPr>
          <w:i/>
        </w:rPr>
        <w:t>INITIAL</w:t>
      </w:r>
      <w:r w:rsidRPr="00102264">
        <w:rPr>
          <w:rFonts w:hint="eastAsia"/>
          <w:i/>
        </w:rPr>
        <w:t xml:space="preserve"> UL RRC MESSAGE TRANSFER message  </w:t>
      </w:r>
      <w:r w:rsidRPr="00102264">
        <w:rPr>
          <w:i/>
        </w:rPr>
        <w:t>includes</w:t>
      </w:r>
      <w:r w:rsidRPr="00102264">
        <w:rPr>
          <w:rFonts w:hint="eastAsia"/>
          <w:i/>
        </w:rPr>
        <w:t xml:space="preserve"> </w:t>
      </w:r>
      <w:r w:rsidRPr="00102264">
        <w:rPr>
          <w:i/>
        </w:rPr>
        <w:t xml:space="preserve">the </w:t>
      </w:r>
      <w:r w:rsidRPr="00102264">
        <w:rPr>
          <w:rFonts w:hint="eastAsia"/>
          <w:i/>
        </w:rPr>
        <w:t>C-RNTI</w:t>
      </w:r>
      <w:r w:rsidRPr="00102264">
        <w:rPr>
          <w:i/>
        </w:rPr>
        <w:t xml:space="preserve"> allocated by the gNB-DU</w:t>
      </w:r>
      <w:r w:rsidRPr="00102264">
        <w:rPr>
          <w:rFonts w:hint="eastAsia"/>
          <w:i/>
        </w:rPr>
        <w:t>.</w:t>
      </w:r>
    </w:p>
    <w:p w14:paraId="18544EC9" w14:textId="77777777" w:rsidR="00453C2C" w:rsidRPr="00102264" w:rsidRDefault="00453C2C" w:rsidP="00453C2C">
      <w:pPr>
        <w:ind w:left="568" w:hanging="284"/>
        <w:rPr>
          <w:i/>
        </w:rPr>
      </w:pPr>
      <w:r w:rsidRPr="00102264">
        <w:rPr>
          <w:rFonts w:hint="eastAsia"/>
          <w:i/>
        </w:rPr>
        <w:t>3</w:t>
      </w:r>
      <w:r w:rsidRPr="00102264">
        <w:rPr>
          <w:i/>
        </w:rPr>
        <w:t>. The gNB-CU allocates a gNB-CU UE F1AP ID for the UE</w:t>
      </w:r>
      <w:r w:rsidRPr="00102264">
        <w:rPr>
          <w:rFonts w:hint="eastAsia"/>
          <w:i/>
        </w:rPr>
        <w:t xml:space="preserve"> and generates RRC CONNECTION SETUP message towards UE.</w:t>
      </w:r>
      <w:r w:rsidRPr="00102264">
        <w:rPr>
          <w:i/>
        </w:rPr>
        <w:t xml:space="preserve"> </w:t>
      </w:r>
      <w:r w:rsidRPr="00102264">
        <w:rPr>
          <w:rFonts w:hint="eastAsia"/>
          <w:i/>
        </w:rPr>
        <w:t>The RRC message is</w:t>
      </w:r>
      <w:r w:rsidRPr="00102264">
        <w:rPr>
          <w:i/>
        </w:rPr>
        <w:t xml:space="preserve"> encapsulated in -the </w:t>
      </w:r>
      <w:r w:rsidRPr="00102264">
        <w:rPr>
          <w:rFonts w:hint="eastAsia"/>
          <w:i/>
        </w:rPr>
        <w:t>F1AP DL RRC MESSAGE TRANSFER message.</w:t>
      </w:r>
      <w:r w:rsidRPr="00102264">
        <w:rPr>
          <w:i/>
        </w:rPr>
        <w:t xml:space="preserve"> </w:t>
      </w:r>
    </w:p>
    <w:p w14:paraId="755F36BB" w14:textId="77777777" w:rsidR="00453C2C" w:rsidRPr="00102264" w:rsidRDefault="00453C2C" w:rsidP="00453C2C">
      <w:pPr>
        <w:ind w:left="568" w:hanging="284"/>
        <w:rPr>
          <w:i/>
        </w:rPr>
      </w:pPr>
      <w:r w:rsidRPr="00102264">
        <w:rPr>
          <w:rFonts w:hint="eastAsia"/>
          <w:i/>
        </w:rPr>
        <w:t>4</w:t>
      </w:r>
      <w:r w:rsidRPr="00102264">
        <w:rPr>
          <w:i/>
        </w:rPr>
        <w:t>.</w:t>
      </w:r>
      <w:r w:rsidRPr="00102264">
        <w:rPr>
          <w:rFonts w:hint="eastAsia"/>
          <w:i/>
        </w:rPr>
        <w:t xml:space="preserve"> The gNB-DU sends </w:t>
      </w:r>
      <w:r w:rsidRPr="00102264">
        <w:rPr>
          <w:i/>
        </w:rPr>
        <w:t xml:space="preserve">the </w:t>
      </w:r>
      <w:r w:rsidRPr="00102264">
        <w:rPr>
          <w:rFonts w:hint="eastAsia"/>
          <w:i/>
        </w:rPr>
        <w:t xml:space="preserve">RRC CONNECTION SETUP message to </w:t>
      </w:r>
      <w:r w:rsidRPr="00102264">
        <w:rPr>
          <w:i/>
        </w:rPr>
        <w:t xml:space="preserve">the </w:t>
      </w:r>
      <w:r w:rsidRPr="00102264">
        <w:rPr>
          <w:rFonts w:hint="eastAsia"/>
          <w:i/>
        </w:rPr>
        <w:t>UE.</w:t>
      </w:r>
    </w:p>
    <w:p w14:paraId="60C3893C" w14:textId="77777777" w:rsidR="00453C2C" w:rsidRDefault="00453C2C" w:rsidP="00453C2C">
      <w:r>
        <w:t>[…]</w:t>
      </w:r>
    </w:p>
    <w:p w14:paraId="4874B2D1" w14:textId="77777777" w:rsidR="00453C2C" w:rsidRDefault="00453C2C" w:rsidP="00453C2C"/>
    <w:p w14:paraId="3FFCC49B" w14:textId="233A28B1" w:rsidR="00453C2C" w:rsidRDefault="00453C2C" w:rsidP="00453C2C">
      <w:r>
        <w:t xml:space="preserve">From the above it can be deduced that </w:t>
      </w:r>
      <w:r w:rsidR="00C407E0">
        <w:t>it is already possible to establish and secure SRB1 signalling connections, as per current specifications. This would not need running the</w:t>
      </w:r>
      <w:r>
        <w:t xml:space="preserve"> F1: UE Context. This is because the F1: Initial UL RRC Message Transfer already provides th</w:t>
      </w:r>
      <w:r w:rsidR="00C407E0">
        <w:t>e</w:t>
      </w:r>
      <w:r>
        <w:t xml:space="preserve"> function</w:t>
      </w:r>
      <w:r w:rsidR="00C407E0">
        <w:t xml:space="preserve"> of transferring SRB1 configuration</w:t>
      </w:r>
      <w:r>
        <w:t>.</w:t>
      </w:r>
    </w:p>
    <w:p w14:paraId="5F0F4F7D" w14:textId="77777777" w:rsidR="00453C2C" w:rsidRDefault="00453C2C" w:rsidP="00453C2C">
      <w:r>
        <w:t>The latter can be deduced also from the running CR to TS38.473 in R3-181581, where it is specified that:</w:t>
      </w:r>
    </w:p>
    <w:p w14:paraId="69695ECD" w14:textId="77777777" w:rsidR="00453C2C" w:rsidRDefault="00453C2C" w:rsidP="00453C2C">
      <w:r>
        <w:t>“</w:t>
      </w:r>
      <w:r w:rsidRPr="0056195C">
        <w:rPr>
          <w:i/>
        </w:rPr>
        <w:t xml:space="preserve">If the gNB-DU is able to serve the UE, the gNB-DU shall include the </w:t>
      </w:r>
      <w:r w:rsidRPr="0056195C">
        <w:rPr>
          <w:rFonts w:eastAsia="Batang"/>
          <w:bCs/>
          <w:i/>
        </w:rPr>
        <w:t xml:space="preserve">DU to CU RRC Information </w:t>
      </w:r>
      <w:r w:rsidRPr="0056195C">
        <w:rPr>
          <w:i/>
        </w:rPr>
        <w:t>IE.</w:t>
      </w:r>
      <w:r>
        <w:t>”</w:t>
      </w:r>
    </w:p>
    <w:p w14:paraId="0A66CA00" w14:textId="77777777" w:rsidR="00453C2C" w:rsidRDefault="00453C2C" w:rsidP="00453C2C">
      <w:r>
        <w:t xml:space="preserve">And where the </w:t>
      </w:r>
      <w:r w:rsidRPr="0056195C">
        <w:rPr>
          <w:rFonts w:eastAsia="Batang"/>
          <w:bCs/>
          <w:i/>
        </w:rPr>
        <w:t xml:space="preserve">DU to CU RRC Information </w:t>
      </w:r>
      <w:r w:rsidRPr="00635B6C">
        <w:t>IE</w:t>
      </w:r>
      <w:r>
        <w:t xml:space="preserve"> is specified as follows: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453C2C" w:rsidRPr="00D844D2" w14:paraId="60E8573A" w14:textId="77777777" w:rsidTr="00B3722C">
        <w:tc>
          <w:tcPr>
            <w:tcW w:w="2518" w:type="dxa"/>
            <w:tcBorders>
              <w:top w:val="single" w:sz="4" w:space="0" w:color="auto"/>
              <w:left w:val="single" w:sz="4" w:space="0" w:color="auto"/>
              <w:bottom w:val="single" w:sz="4" w:space="0" w:color="auto"/>
              <w:right w:val="single" w:sz="4" w:space="0" w:color="auto"/>
            </w:tcBorders>
          </w:tcPr>
          <w:p w14:paraId="24600837" w14:textId="77777777" w:rsidR="00453C2C" w:rsidRPr="0056195C" w:rsidRDefault="00453C2C" w:rsidP="00B3722C">
            <w:pPr>
              <w:keepNext/>
              <w:keepLines/>
              <w:spacing w:after="0"/>
              <w:rPr>
                <w:rFonts w:eastAsia="Batang" w:cs="Arial"/>
                <w:bCs/>
                <w:sz w:val="18"/>
              </w:rPr>
            </w:pPr>
            <w:r w:rsidRPr="0056195C">
              <w:rPr>
                <w:rFonts w:eastAsia="Batang" w:cs="Arial"/>
                <w:bCs/>
                <w:sz w:val="18"/>
              </w:rPr>
              <w:t>IE/Group Name</w:t>
            </w:r>
          </w:p>
        </w:tc>
        <w:tc>
          <w:tcPr>
            <w:tcW w:w="1190" w:type="dxa"/>
            <w:tcBorders>
              <w:top w:val="single" w:sz="4" w:space="0" w:color="auto"/>
              <w:left w:val="single" w:sz="4" w:space="0" w:color="auto"/>
              <w:bottom w:val="single" w:sz="4" w:space="0" w:color="auto"/>
              <w:right w:val="single" w:sz="4" w:space="0" w:color="auto"/>
            </w:tcBorders>
          </w:tcPr>
          <w:p w14:paraId="1327F1E3" w14:textId="77777777" w:rsidR="00453C2C" w:rsidRPr="0056195C" w:rsidRDefault="00453C2C" w:rsidP="00B3722C">
            <w:pPr>
              <w:keepNext/>
              <w:keepLines/>
              <w:spacing w:after="0"/>
              <w:rPr>
                <w:rFonts w:cs="Arial"/>
                <w:sz w:val="18"/>
              </w:rPr>
            </w:pPr>
            <w:r w:rsidRPr="0056195C">
              <w:rPr>
                <w:rFonts w:cs="Arial"/>
                <w:sz w:val="18"/>
              </w:rPr>
              <w:t>Presence</w:t>
            </w:r>
          </w:p>
        </w:tc>
        <w:tc>
          <w:tcPr>
            <w:tcW w:w="900" w:type="dxa"/>
            <w:tcBorders>
              <w:top w:val="single" w:sz="4" w:space="0" w:color="auto"/>
              <w:left w:val="single" w:sz="4" w:space="0" w:color="auto"/>
              <w:bottom w:val="single" w:sz="4" w:space="0" w:color="auto"/>
              <w:right w:val="single" w:sz="4" w:space="0" w:color="auto"/>
            </w:tcBorders>
          </w:tcPr>
          <w:p w14:paraId="7E774503" w14:textId="77777777" w:rsidR="00453C2C" w:rsidRPr="0056195C" w:rsidRDefault="00453C2C" w:rsidP="00B3722C">
            <w:pPr>
              <w:keepNext/>
              <w:keepLines/>
              <w:spacing w:after="0"/>
              <w:rPr>
                <w:rFonts w:eastAsia="Yu Mincho"/>
                <w:sz w:val="18"/>
                <w:lang w:eastAsia="ja-JP"/>
              </w:rPr>
            </w:pPr>
            <w:r w:rsidRPr="0056195C">
              <w:rPr>
                <w:rFonts w:eastAsia="Yu Mincho"/>
                <w:sz w:val="18"/>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409F8318" w14:textId="77777777" w:rsidR="00453C2C" w:rsidRPr="0056195C" w:rsidRDefault="00453C2C" w:rsidP="00B3722C">
            <w:pPr>
              <w:keepNext/>
              <w:keepLines/>
              <w:spacing w:after="0"/>
              <w:rPr>
                <w:sz w:val="18"/>
              </w:rPr>
            </w:pPr>
            <w:r w:rsidRPr="0056195C">
              <w:rPr>
                <w:sz w:val="18"/>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2750510" w14:textId="77777777" w:rsidR="00453C2C" w:rsidRPr="0056195C" w:rsidRDefault="00453C2C" w:rsidP="00B3722C">
            <w:pPr>
              <w:keepNext/>
              <w:keepLines/>
              <w:spacing w:after="0"/>
              <w:rPr>
                <w:i/>
                <w:sz w:val="18"/>
              </w:rPr>
            </w:pPr>
            <w:r w:rsidRPr="0056195C">
              <w:rPr>
                <w:i/>
                <w:sz w:val="18"/>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E500C62" w14:textId="77777777" w:rsidR="00453C2C" w:rsidRPr="0056195C" w:rsidRDefault="00453C2C" w:rsidP="00B3722C">
            <w:pPr>
              <w:keepNext/>
              <w:keepLines/>
              <w:spacing w:after="0"/>
              <w:jc w:val="center"/>
              <w:rPr>
                <w:sz w:val="18"/>
              </w:rPr>
            </w:pPr>
            <w:r w:rsidRPr="0056195C">
              <w:rPr>
                <w:sz w:val="18"/>
              </w:rPr>
              <w:t>Criticality</w:t>
            </w:r>
          </w:p>
        </w:tc>
        <w:tc>
          <w:tcPr>
            <w:tcW w:w="1197" w:type="dxa"/>
            <w:tcBorders>
              <w:top w:val="single" w:sz="4" w:space="0" w:color="auto"/>
              <w:left w:val="single" w:sz="4" w:space="0" w:color="auto"/>
              <w:bottom w:val="single" w:sz="4" w:space="0" w:color="auto"/>
              <w:right w:val="single" w:sz="4" w:space="0" w:color="auto"/>
            </w:tcBorders>
          </w:tcPr>
          <w:p w14:paraId="7FF7CFB5" w14:textId="77777777" w:rsidR="00453C2C" w:rsidRPr="00D844D2" w:rsidRDefault="00453C2C" w:rsidP="00B3722C">
            <w:pPr>
              <w:keepNext/>
              <w:keepLines/>
              <w:spacing w:after="0"/>
              <w:jc w:val="center"/>
              <w:rPr>
                <w:sz w:val="18"/>
              </w:rPr>
            </w:pPr>
            <w:r w:rsidRPr="0056195C">
              <w:rPr>
                <w:sz w:val="18"/>
              </w:rPr>
              <w:t>Assigned Criticality</w:t>
            </w:r>
          </w:p>
        </w:tc>
      </w:tr>
      <w:tr w:rsidR="00453C2C" w:rsidRPr="00D844D2" w14:paraId="58744B47" w14:textId="77777777" w:rsidTr="00B3722C">
        <w:tc>
          <w:tcPr>
            <w:tcW w:w="2518" w:type="dxa"/>
            <w:tcBorders>
              <w:top w:val="single" w:sz="4" w:space="0" w:color="auto"/>
              <w:left w:val="single" w:sz="4" w:space="0" w:color="auto"/>
              <w:bottom w:val="single" w:sz="4" w:space="0" w:color="auto"/>
              <w:right w:val="single" w:sz="4" w:space="0" w:color="auto"/>
            </w:tcBorders>
          </w:tcPr>
          <w:p w14:paraId="4C672B4E" w14:textId="77777777" w:rsidR="00453C2C" w:rsidRPr="00D844D2" w:rsidRDefault="00453C2C" w:rsidP="00B3722C">
            <w:pPr>
              <w:keepNext/>
              <w:keepLines/>
              <w:spacing w:after="0"/>
              <w:rPr>
                <w:rFonts w:eastAsia="Batang"/>
                <w:bCs/>
                <w:sz w:val="18"/>
              </w:rPr>
            </w:pPr>
            <w:r w:rsidRPr="00D844D2">
              <w:rPr>
                <w:rFonts w:eastAsia="Batang" w:cs="Arial"/>
                <w:bCs/>
                <w:sz w:val="18"/>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2CF52402" w14:textId="77777777" w:rsidR="00453C2C" w:rsidRPr="00D844D2" w:rsidRDefault="00453C2C" w:rsidP="00B3722C">
            <w:pPr>
              <w:keepNext/>
              <w:keepLines/>
              <w:spacing w:after="0"/>
              <w:rPr>
                <w:sz w:val="18"/>
              </w:rPr>
            </w:pPr>
            <w:r w:rsidRPr="00D844D2">
              <w:rPr>
                <w:rFonts w:cs="Arial"/>
                <w:sz w:val="18"/>
              </w:rPr>
              <w:t>O</w:t>
            </w:r>
          </w:p>
        </w:tc>
        <w:tc>
          <w:tcPr>
            <w:tcW w:w="900" w:type="dxa"/>
            <w:tcBorders>
              <w:top w:val="single" w:sz="4" w:space="0" w:color="auto"/>
              <w:left w:val="single" w:sz="4" w:space="0" w:color="auto"/>
              <w:bottom w:val="single" w:sz="4" w:space="0" w:color="auto"/>
              <w:right w:val="single" w:sz="4" w:space="0" w:color="auto"/>
            </w:tcBorders>
          </w:tcPr>
          <w:p w14:paraId="53731DF1" w14:textId="77777777" w:rsidR="00453C2C" w:rsidRPr="00D844D2" w:rsidRDefault="00453C2C" w:rsidP="00B3722C">
            <w:pPr>
              <w:keepNext/>
              <w:keepLines/>
              <w:spacing w:after="0"/>
              <w:rPr>
                <w:rFonts w:eastAsia="Yu Mincho"/>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2508FC1" w14:textId="77777777" w:rsidR="00453C2C" w:rsidRPr="00D844D2" w:rsidRDefault="00453C2C" w:rsidP="00B3722C">
            <w:pPr>
              <w:keepNext/>
              <w:keepLines/>
              <w:spacing w:after="0"/>
              <w:rPr>
                <w:sz w:val="18"/>
              </w:rPr>
            </w:pPr>
            <w:r w:rsidRPr="00D844D2">
              <w:rPr>
                <w:sz w:val="18"/>
              </w:rPr>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67A7937C" w14:textId="77777777" w:rsidR="00453C2C" w:rsidRPr="00D844D2" w:rsidRDefault="00453C2C" w:rsidP="00B3722C">
            <w:pPr>
              <w:keepNext/>
              <w:keepLines/>
              <w:spacing w:after="0"/>
              <w:rPr>
                <w:sz w:val="18"/>
              </w:rPr>
            </w:pPr>
            <w:r w:rsidRPr="00D844D2">
              <w:rPr>
                <w:i/>
                <w:sz w:val="18"/>
              </w:rPr>
              <w:t>CellGroupConfig</w:t>
            </w:r>
            <w:r w:rsidRPr="00D844D2">
              <w:rPr>
                <w:sz w:val="18"/>
              </w:rPr>
              <w:t xml:space="preserve"> IE as defined in subclause 6.3.2 in TS 38.331. </w:t>
            </w:r>
            <w:r w:rsidRPr="00102264">
              <w:rPr>
                <w:sz w:val="18"/>
                <w:highlight w:val="yellow"/>
              </w:rPr>
              <w:t>Required at least to carry SRB1 configuration</w:t>
            </w:r>
          </w:p>
        </w:tc>
        <w:tc>
          <w:tcPr>
            <w:tcW w:w="1080" w:type="dxa"/>
            <w:tcBorders>
              <w:top w:val="single" w:sz="4" w:space="0" w:color="auto"/>
              <w:left w:val="single" w:sz="4" w:space="0" w:color="auto"/>
              <w:bottom w:val="single" w:sz="4" w:space="0" w:color="auto"/>
              <w:right w:val="single" w:sz="4" w:space="0" w:color="auto"/>
            </w:tcBorders>
          </w:tcPr>
          <w:p w14:paraId="22D1FAFB" w14:textId="77777777" w:rsidR="00453C2C" w:rsidRPr="00D844D2" w:rsidRDefault="00453C2C" w:rsidP="00B3722C">
            <w:pPr>
              <w:keepNext/>
              <w:keepLines/>
              <w:spacing w:after="0"/>
              <w:jc w:val="center"/>
              <w:rPr>
                <w:sz w:val="18"/>
              </w:rPr>
            </w:pPr>
            <w:r w:rsidRPr="00D844D2">
              <w:rPr>
                <w:sz w:val="18"/>
              </w:rPr>
              <w:t>YES</w:t>
            </w:r>
          </w:p>
        </w:tc>
        <w:tc>
          <w:tcPr>
            <w:tcW w:w="1197" w:type="dxa"/>
            <w:tcBorders>
              <w:top w:val="single" w:sz="4" w:space="0" w:color="auto"/>
              <w:left w:val="single" w:sz="4" w:space="0" w:color="auto"/>
              <w:bottom w:val="single" w:sz="4" w:space="0" w:color="auto"/>
              <w:right w:val="single" w:sz="4" w:space="0" w:color="auto"/>
            </w:tcBorders>
          </w:tcPr>
          <w:p w14:paraId="6C962E1F" w14:textId="77777777" w:rsidR="00453C2C" w:rsidRPr="00D844D2" w:rsidRDefault="00453C2C" w:rsidP="00B3722C">
            <w:pPr>
              <w:keepNext/>
              <w:keepLines/>
              <w:spacing w:after="0"/>
              <w:jc w:val="center"/>
              <w:rPr>
                <w:sz w:val="18"/>
              </w:rPr>
            </w:pPr>
            <w:r w:rsidRPr="00D844D2">
              <w:rPr>
                <w:sz w:val="18"/>
              </w:rPr>
              <w:t>reject</w:t>
            </w:r>
          </w:p>
        </w:tc>
      </w:tr>
    </w:tbl>
    <w:p w14:paraId="0078D1EA" w14:textId="77777777" w:rsidR="00453C2C" w:rsidRDefault="00453C2C" w:rsidP="00453C2C"/>
    <w:p w14:paraId="3619BFCC" w14:textId="77777777" w:rsidR="00453C2C" w:rsidRDefault="00453C2C" w:rsidP="00453C2C">
      <w:r>
        <w:t>From the above excerpts it can be clearly seen that the F1: Initial RRC Message Transfer shall include the SRB1 configuration. The following can be therefore concluded:</w:t>
      </w:r>
    </w:p>
    <w:p w14:paraId="14DFBB06" w14:textId="7F50CA39" w:rsidR="00453C2C" w:rsidRPr="000D598A" w:rsidRDefault="00453C2C" w:rsidP="00453C2C">
      <w:pPr>
        <w:rPr>
          <w:b/>
        </w:rPr>
      </w:pPr>
      <w:r w:rsidRPr="000D598A">
        <w:rPr>
          <w:b/>
        </w:rPr>
        <w:t xml:space="preserve">Conclusion </w:t>
      </w:r>
      <w:r w:rsidR="004F2417">
        <w:rPr>
          <w:b/>
        </w:rPr>
        <w:t>2</w:t>
      </w:r>
      <w:r w:rsidRPr="000D598A">
        <w:rPr>
          <w:b/>
        </w:rPr>
        <w:t>: The F1: UE Context Setup Request is not needed to transfer SRB1 configuration from gNB-DU to gNB-CU. Instead, the F1: Initial RRC Message Transfer can be used</w:t>
      </w:r>
    </w:p>
    <w:p w14:paraId="66167FD0" w14:textId="77777777" w:rsidR="00453C2C" w:rsidRDefault="00453C2C" w:rsidP="00453C2C"/>
    <w:p w14:paraId="083235F8" w14:textId="53CD0BD3" w:rsidR="00453C2C" w:rsidRDefault="00453C2C" w:rsidP="00453C2C">
      <w:r>
        <w:t xml:space="preserve">When it comes to the issue of securing communication over SRB1, it can be seen from Figure 1 that this is possible by running RRC Security Mode procedures. These procedures are exchanged between gNB-CU and UE, transparently to the gNB-DU. To transfer these RRC messages there is no need of an F1: UE Context Setup procedure. Instead, the F1AP provides the UL and DL Message Transfer procedures, which have the purpose of transferring RRC messages from gNB-CU to gNB-DU. By means of running the RRC Security Mode procedures, communication over SRB1 can be secured, hence the </w:t>
      </w:r>
      <w:r w:rsidR="00C407E0">
        <w:t>requirement in RP-18059</w:t>
      </w:r>
      <w:r w:rsidR="007173B9">
        <w:t>0</w:t>
      </w:r>
      <w:r w:rsidR="004F2417">
        <w:t>, if confirmed,</w:t>
      </w:r>
      <w:r>
        <w:t xml:space="preserve"> can be </w:t>
      </w:r>
      <w:r w:rsidR="00C407E0">
        <w:t>fulfilled</w:t>
      </w:r>
      <w:r>
        <w:t>.</w:t>
      </w:r>
    </w:p>
    <w:p w14:paraId="094D11AF" w14:textId="11316AC2" w:rsidR="00453C2C" w:rsidRDefault="00453C2C" w:rsidP="00453C2C">
      <w:pPr>
        <w:rPr>
          <w:b/>
        </w:rPr>
      </w:pPr>
      <w:r w:rsidRPr="00FD0D32">
        <w:rPr>
          <w:b/>
        </w:rPr>
        <w:t xml:space="preserve">Conclusion </w:t>
      </w:r>
      <w:r w:rsidR="004F2417">
        <w:rPr>
          <w:b/>
        </w:rPr>
        <w:t>3</w:t>
      </w:r>
      <w:r w:rsidRPr="00FD0D32">
        <w:rPr>
          <w:b/>
        </w:rPr>
        <w:t>: there is no need to run the F1: UE context Setup procedures to secure SRB1 communication. This can be done by means of RRC Security Mode procedures and F1: RRC UL/DL Message Transfer procedures</w:t>
      </w:r>
    </w:p>
    <w:p w14:paraId="7D0F491A" w14:textId="77777777" w:rsidR="00C407E0" w:rsidRDefault="00C407E0" w:rsidP="00453C2C">
      <w:r>
        <w:t xml:space="preserve">By enabling a secured SRB1 bearer it is possible to support all the foreseen scenarios that do not require UP establishment. </w:t>
      </w:r>
    </w:p>
    <w:p w14:paraId="4866DA24" w14:textId="5984F5D0" w:rsidR="00453C2C" w:rsidRDefault="00C407E0" w:rsidP="00453C2C">
      <w:r>
        <w:t>This is proven by the fact that in Release 13 “</w:t>
      </w:r>
      <w:r w:rsidRPr="00990165">
        <w:t>Support for Attach without PDN connectivity</w:t>
      </w:r>
      <w:r>
        <w:t>” was introduced, see TS2</w:t>
      </w:r>
      <w:r w:rsidR="00B3722C">
        <w:t>3</w:t>
      </w:r>
      <w:r>
        <w:t>.401</w:t>
      </w:r>
      <w:r w:rsidR="00B3722C">
        <w:t xml:space="preserve"> for example</w:t>
      </w:r>
      <w:r>
        <w:t xml:space="preserve">. In this type of connectivity a UE is connected to the network only via an SRB1 signalling connection. All the services foreseen for an LTE UE are covered by this feature, such as sending and receiving SMS, re-directions to a different network, etc. </w:t>
      </w:r>
    </w:p>
    <w:p w14:paraId="19A397F9" w14:textId="7CEA4E35" w:rsidR="00C407E0" w:rsidRDefault="00C407E0" w:rsidP="00453C2C">
      <w:r w:rsidRPr="00C407E0">
        <w:t>It can therefore be concluded that</w:t>
      </w:r>
      <w:r>
        <w:t xml:space="preserve"> supporting SRB1 secured connections </w:t>
      </w:r>
      <w:r w:rsidR="00B3722C">
        <w:t>would enable services supported by the</w:t>
      </w:r>
      <w:r>
        <w:t xml:space="preserve"> “</w:t>
      </w:r>
      <w:r w:rsidRPr="00990165">
        <w:t>Support for Attach without PDN connectivity</w:t>
      </w:r>
      <w:r>
        <w:t>”</w:t>
      </w:r>
      <w:r w:rsidR="00B3722C">
        <w:t>, with the additional feature of establishing security for such signalling connections.</w:t>
      </w:r>
    </w:p>
    <w:p w14:paraId="43C733D3" w14:textId="59899DA0" w:rsidR="00B3722C" w:rsidRPr="00B3722C" w:rsidRDefault="00B3722C" w:rsidP="00453C2C">
      <w:pPr>
        <w:rPr>
          <w:b/>
        </w:rPr>
      </w:pPr>
      <w:r w:rsidRPr="00B3722C">
        <w:rPr>
          <w:b/>
        </w:rPr>
        <w:t xml:space="preserve">Conclusion </w:t>
      </w:r>
      <w:r w:rsidR="004F2417">
        <w:rPr>
          <w:b/>
        </w:rPr>
        <w:t>4</w:t>
      </w:r>
      <w:r w:rsidRPr="00B3722C">
        <w:rPr>
          <w:b/>
        </w:rPr>
        <w:t>: Current specifications allow establishment of secured signalling connections, enabling services that do not require UP establishment. This fulfils the requirements in RP-18059</w:t>
      </w:r>
      <w:r w:rsidR="007173B9">
        <w:rPr>
          <w:b/>
        </w:rPr>
        <w:t>0</w:t>
      </w:r>
      <w:r w:rsidRPr="00B3722C">
        <w:rPr>
          <w:b/>
        </w:rPr>
        <w:t>.</w:t>
      </w:r>
    </w:p>
    <w:p w14:paraId="01CA74AA" w14:textId="1691A5A5" w:rsidR="002B076B" w:rsidRDefault="00B3722C" w:rsidP="002B076B">
      <w:pPr>
        <w:pStyle w:val="BodyText"/>
        <w:rPr>
          <w:lang w:eastAsia="en-US"/>
        </w:rPr>
      </w:pPr>
      <w:r>
        <w:rPr>
          <w:lang w:eastAsia="en-US"/>
        </w:rPr>
        <w:t>One possible discussion that RAN3 should take is how to remove a secured signalling connection once this has been established. Right now, it is assumed that once a signalling connection over the F1 is established without any UP, its removal is up to implementation, for example up to expiration to implementation specific timers. This is in line with how removal of signalling connections is performed for LTE. However, it may be argued that this mechanism should be improved.</w:t>
      </w:r>
    </w:p>
    <w:p w14:paraId="6C8C61B6" w14:textId="342B2A90" w:rsidR="00B3722C" w:rsidRPr="009844F2" w:rsidRDefault="00B3722C" w:rsidP="002B076B">
      <w:pPr>
        <w:pStyle w:val="BodyText"/>
        <w:rPr>
          <w:b/>
          <w:lang w:eastAsia="en-US"/>
        </w:rPr>
      </w:pPr>
      <w:r>
        <w:rPr>
          <w:b/>
          <w:lang w:eastAsia="en-US"/>
        </w:rPr>
        <w:t xml:space="preserve">Conclusion </w:t>
      </w:r>
      <w:r w:rsidR="004F2417">
        <w:rPr>
          <w:b/>
          <w:lang w:eastAsia="en-US"/>
        </w:rPr>
        <w:t>5</w:t>
      </w:r>
      <w:r>
        <w:rPr>
          <w:b/>
          <w:lang w:eastAsia="en-US"/>
        </w:rPr>
        <w:t>: RAN3 should discuss if removal of signalling connections needs to be addressed with a dedicated signalling procedure</w:t>
      </w:r>
    </w:p>
    <w:p w14:paraId="6656B3A4" w14:textId="53C95782" w:rsidR="002B076B" w:rsidRPr="009844F2" w:rsidRDefault="002B076B" w:rsidP="000040B6">
      <w:pPr>
        <w:pStyle w:val="BodyText"/>
        <w:rPr>
          <w:lang w:eastAsia="en-US"/>
        </w:rPr>
      </w:pPr>
    </w:p>
    <w:p w14:paraId="5FD2DF01" w14:textId="77777777" w:rsidR="000040B6" w:rsidRPr="00CE0424" w:rsidRDefault="000040B6" w:rsidP="000040B6">
      <w:pPr>
        <w:pStyle w:val="Heading1"/>
      </w:pPr>
      <w:r w:rsidRPr="00CE0424">
        <w:t>Conclusion</w:t>
      </w:r>
    </w:p>
    <w:p w14:paraId="4DF965D4" w14:textId="1AC0FC46" w:rsidR="00DB72C9" w:rsidRDefault="00B3722C" w:rsidP="00B3722C">
      <w:pPr>
        <w:pStyle w:val="Reference"/>
        <w:numPr>
          <w:ilvl w:val="0"/>
          <w:numId w:val="0"/>
        </w:numPr>
      </w:pPr>
      <w:bookmarkStart w:id="3" w:name="_Ref484067741"/>
      <w:bookmarkStart w:id="4" w:name="_Ref174151459"/>
      <w:bookmarkStart w:id="5" w:name="_Ref189809556"/>
      <w:r>
        <w:t xml:space="preserve">In this paper </w:t>
      </w:r>
      <w:bookmarkEnd w:id="2"/>
      <w:bookmarkEnd w:id="3"/>
      <w:bookmarkEnd w:id="4"/>
      <w:bookmarkEnd w:id="5"/>
      <w:r>
        <w:t xml:space="preserve">a description of the current specifications and of how they allow the establishment of secured signalling connections is presented. The paper explains that the current system allows to secure signalling connections and to enable the use of all services not requiring UP establishment. This </w:t>
      </w:r>
      <w:r w:rsidR="00E675F0">
        <w:t>is equivalent to support of services enabled with the “Attachment without PDN Connectivity” in LTE, but with the added AS security.</w:t>
      </w:r>
    </w:p>
    <w:p w14:paraId="789ADB8C" w14:textId="7DF67F14" w:rsidR="00E675F0" w:rsidRPr="00E675F0" w:rsidRDefault="00E675F0" w:rsidP="00B3722C">
      <w:pPr>
        <w:pStyle w:val="Reference"/>
        <w:numPr>
          <w:ilvl w:val="0"/>
          <w:numId w:val="0"/>
        </w:numPr>
      </w:pPr>
      <w:r w:rsidRPr="00E675F0">
        <w:t>The paper presents the following conclusions for approval:</w:t>
      </w:r>
    </w:p>
    <w:p w14:paraId="6C4E38C0" w14:textId="77777777" w:rsidR="004F2417" w:rsidRPr="004F2417" w:rsidRDefault="004F2417" w:rsidP="004F2417">
      <w:pPr>
        <w:rPr>
          <w:b/>
        </w:rPr>
      </w:pPr>
      <w:r w:rsidRPr="004F2417">
        <w:rPr>
          <w:b/>
        </w:rPr>
        <w:t>Conclusion 1: RAN3 should wait for SA2 and SA3 to provide use cases that validate the requirement from RAN plenary, before agreeing to any solution.</w:t>
      </w:r>
    </w:p>
    <w:p w14:paraId="0FE4211A" w14:textId="77777777" w:rsidR="004F2417" w:rsidRPr="000D598A" w:rsidRDefault="004F2417" w:rsidP="004F2417">
      <w:pPr>
        <w:rPr>
          <w:b/>
        </w:rPr>
      </w:pPr>
      <w:r w:rsidRPr="000D598A">
        <w:rPr>
          <w:b/>
        </w:rPr>
        <w:t xml:space="preserve">Conclusion </w:t>
      </w:r>
      <w:r>
        <w:rPr>
          <w:b/>
        </w:rPr>
        <w:t>2</w:t>
      </w:r>
      <w:r w:rsidRPr="000D598A">
        <w:rPr>
          <w:b/>
        </w:rPr>
        <w:t>: The F1: UE Context Setup Request is not needed to transfer SRB1 configuration from gNB-DU to gNB-CU. Instead, the F1: Initial RRC Message Transfer can be used</w:t>
      </w:r>
    </w:p>
    <w:p w14:paraId="3DD6A5F5" w14:textId="77777777" w:rsidR="004F2417" w:rsidRDefault="004F2417" w:rsidP="004F2417">
      <w:pPr>
        <w:rPr>
          <w:b/>
        </w:rPr>
      </w:pPr>
      <w:r w:rsidRPr="00FD0D32">
        <w:rPr>
          <w:b/>
        </w:rPr>
        <w:t xml:space="preserve">Conclusion </w:t>
      </w:r>
      <w:r>
        <w:rPr>
          <w:b/>
        </w:rPr>
        <w:t>3</w:t>
      </w:r>
      <w:r w:rsidRPr="00FD0D32">
        <w:rPr>
          <w:b/>
        </w:rPr>
        <w:t>: there is no need to run the F1: UE context Setup procedures to secure SRB1 communication. This can be done by means of RRC Security Mode procedures and F1: RRC UL/DL Message Transfer procedures</w:t>
      </w:r>
    </w:p>
    <w:p w14:paraId="6EA974BA" w14:textId="77777777" w:rsidR="004F2417" w:rsidRPr="00B3722C" w:rsidRDefault="004F2417" w:rsidP="004F2417">
      <w:pPr>
        <w:rPr>
          <w:b/>
        </w:rPr>
      </w:pPr>
      <w:r w:rsidRPr="00B3722C">
        <w:rPr>
          <w:b/>
        </w:rPr>
        <w:t xml:space="preserve">Conclusion </w:t>
      </w:r>
      <w:r>
        <w:rPr>
          <w:b/>
        </w:rPr>
        <w:t>4</w:t>
      </w:r>
      <w:r w:rsidRPr="00B3722C">
        <w:rPr>
          <w:b/>
        </w:rPr>
        <w:t>: Current specifications allow establishment of secured signalling connections, enabling services that do not require UP establishment. This fulfils the requirements in RP-18059</w:t>
      </w:r>
      <w:r>
        <w:rPr>
          <w:b/>
        </w:rPr>
        <w:t>0</w:t>
      </w:r>
      <w:r w:rsidRPr="00B3722C">
        <w:rPr>
          <w:b/>
        </w:rPr>
        <w:t>.</w:t>
      </w:r>
    </w:p>
    <w:p w14:paraId="75F003C5" w14:textId="77777777" w:rsidR="004F2417" w:rsidRPr="009844F2" w:rsidRDefault="004F2417" w:rsidP="004F2417">
      <w:pPr>
        <w:pStyle w:val="BodyText"/>
        <w:rPr>
          <w:b/>
          <w:lang w:eastAsia="en-US"/>
        </w:rPr>
      </w:pPr>
      <w:r>
        <w:rPr>
          <w:b/>
          <w:lang w:eastAsia="en-US"/>
        </w:rPr>
        <w:t>Conclusion 5: RAN3 should discuss if removal of signalling connections needs to be addressed with a dedicated signalling procedure</w:t>
      </w:r>
    </w:p>
    <w:p w14:paraId="2130209D" w14:textId="77777777" w:rsidR="00B3722C" w:rsidRPr="000040B6" w:rsidRDefault="00B3722C" w:rsidP="00B3722C">
      <w:pPr>
        <w:pStyle w:val="Reference"/>
        <w:numPr>
          <w:ilvl w:val="0"/>
          <w:numId w:val="0"/>
        </w:numPr>
        <w:rPr>
          <w:i/>
          <w:lang w:eastAsia="ja-JP"/>
        </w:rPr>
      </w:pPr>
    </w:p>
    <w:sectPr w:rsidR="00B3722C" w:rsidRPr="000040B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0F197" w14:textId="77777777" w:rsidR="00337251" w:rsidRDefault="00337251">
      <w:r>
        <w:separator/>
      </w:r>
    </w:p>
  </w:endnote>
  <w:endnote w:type="continuationSeparator" w:id="0">
    <w:p w14:paraId="4D712FC1" w14:textId="77777777" w:rsidR="00337251" w:rsidRDefault="0033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3981397" w:rsidR="00B3722C" w:rsidRDefault="00B372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72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7251">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D895A" w14:textId="77777777" w:rsidR="00337251" w:rsidRDefault="00337251">
      <w:r>
        <w:separator/>
      </w:r>
    </w:p>
  </w:footnote>
  <w:footnote w:type="continuationSeparator" w:id="0">
    <w:p w14:paraId="78E19129" w14:textId="77777777" w:rsidR="00337251" w:rsidRDefault="00337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B3722C" w:rsidRDefault="00B3722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3"/>
  </w:num>
  <w:num w:numId="6">
    <w:abstractNumId w:val="9"/>
  </w:num>
  <w:num w:numId="7">
    <w:abstractNumId w:val="14"/>
  </w:num>
  <w:num w:numId="8">
    <w:abstractNumId w:val="4"/>
  </w:num>
  <w:num w:numId="9">
    <w:abstractNumId w:val="12"/>
  </w:num>
  <w:num w:numId="10">
    <w:abstractNumId w:val="16"/>
  </w:num>
  <w:num w:numId="11">
    <w:abstractNumId w:val="1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1"/>
  </w:num>
  <w:num w:numId="16">
    <w:abstractNumId w:val="15"/>
  </w:num>
  <w:num w:numId="17">
    <w:abstractNumId w:val="6"/>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7"/>
  </w:num>
  <w:num w:numId="2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6"/>
    <w:rsid w:val="00002A37"/>
    <w:rsid w:val="000040B6"/>
    <w:rsid w:val="00006446"/>
    <w:rsid w:val="00006896"/>
    <w:rsid w:val="00006B58"/>
    <w:rsid w:val="00006EF6"/>
    <w:rsid w:val="00007CDC"/>
    <w:rsid w:val="00011B28"/>
    <w:rsid w:val="000135E0"/>
    <w:rsid w:val="00015BDD"/>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4E2F"/>
    <w:rsid w:val="00065809"/>
    <w:rsid w:val="000659CB"/>
    <w:rsid w:val="00065E1A"/>
    <w:rsid w:val="00067877"/>
    <w:rsid w:val="00071A1C"/>
    <w:rsid w:val="000738B3"/>
    <w:rsid w:val="0007519E"/>
    <w:rsid w:val="00077E5F"/>
    <w:rsid w:val="0008036A"/>
    <w:rsid w:val="00081AE6"/>
    <w:rsid w:val="000847C9"/>
    <w:rsid w:val="000855EB"/>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50E"/>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B0F"/>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37251"/>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3C2C"/>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B1EB4"/>
    <w:rsid w:val="004B29D1"/>
    <w:rsid w:val="004B556D"/>
    <w:rsid w:val="004B7C0C"/>
    <w:rsid w:val="004C3898"/>
    <w:rsid w:val="004C6DFE"/>
    <w:rsid w:val="004D36B1"/>
    <w:rsid w:val="004D5745"/>
    <w:rsid w:val="004D796E"/>
    <w:rsid w:val="004D7EBD"/>
    <w:rsid w:val="004E1A66"/>
    <w:rsid w:val="004E2680"/>
    <w:rsid w:val="004E28F9"/>
    <w:rsid w:val="004E3357"/>
    <w:rsid w:val="004E462E"/>
    <w:rsid w:val="004E56DC"/>
    <w:rsid w:val="004E76F4"/>
    <w:rsid w:val="004F0B4E"/>
    <w:rsid w:val="004F0B6C"/>
    <w:rsid w:val="004F2078"/>
    <w:rsid w:val="004F2417"/>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33D"/>
    <w:rsid w:val="00572505"/>
    <w:rsid w:val="005730C2"/>
    <w:rsid w:val="00574D55"/>
    <w:rsid w:val="00580202"/>
    <w:rsid w:val="00582809"/>
    <w:rsid w:val="00584E55"/>
    <w:rsid w:val="005874A0"/>
    <w:rsid w:val="005875C9"/>
    <w:rsid w:val="0058798C"/>
    <w:rsid w:val="005900F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74BE"/>
    <w:rsid w:val="005E79D7"/>
    <w:rsid w:val="005F1985"/>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0D19"/>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173B9"/>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67C"/>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56B"/>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AFB"/>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1F49"/>
    <w:rsid w:val="00B1423D"/>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2C"/>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4CD"/>
    <w:rsid w:val="00B97A0C"/>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07E0"/>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A87"/>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5F0"/>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7D6507F6-C0C6-4FBA-BD4A-BAF6FCC5E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4</Pages>
  <Words>1218</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
      <vt:lpstr>Introduction</vt:lpstr>
      <vt:lpstr>Discussion </vt:lpstr>
      <vt:lpstr>Conclusion</vt:lpstr>
    </vt:vector>
  </TitlesOfParts>
  <Company>Ericsson</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2018-04-06T20:31:00Z</dcterms:created>
  <dcterms:modified xsi:type="dcterms:W3CDTF">2018-04-06T20:31:00Z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