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8D9C9" w14:textId="044BEA67" w:rsidR="004C1261" w:rsidRPr="004C1261" w:rsidRDefault="004C1261" w:rsidP="004C1261">
      <w:pPr>
        <w:pStyle w:val="TdocHeader2"/>
        <w:tabs>
          <w:tab w:val="right" w:pos="9720"/>
        </w:tabs>
        <w:jc w:val="left"/>
        <w:rPr>
          <w:rFonts w:eastAsia="SimSun" w:cs="Arial"/>
          <w:sz w:val="24"/>
        </w:rPr>
      </w:pPr>
      <w:bookmarkStart w:id="0" w:name="OLE_LINK1"/>
      <w:bookmarkStart w:id="1" w:name="OLE_LINK2"/>
      <w:r>
        <w:rPr>
          <w:rFonts w:eastAsia="SimSun" w:cs="Arial"/>
          <w:sz w:val="24"/>
        </w:rPr>
        <w:t xml:space="preserve">3GPP TSG-RAN WG3 #99                                                                                        </w:t>
      </w:r>
      <w:r w:rsidRPr="004C1261">
        <w:rPr>
          <w:rFonts w:eastAsia="SimSun" w:cs="Arial"/>
          <w:sz w:val="24"/>
        </w:rPr>
        <w:tab/>
        <w:t>R3-18</w:t>
      </w:r>
      <w:r w:rsidR="002B0253">
        <w:rPr>
          <w:rFonts w:eastAsia="SimSun" w:cs="Arial"/>
          <w:sz w:val="24"/>
        </w:rPr>
        <w:t>1347</w:t>
      </w:r>
    </w:p>
    <w:p w14:paraId="57673FA3" w14:textId="7B37B7E7" w:rsidR="00616831" w:rsidRPr="0049755C" w:rsidRDefault="004C1261" w:rsidP="004C1261">
      <w:pPr>
        <w:pStyle w:val="TdocHeader2"/>
        <w:tabs>
          <w:tab w:val="clear" w:pos="9072"/>
          <w:tab w:val="right" w:pos="9720"/>
        </w:tabs>
        <w:rPr>
          <w:rFonts w:eastAsia="Malgun Gothic" w:cs="Arial"/>
          <w:sz w:val="24"/>
          <w:lang w:val="en-US" w:eastAsia="ko-KR"/>
        </w:rPr>
      </w:pPr>
      <w:r w:rsidRPr="004C1261">
        <w:rPr>
          <w:rFonts w:eastAsia="SimSun" w:cs="Arial"/>
          <w:sz w:val="24"/>
        </w:rPr>
        <w:t>Athens, Greece, 26 February-2 March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15D351B"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4C1261" w:rsidRPr="004C1261">
        <w:rPr>
          <w:sz w:val="24"/>
        </w:rPr>
        <w:t>Discussion on IAB node discovery and topology/route management</w:t>
      </w:r>
      <w:r w:rsidR="009D3D65">
        <w:rPr>
          <w:rFonts w:cs="Arial"/>
          <w:b w:val="0"/>
          <w:bCs/>
          <w:sz w:val="32"/>
        </w:rPr>
        <w:t xml:space="preserve"> </w:t>
      </w:r>
    </w:p>
    <w:p w14:paraId="08AD6C06" w14:textId="29F6D6F2" w:rsidR="00D52BF3" w:rsidRPr="00B208AD" w:rsidRDefault="00D52BF3" w:rsidP="00700F24">
      <w:pPr>
        <w:pStyle w:val="TdocHeader2"/>
        <w:spacing w:after="120"/>
        <w:rPr>
          <w:sz w:val="24"/>
        </w:rPr>
      </w:pPr>
      <w:r w:rsidRPr="00B208AD">
        <w:rPr>
          <w:sz w:val="24"/>
        </w:rPr>
        <w:t>Agenda Item:</w:t>
      </w:r>
      <w:r w:rsidRPr="00B208AD">
        <w:rPr>
          <w:sz w:val="24"/>
        </w:rPr>
        <w:tab/>
      </w:r>
      <w:r w:rsidR="004C1261">
        <w:rPr>
          <w:bCs/>
          <w:iCs/>
          <w:sz w:val="24"/>
        </w:rPr>
        <w:t>24.2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DC203E">
      <w:pPr>
        <w:numPr>
          <w:ilvl w:val="0"/>
          <w:numId w:val="4"/>
        </w:numPr>
        <w:spacing w:after="0"/>
        <w:rPr>
          <w:bCs/>
        </w:rPr>
      </w:pPr>
      <w:r>
        <w:rPr>
          <w:bCs/>
        </w:rPr>
        <w:t>Efficient and flexible operation for both i</w:t>
      </w:r>
      <w:r w:rsidRPr="00081E05">
        <w:rPr>
          <w:bCs/>
        </w:rPr>
        <w:t>nband and outband</w:t>
      </w:r>
      <w:r>
        <w:rPr>
          <w:bCs/>
        </w:rPr>
        <w:t xml:space="preserve"> relaying in indoor and outdoor scenarios </w:t>
      </w:r>
    </w:p>
    <w:p w14:paraId="665D4525" w14:textId="77777777" w:rsidR="00AA7B2F" w:rsidRDefault="00AA7B2F" w:rsidP="00DC203E">
      <w:pPr>
        <w:numPr>
          <w:ilvl w:val="0"/>
          <w:numId w:val="4"/>
        </w:numPr>
        <w:spacing w:after="0"/>
        <w:rPr>
          <w:bCs/>
        </w:rPr>
      </w:pPr>
      <w:r>
        <w:rPr>
          <w:bCs/>
        </w:rPr>
        <w:t>M</w:t>
      </w:r>
      <w:r w:rsidRPr="00081E05">
        <w:rPr>
          <w:bCs/>
        </w:rPr>
        <w:t>ulti-hop and redundant connectivity</w:t>
      </w:r>
    </w:p>
    <w:p w14:paraId="23328B43" w14:textId="77777777" w:rsidR="00AA7B2F" w:rsidRDefault="00AA7B2F" w:rsidP="00DC203E">
      <w:pPr>
        <w:numPr>
          <w:ilvl w:val="0"/>
          <w:numId w:val="4"/>
        </w:numPr>
        <w:spacing w:after="0"/>
        <w:rPr>
          <w:bCs/>
        </w:rPr>
      </w:pPr>
      <w:r>
        <w:rPr>
          <w:bCs/>
        </w:rPr>
        <w:t>End-to-end route selection and optimization</w:t>
      </w:r>
    </w:p>
    <w:p w14:paraId="6515559D" w14:textId="77777777" w:rsidR="00AA7B2F" w:rsidRDefault="00AA7B2F" w:rsidP="00DC203E">
      <w:pPr>
        <w:numPr>
          <w:ilvl w:val="0"/>
          <w:numId w:val="4"/>
        </w:numPr>
        <w:spacing w:after="0"/>
        <w:rPr>
          <w:bCs/>
        </w:rPr>
      </w:pPr>
      <w:r>
        <w:rPr>
          <w:bCs/>
        </w:rPr>
        <w:t>Support of backhaul links with high spectral efficiency</w:t>
      </w:r>
    </w:p>
    <w:p w14:paraId="017D6EF8" w14:textId="2CE1AB28" w:rsidR="00AA7B2F" w:rsidRDefault="00AA7B2F" w:rsidP="00DC203E">
      <w:pPr>
        <w:numPr>
          <w:ilvl w:val="0"/>
          <w:numId w:val="4"/>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7AEF2C38" w14:textId="68004B61" w:rsidR="006F1AB8" w:rsidRDefault="00896663" w:rsidP="00D11AD9">
      <w:pPr>
        <w:rPr>
          <w:lang w:val="en-GB"/>
        </w:rPr>
      </w:pPr>
      <w:r>
        <w:rPr>
          <w:lang w:val="en-GB"/>
        </w:rPr>
        <w:t>This contrib</w:t>
      </w:r>
      <w:r w:rsidR="003B6E4C">
        <w:rPr>
          <w:lang w:val="en-GB"/>
        </w:rPr>
        <w:t>ution gives and</w:t>
      </w:r>
      <w:r w:rsidR="003B6E4C" w:rsidRPr="003B6E4C">
        <w:rPr>
          <w:lang w:val="en-GB"/>
        </w:rPr>
        <w:t xml:space="preserve"> overview </w:t>
      </w:r>
      <w:r w:rsidR="003B6E4C">
        <w:rPr>
          <w:lang w:val="en-GB"/>
        </w:rPr>
        <w:t xml:space="preserve">and discusses requirements </w:t>
      </w:r>
      <w:r w:rsidR="003B6E4C" w:rsidRPr="003B6E4C">
        <w:rPr>
          <w:lang w:val="en-GB"/>
        </w:rPr>
        <w:t>of node discovery and route selection/management for IAB</w:t>
      </w:r>
      <w:r w:rsidR="00FC2F10">
        <w:rPr>
          <w:lang w:val="en-GB"/>
        </w:rPr>
        <w:t>.</w:t>
      </w:r>
    </w:p>
    <w:p w14:paraId="3910AB39" w14:textId="6D4A4C22" w:rsidR="006F1AB8" w:rsidRDefault="00C528CF" w:rsidP="00C26A7D">
      <w:pPr>
        <w:pStyle w:val="Heading1"/>
      </w:pPr>
      <w:r>
        <w:t xml:space="preserve">IAB </w:t>
      </w:r>
      <w:r w:rsidR="00AD273C">
        <w:t>Node Discovery</w:t>
      </w:r>
      <w:r w:rsidR="00C906C3">
        <w:t xml:space="preserve"> and Topology/Route Management</w:t>
      </w:r>
    </w:p>
    <w:p w14:paraId="3C62E814" w14:textId="688CC38F" w:rsidR="002A0EC8" w:rsidRPr="00AD273C" w:rsidRDefault="00484487" w:rsidP="00AD273C">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An example of a network with integrated access and backhaul links is shown in Figure 1 below. </w:t>
      </w:r>
      <w:r w:rsidR="00E725D9" w:rsidRPr="00AD273C">
        <w:rPr>
          <w:rFonts w:asciiTheme="minorHAnsi" w:eastAsia="SimSun" w:hAnsiTheme="minorHAnsi"/>
          <w:sz w:val="22"/>
          <w:szCs w:val="20"/>
          <w:lang w:val="en-GB"/>
        </w:rPr>
        <w:t>T</w:t>
      </w:r>
      <w:r w:rsidRPr="00AD273C">
        <w:rPr>
          <w:rFonts w:asciiTheme="minorHAnsi" w:eastAsia="SimSun" w:hAnsiTheme="minorHAnsi"/>
          <w:sz w:val="22"/>
          <w:szCs w:val="20"/>
          <w:lang w:val="en-GB"/>
        </w:rPr>
        <w:t xml:space="preserve">he operation of the different links may be on the same or different frequencies (also termed ‘in-band’ and ‘out-band’ relays). While efficient support of out-band relays is important for some NR deployment scenarios, it is critically important to understand the requirements of in-band operation which imply tighter interworking with the access links operating on the same frequency to accommodate duplex constraints and avoid/mitigate interference.  </w:t>
      </w:r>
    </w:p>
    <w:p w14:paraId="71A02F3B" w14:textId="77777777" w:rsidR="002A0EC8" w:rsidRDefault="002A0EC8" w:rsidP="00484487">
      <w:pPr>
        <w:pStyle w:val="maintext"/>
        <w:ind w:firstLine="440"/>
        <w:rPr>
          <w:rFonts w:ascii="Calibri" w:hAnsi="Calibri"/>
        </w:rPr>
      </w:pPr>
    </w:p>
    <w:p w14:paraId="33446C45" w14:textId="53DC62BF" w:rsidR="002A0EC8" w:rsidRPr="00EC51BC" w:rsidRDefault="002A0EC8" w:rsidP="002A0EC8">
      <w:pPr>
        <w:spacing w:before="60" w:after="60" w:line="288" w:lineRule="auto"/>
        <w:jc w:val="center"/>
        <w:rPr>
          <w:rFonts w:eastAsia="Malgun Gothic" w:cs="Batang"/>
          <w:b/>
          <w:lang w:val="en-GB" w:eastAsia="ko-KR"/>
        </w:rPr>
      </w:pPr>
      <w:r>
        <w:rPr>
          <w:rFonts w:eastAsia="Malgun Gothic" w:cs="Batang"/>
          <w:b/>
          <w:noProof/>
        </w:rPr>
        <w:drawing>
          <wp:inline distT="0" distB="0" distL="0" distR="0" wp14:anchorId="72CDDEF9" wp14:editId="2F4F4954">
            <wp:extent cx="5562144" cy="206081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8611" cy="2070618"/>
                    </a:xfrm>
                    <a:prstGeom prst="rect">
                      <a:avLst/>
                    </a:prstGeom>
                    <a:noFill/>
                  </pic:spPr>
                </pic:pic>
              </a:graphicData>
            </a:graphic>
          </wp:inline>
        </w:drawing>
      </w:r>
    </w:p>
    <w:p w14:paraId="5DBD0F26" w14:textId="77777777" w:rsidR="00AD273C" w:rsidRDefault="002A0EC8" w:rsidP="002A0EC8">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w:t>
      </w:r>
    </w:p>
    <w:p w14:paraId="53CB095E" w14:textId="1FA9CFF1" w:rsidR="00C906C3" w:rsidRDefault="00C906C3"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lastRenderedPageBreak/>
        <w:t xml:space="preserve">Three key components of the tight interworking for IAB are topology management, route management, and frame structure and scheduling as shown in Figure 2. </w:t>
      </w:r>
    </w:p>
    <w:p w14:paraId="509B0A52" w14:textId="77777777" w:rsidR="00C906C3" w:rsidRDefault="00C906C3" w:rsidP="00C906C3">
      <w:pPr>
        <w:pStyle w:val="BodyText"/>
        <w:rPr>
          <w:rFonts w:asciiTheme="minorHAnsi" w:eastAsia="SimSun" w:hAnsiTheme="minorHAnsi"/>
          <w:sz w:val="22"/>
          <w:szCs w:val="20"/>
          <w:lang w:val="en-GB"/>
        </w:rPr>
      </w:pPr>
    </w:p>
    <w:p w14:paraId="2F33367D" w14:textId="77777777" w:rsidR="00C906C3" w:rsidRDefault="00C906C3" w:rsidP="00C906C3">
      <w:pPr>
        <w:pStyle w:val="BodyText"/>
        <w:rPr>
          <w:rFonts w:asciiTheme="minorHAnsi" w:eastAsia="SimSun" w:hAnsiTheme="minorHAnsi"/>
          <w:sz w:val="22"/>
          <w:szCs w:val="20"/>
          <w:lang w:val="en-GB"/>
        </w:rPr>
      </w:pPr>
      <w:r>
        <w:rPr>
          <w:rFonts w:asciiTheme="minorHAnsi" w:eastAsia="SimSun" w:hAnsiTheme="minorHAnsi"/>
          <w:noProof/>
          <w:sz w:val="22"/>
          <w:szCs w:val="20"/>
        </w:rPr>
        <w:drawing>
          <wp:inline distT="0" distB="0" distL="0" distR="0" wp14:anchorId="5ABE1CFF" wp14:editId="4A6B3655">
            <wp:extent cx="6431441" cy="1341319"/>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9905" cy="1368111"/>
                    </a:xfrm>
                    <a:prstGeom prst="rect">
                      <a:avLst/>
                    </a:prstGeom>
                    <a:noFill/>
                  </pic:spPr>
                </pic:pic>
              </a:graphicData>
            </a:graphic>
          </wp:inline>
        </w:drawing>
      </w:r>
    </w:p>
    <w:p w14:paraId="0CAE29E8" w14:textId="676A8712" w:rsidR="00C906C3" w:rsidRDefault="00C906C3" w:rsidP="00C906C3">
      <w:pPr>
        <w:spacing w:after="240" w:line="360" w:lineRule="auto"/>
        <w:ind w:left="720"/>
        <w:jc w:val="center"/>
        <w:rPr>
          <w:rFonts w:ascii="Calibri" w:hAnsi="Calibri"/>
          <w:b/>
          <w:bCs/>
          <w:sz w:val="24"/>
          <w:lang w:val="en-GB" w:eastAsia="zh-CN"/>
        </w:rPr>
      </w:pPr>
      <w:r>
        <w:rPr>
          <w:rFonts w:ascii="Calibri" w:hAnsi="Calibri"/>
          <w:b/>
          <w:bCs/>
          <w:sz w:val="24"/>
          <w:lang w:val="en-GB" w:eastAsia="zh-CN"/>
        </w:rPr>
        <w:t xml:space="preserve">Figure 2: </w:t>
      </w:r>
      <w:r w:rsidR="00A64511">
        <w:rPr>
          <w:rFonts w:ascii="Calibri" w:hAnsi="Calibri"/>
          <w:b/>
          <w:bCs/>
          <w:sz w:val="24"/>
          <w:lang w:val="en-GB" w:eastAsia="zh-CN"/>
        </w:rPr>
        <w:t>Key components of IAB design</w:t>
      </w:r>
    </w:p>
    <w:p w14:paraId="66E7C759" w14:textId="4E685CE7" w:rsidR="00C906C3" w:rsidRDefault="00C906C3" w:rsidP="00C906C3">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Topology management includes the following characteristics: 1) happens on long time scales, 2) manages static hop order, 3) handles initial access of relay nodes, and 4) changes every time a node is added or removed. On the other hand route management happens at a much faster time scale (e.g. happens over 10s or 100s of ms) and routes are updated for load variance and blocking.</w:t>
      </w:r>
      <w:r>
        <w:rPr>
          <w:rFonts w:asciiTheme="minorHAnsi" w:eastAsia="SimSun" w:hAnsiTheme="minorHAnsi"/>
          <w:sz w:val="22"/>
          <w:szCs w:val="20"/>
          <w:lang w:val="en-GB"/>
        </w:rPr>
        <w:t xml:space="preserve"> Finally, d</w:t>
      </w:r>
      <w:r w:rsidRPr="008B01CA">
        <w:rPr>
          <w:rFonts w:asciiTheme="minorHAnsi" w:eastAsia="SimSun" w:hAnsiTheme="minorHAnsi"/>
          <w:sz w:val="22"/>
          <w:szCs w:val="20"/>
          <w:lang w:val="en-GB"/>
        </w:rPr>
        <w:t>epending on the network architecture, the scheduling of backhaul links may be performed by a central node (e.g. an aggregation point) or may be distributed across multiple nodes, requiring coordination and exchange of resource allocation/route selection information.</w:t>
      </w:r>
    </w:p>
    <w:p w14:paraId="51823934" w14:textId="1DA5F024" w:rsidR="00A64511" w:rsidRPr="00A64511" w:rsidRDefault="00A64511" w:rsidP="00A64511">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64D7A02F" w14:textId="7E502C9E" w:rsidR="00C906C3" w:rsidRDefault="00A64511"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t>The remaining sections discuss architecture implications of supporting various aspects of topology/route management including IAB node discovery.</w:t>
      </w:r>
    </w:p>
    <w:p w14:paraId="3D04645F" w14:textId="6C8B72F7" w:rsidR="00C906C3" w:rsidRDefault="00C906C3" w:rsidP="00C906C3">
      <w:pPr>
        <w:pStyle w:val="Heading2"/>
      </w:pPr>
      <w:r>
        <w:t>IAB Node Discovery</w:t>
      </w:r>
    </w:p>
    <w:p w14:paraId="7E6B5713" w14:textId="77777777" w:rsidR="00A64511" w:rsidRDefault="00A64511" w:rsidP="00A64511">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Besides supporting synchronization and cell discovery for links between gNBs and UEs, NR should support also support link establishm</w:t>
      </w:r>
      <w:r>
        <w:rPr>
          <w:rFonts w:asciiTheme="minorHAnsi" w:eastAsia="SimSun" w:hAnsiTheme="minorHAnsi"/>
          <w:sz w:val="22"/>
          <w:szCs w:val="20"/>
          <w:lang w:val="en-GB"/>
        </w:rPr>
        <w:t>ent and maintenance between IAB-nodes</w:t>
      </w:r>
      <w:r w:rsidRPr="00AD273C">
        <w:rPr>
          <w:rFonts w:asciiTheme="minorHAnsi" w:eastAsia="SimSun" w:hAnsiTheme="minorHAnsi"/>
          <w:sz w:val="22"/>
          <w:szCs w:val="20"/>
          <w:lang w:val="en-GB"/>
        </w:rPr>
        <w:t xml:space="preserve">. </w:t>
      </w:r>
      <w:r>
        <w:rPr>
          <w:rFonts w:asciiTheme="minorHAnsi" w:eastAsia="SimSun" w:hAnsiTheme="minorHAnsi"/>
          <w:sz w:val="22"/>
          <w:szCs w:val="20"/>
          <w:lang w:val="en-GB"/>
        </w:rPr>
        <w:t xml:space="preserve">Since the deployment of IAB nodes may vary over time as network densification takes place, over-the-air node discovery is important as self-discovery and self-configuration of IAB-nodes is important for simplifying network management and increasing deployment flexibility.  </w:t>
      </w:r>
    </w:p>
    <w:p w14:paraId="76F864E4" w14:textId="77777777" w:rsidR="00A64511"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This is also in alignment with the SA1 service requirements for wireless self-backhaul in </w:t>
      </w:r>
      <w:r w:rsidRPr="0031677E">
        <w:rPr>
          <w:rFonts w:asciiTheme="minorHAnsi" w:eastAsia="SimSun" w:hAnsiTheme="minorHAnsi"/>
          <w:sz w:val="22"/>
          <w:szCs w:val="20"/>
          <w:lang w:val="en-GB"/>
        </w:rPr>
        <w:t>TS 22.261</w:t>
      </w:r>
      <w:r>
        <w:rPr>
          <w:rFonts w:asciiTheme="minorHAnsi" w:eastAsia="SimSun" w:hAnsiTheme="minorHAnsi"/>
          <w:sz w:val="22"/>
          <w:szCs w:val="20"/>
          <w:lang w:val="en-GB"/>
        </w:rPr>
        <w:t>:</w:t>
      </w:r>
    </w:p>
    <w:p w14:paraId="32437BBC" w14:textId="77777777" w:rsidR="00A64511" w:rsidRPr="00AA32A1" w:rsidRDefault="00A64511" w:rsidP="00DC203E">
      <w:pPr>
        <w:pStyle w:val="maintext"/>
        <w:numPr>
          <w:ilvl w:val="0"/>
          <w:numId w:val="5"/>
        </w:numPr>
        <w:ind w:firstLine="440"/>
        <w:rPr>
          <w:rFonts w:eastAsia="Times New Roman" w:cs="Times New Roman"/>
          <w:lang w:eastAsia="en-US"/>
        </w:rPr>
      </w:pPr>
      <w:r w:rsidRPr="00AA32A1">
        <w:rPr>
          <w:rFonts w:eastAsia="Times New Roman" w:cs="Times New Roman"/>
          <w:lang w:eastAsia="en-US"/>
        </w:rPr>
        <w:t>The 5G network shall support autonomous configuration of access and wireless self-backhaul functions.</w:t>
      </w:r>
    </w:p>
    <w:p w14:paraId="61EEAD57" w14:textId="6B9FC6E5" w:rsidR="00A64511" w:rsidRPr="0031677E" w:rsidRDefault="00A64511" w:rsidP="00A64511">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4AA45A3D" w14:textId="025357AC" w:rsidR="0024488E"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One straightforward way to support this requirement is to use the same physical layer signals and channels for performing initial access, link management (e.g. RRM/RLM), and other basic procedures for connection setup/reconfiguration</w:t>
      </w:r>
      <w:r w:rsidRPr="00AD273C">
        <w:rPr>
          <w:rFonts w:asciiTheme="minorHAnsi" w:eastAsia="SimSun" w:hAnsiTheme="minorHAnsi"/>
          <w:sz w:val="22"/>
          <w:szCs w:val="20"/>
          <w:lang w:val="en-GB"/>
        </w:rPr>
        <w:t>.</w:t>
      </w:r>
      <w:r>
        <w:rPr>
          <w:rFonts w:asciiTheme="minorHAnsi" w:eastAsia="SimSun" w:hAnsiTheme="minorHAnsi"/>
          <w:sz w:val="22"/>
          <w:szCs w:val="20"/>
          <w:lang w:val="en-GB"/>
        </w:rPr>
        <w:t xml:space="preserve"> For example, each IAB node could be considered to have both DU functionality as well as UE functionality </w:t>
      </w:r>
      <w:r w:rsidR="0024488E">
        <w:rPr>
          <w:rFonts w:asciiTheme="minorHAnsi" w:eastAsia="SimSun" w:hAnsiTheme="minorHAnsi"/>
          <w:sz w:val="22"/>
          <w:szCs w:val="20"/>
          <w:lang w:val="en-GB"/>
        </w:rPr>
        <w:t xml:space="preserve">as shown in Figure </w:t>
      </w:r>
      <w:r w:rsidR="00171424">
        <w:rPr>
          <w:rFonts w:asciiTheme="minorHAnsi" w:eastAsia="SimSun" w:hAnsiTheme="minorHAnsi"/>
          <w:sz w:val="22"/>
          <w:szCs w:val="20"/>
          <w:lang w:val="en-GB"/>
        </w:rPr>
        <w:t>3</w:t>
      </w:r>
      <w:r w:rsidR="0024488E">
        <w:rPr>
          <w:rFonts w:asciiTheme="minorHAnsi" w:eastAsia="SimSun" w:hAnsiTheme="minorHAnsi"/>
          <w:sz w:val="22"/>
          <w:szCs w:val="20"/>
          <w:lang w:val="en-GB"/>
        </w:rPr>
        <w:t xml:space="preserve"> below. The relay UE is connected to a donor gNB or DU of a higher hop order, while the relay DU serves relay UEs inside IAB nodes of lower hop orders or its own access UEs. As part of initial connection </w:t>
      </w:r>
      <w:r w:rsidR="00052933">
        <w:rPr>
          <w:rFonts w:asciiTheme="minorHAnsi" w:eastAsia="SimSun" w:hAnsiTheme="minorHAnsi"/>
          <w:sz w:val="22"/>
          <w:szCs w:val="20"/>
          <w:lang w:val="en-GB"/>
        </w:rPr>
        <w:t>establishment</w:t>
      </w:r>
      <w:r w:rsidR="0024488E">
        <w:rPr>
          <w:rFonts w:asciiTheme="minorHAnsi" w:eastAsia="SimSun" w:hAnsiTheme="minorHAnsi"/>
          <w:sz w:val="22"/>
          <w:szCs w:val="20"/>
          <w:lang w:val="en-GB"/>
        </w:rPr>
        <w:t xml:space="preserve"> it is expected that the network would become awar</w:t>
      </w:r>
      <w:r w:rsidR="00052933">
        <w:rPr>
          <w:rFonts w:asciiTheme="minorHAnsi" w:eastAsia="SimSun" w:hAnsiTheme="minorHAnsi"/>
          <w:sz w:val="22"/>
          <w:szCs w:val="20"/>
          <w:lang w:val="en-GB"/>
        </w:rPr>
        <w:t>e that a relay UE corresponds to a given IAB node and is not a normal access UE. This would then allow the network to begin the provisioning and setup of the relay DU and incorporate the relay into the backhaul network topology and set up routing functionality as well.</w:t>
      </w:r>
    </w:p>
    <w:p w14:paraId="501D806F" w14:textId="723697E9" w:rsidR="0024488E" w:rsidRDefault="0024488E" w:rsidP="00A32002">
      <w:pPr>
        <w:pStyle w:val="BodyText"/>
        <w:jc w:val="center"/>
        <w:rPr>
          <w:rFonts w:asciiTheme="minorHAnsi" w:eastAsia="SimSun" w:hAnsiTheme="minorHAnsi"/>
          <w:sz w:val="22"/>
          <w:szCs w:val="20"/>
          <w:lang w:val="en-GB"/>
        </w:rPr>
      </w:pPr>
      <w:r>
        <w:rPr>
          <w:rFonts w:asciiTheme="minorHAnsi" w:eastAsia="SimSun" w:hAnsiTheme="minorHAnsi"/>
          <w:noProof/>
          <w:sz w:val="22"/>
          <w:szCs w:val="20"/>
        </w:rPr>
        <w:lastRenderedPageBreak/>
        <w:drawing>
          <wp:inline distT="0" distB="0" distL="0" distR="0" wp14:anchorId="0B6F6BEA" wp14:editId="76A927B0">
            <wp:extent cx="3733800" cy="27451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954" cy="2768824"/>
                    </a:xfrm>
                    <a:prstGeom prst="rect">
                      <a:avLst/>
                    </a:prstGeom>
                    <a:noFill/>
                  </pic:spPr>
                </pic:pic>
              </a:graphicData>
            </a:graphic>
          </wp:inline>
        </w:drawing>
      </w:r>
    </w:p>
    <w:p w14:paraId="1922A9A4" w14:textId="77777777" w:rsidR="0024488E" w:rsidRDefault="0024488E" w:rsidP="0024488E">
      <w:pPr>
        <w:jc w:val="center"/>
        <w:rPr>
          <w:rFonts w:cs="Arial"/>
          <w:b/>
          <w:bCs/>
          <w:color w:val="000000" w:themeColor="text1"/>
        </w:rPr>
      </w:pPr>
      <w:r>
        <w:rPr>
          <w:rFonts w:cs="Arial"/>
          <w:b/>
          <w:bCs/>
          <w:color w:val="000000" w:themeColor="text1"/>
        </w:rPr>
        <w:t>Figure 3: Support for UE mobility in an IAB Scenario</w:t>
      </w:r>
    </w:p>
    <w:p w14:paraId="1DDF1174" w14:textId="77777777" w:rsidR="0024488E" w:rsidRDefault="0024488E" w:rsidP="00A32002">
      <w:pPr>
        <w:pStyle w:val="BodyText"/>
        <w:jc w:val="center"/>
        <w:rPr>
          <w:rFonts w:asciiTheme="minorHAnsi" w:eastAsia="SimSun" w:hAnsiTheme="minorHAnsi"/>
          <w:sz w:val="22"/>
          <w:szCs w:val="20"/>
          <w:lang w:val="en-GB"/>
        </w:rPr>
      </w:pPr>
    </w:p>
    <w:p w14:paraId="1C7CDED7" w14:textId="01B312EE" w:rsidR="00A64511" w:rsidRPr="00AD273C"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The details of th</w:t>
      </w:r>
      <w:r w:rsidR="0024488E">
        <w:rPr>
          <w:rFonts w:asciiTheme="minorHAnsi" w:eastAsia="SimSun" w:hAnsiTheme="minorHAnsi"/>
          <w:sz w:val="22"/>
          <w:szCs w:val="20"/>
          <w:lang w:val="en-GB"/>
        </w:rPr>
        <w:t>e protocol stack and architecture are discussed in [2] and further details of the physical and higher layer design should be discussed in RAN1/2</w:t>
      </w:r>
      <w:r>
        <w:rPr>
          <w:rFonts w:asciiTheme="minorHAnsi" w:eastAsia="SimSun" w:hAnsiTheme="minorHAnsi"/>
          <w:sz w:val="22"/>
          <w:szCs w:val="20"/>
          <w:lang w:val="en-GB"/>
        </w:rPr>
        <w:t>, however it is critical that the RAN architecture options for IAB are also designed in a way that that reuse of exist</w:t>
      </w:r>
      <w:bookmarkStart w:id="3" w:name="_GoBack"/>
      <w:bookmarkEnd w:id="3"/>
      <w:r>
        <w:rPr>
          <w:rFonts w:asciiTheme="minorHAnsi" w:eastAsia="SimSun" w:hAnsiTheme="minorHAnsi"/>
          <w:sz w:val="22"/>
          <w:szCs w:val="20"/>
          <w:lang w:val="en-GB"/>
        </w:rPr>
        <w:t>ing specifications can be maximized as much as possible when appropriate.</w:t>
      </w:r>
    </w:p>
    <w:p w14:paraId="7D7D97B9" w14:textId="3A925617" w:rsidR="00A64511" w:rsidRPr="00834BA1" w:rsidRDefault="00A64511" w:rsidP="00A64511">
      <w:pPr>
        <w:pStyle w:val="maintext"/>
        <w:ind w:firstLineChars="0" w:firstLine="0"/>
        <w:rPr>
          <w:rFonts w:ascii="Calibri" w:hAnsi="Calibri"/>
          <w:b/>
          <w:lang w:val="en-US"/>
        </w:rPr>
      </w:pPr>
      <w:r>
        <w:rPr>
          <w:rFonts w:ascii="Calibri" w:hAnsi="Calibri"/>
          <w:b/>
          <w:bCs/>
          <w:lang w:val="en-US"/>
        </w:rPr>
        <w:t>Proposal 3</w:t>
      </w:r>
      <w:r w:rsidRPr="00834BA1">
        <w:rPr>
          <w:rFonts w:ascii="Calibri" w:hAnsi="Calibri"/>
          <w:lang w:val="en-US"/>
        </w:rPr>
        <w:t xml:space="preserve">: </w:t>
      </w:r>
      <w:r w:rsidRPr="00305AE0">
        <w:rPr>
          <w:rFonts w:ascii="Calibri" w:hAnsi="Calibri"/>
          <w:b/>
          <w:lang w:val="en-US"/>
        </w:rPr>
        <w:t xml:space="preserve">The </w:t>
      </w:r>
      <w:r>
        <w:rPr>
          <w:rFonts w:ascii="Calibri" w:hAnsi="Calibri"/>
          <w:b/>
          <w:lang w:val="en-US"/>
        </w:rPr>
        <w:t>IAB design should study mechanisms for</w:t>
      </w:r>
      <w:r w:rsidRPr="00834BA1">
        <w:rPr>
          <w:rFonts w:ascii="Calibri" w:hAnsi="Calibri"/>
          <w:b/>
          <w:lang w:val="en-US"/>
        </w:rPr>
        <w:t xml:space="preserve"> initial access</w:t>
      </w:r>
      <w:r>
        <w:rPr>
          <w:rFonts w:ascii="Calibri" w:hAnsi="Calibri"/>
          <w:b/>
          <w:lang w:val="en-US"/>
        </w:rPr>
        <w:t xml:space="preserve"> and link management (e.g. </w:t>
      </w:r>
      <w:r w:rsidRPr="00834BA1">
        <w:rPr>
          <w:rFonts w:ascii="Calibri" w:hAnsi="Calibri"/>
          <w:b/>
          <w:lang w:val="en-US"/>
        </w:rPr>
        <w:t>RRM</w:t>
      </w:r>
      <w:r>
        <w:rPr>
          <w:rFonts w:ascii="Calibri" w:hAnsi="Calibri"/>
          <w:b/>
          <w:lang w:val="en-US"/>
        </w:rPr>
        <w:t>/RLM) and basic connection establishment/reconfiguration based on existing procedures and signaling.</w:t>
      </w:r>
      <w:r w:rsidRPr="00834BA1">
        <w:rPr>
          <w:rFonts w:ascii="Calibri" w:hAnsi="Calibri"/>
          <w:b/>
          <w:lang w:val="en-US"/>
        </w:rPr>
        <w:t xml:space="preserve"> </w:t>
      </w:r>
    </w:p>
    <w:p w14:paraId="1BC20CA2" w14:textId="77777777" w:rsidR="00A64511" w:rsidRPr="00A64511" w:rsidRDefault="00A64511" w:rsidP="00A64511">
      <w:pPr>
        <w:rPr>
          <w:lang w:val="en-GB"/>
        </w:rPr>
      </w:pPr>
    </w:p>
    <w:p w14:paraId="79808DC0" w14:textId="52B9CD43" w:rsidR="00C906C3" w:rsidRDefault="00C906C3" w:rsidP="00C906C3">
      <w:pPr>
        <w:pStyle w:val="Heading2"/>
      </w:pPr>
      <w:r>
        <w:t>IAB Topology Management</w:t>
      </w:r>
    </w:p>
    <w:p w14:paraId="4C9976C6" w14:textId="77777777" w:rsidR="00004550" w:rsidRDefault="00004550">
      <w:pPr>
        <w:jc w:val="both"/>
        <w:rPr>
          <w:lang w:val="en-GB"/>
        </w:rPr>
      </w:pPr>
      <w:r w:rsidRPr="00F13188">
        <w:rPr>
          <w:lang w:val="en-GB"/>
        </w:rPr>
        <w:t>For densely deployed mmWave NR systems, the area covered by an NR node can be quite small, so a dense deployment of NR nodes in a given area could require a significantly larger number of deployment sites. There is considerable interest in being able to deploy NR nodes without fiber access to every deployment site. Due to large available bandwidths in mmWave spectrum bands, and the ability to deploy narrow beams using multi-antenna element arrays, it may be more feasible to support self-backhauled links for NR systems operating in mmWave spectrum.</w:t>
      </w:r>
    </w:p>
    <w:p w14:paraId="366E5C6D" w14:textId="1B4F1AC6" w:rsidR="00004550" w:rsidRPr="00F13188" w:rsidRDefault="00004550" w:rsidP="00A32002">
      <w:pPr>
        <w:jc w:val="both"/>
        <w:rPr>
          <w:lang w:val="en-GB"/>
        </w:rPr>
      </w:pPr>
      <w:r w:rsidRPr="00A32002">
        <w:rPr>
          <w:lang w:val="en-GB"/>
        </w:rPr>
        <w:t xml:space="preserve">For NR, the gNB may be functionally split between a centralised PDCP/RRC (gNB-CU) and decentralised RLC/MAC/PHY (gNB-DU) and this may be extended to IAB nodes as well [2]. A new interface between gNB-CU and gNB-DU, called F1, is being specified by RAN3. </w:t>
      </w:r>
      <w:r>
        <w:rPr>
          <w:lang w:val="en-GB"/>
        </w:rPr>
        <w:t xml:space="preserve">Figure </w:t>
      </w:r>
      <w:r w:rsidR="00171424">
        <w:rPr>
          <w:lang w:val="en-GB"/>
        </w:rPr>
        <w:t xml:space="preserve">4 </w:t>
      </w:r>
      <w:r w:rsidRPr="00F13188">
        <w:rPr>
          <w:lang w:val="en-GB"/>
        </w:rPr>
        <w:t>below shows an example scenario where IAB link (self-backhaul links) coul</w:t>
      </w:r>
      <w:r>
        <w:rPr>
          <w:lang w:val="en-GB"/>
        </w:rPr>
        <w:t>d be used to connect multiple IAB DUs DU3 and DU4</w:t>
      </w:r>
      <w:r w:rsidRPr="00F13188">
        <w:rPr>
          <w:lang w:val="en-GB"/>
        </w:rPr>
        <w:t xml:space="preserve"> </w:t>
      </w:r>
      <w:r>
        <w:rPr>
          <w:lang w:val="en-GB"/>
        </w:rPr>
        <w:t xml:space="preserve">(e.g. across one or more hops) </w:t>
      </w:r>
      <w:r w:rsidRPr="00F13188">
        <w:rPr>
          <w:lang w:val="en-GB"/>
        </w:rPr>
        <w:t>to DU1, which has fiber access to th</w:t>
      </w:r>
      <w:r>
        <w:rPr>
          <w:lang w:val="en-GB"/>
        </w:rPr>
        <w:t>e CU. In such a scenario, when the yellow highlighted UE moves from DU2 to DU3 to DU4, if intra-frequency dual connectivity or multi-connectivity is enabled for the UE, it could significantly help in reduction of UP interruption time to achieve mobility with close to zero ms UP interruption.</w:t>
      </w:r>
    </w:p>
    <w:p w14:paraId="42DC9AEA" w14:textId="77777777" w:rsidR="00004550" w:rsidRDefault="00004550" w:rsidP="00004550">
      <w:pPr>
        <w:jc w:val="center"/>
        <w:rPr>
          <w:rFonts w:eastAsiaTheme="minorHAnsi" w:cs="Arial"/>
          <w:color w:val="000000" w:themeColor="text1"/>
        </w:rPr>
      </w:pPr>
      <w:r w:rsidRPr="00F13188">
        <w:rPr>
          <w:rFonts w:ascii="Calibri" w:hAnsi="Calibri" w:cs="Arial"/>
          <w:lang w:val="en-GB"/>
        </w:rPr>
        <w:lastRenderedPageBreak/>
        <w:t xml:space="preserve"> </w:t>
      </w:r>
      <w:r>
        <w:rPr>
          <w:rFonts w:ascii="Calibri" w:hAnsi="Calibri" w:cs="Arial"/>
          <w:noProof/>
        </w:rPr>
        <w:drawing>
          <wp:inline distT="0" distB="0" distL="0" distR="0" wp14:anchorId="4425935E" wp14:editId="62F87AFD">
            <wp:extent cx="3847547" cy="275272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5468" cy="2772701"/>
                    </a:xfrm>
                    <a:prstGeom prst="rect">
                      <a:avLst/>
                    </a:prstGeom>
                    <a:noFill/>
                  </pic:spPr>
                </pic:pic>
              </a:graphicData>
            </a:graphic>
          </wp:inline>
        </w:drawing>
      </w:r>
    </w:p>
    <w:p w14:paraId="242FCA44" w14:textId="4B829EDA" w:rsidR="00004550" w:rsidRDefault="00004550" w:rsidP="00A32002">
      <w:pPr>
        <w:spacing w:after="0"/>
        <w:jc w:val="center"/>
        <w:rPr>
          <w:rFonts w:cs="Arial"/>
          <w:b/>
          <w:bCs/>
          <w:color w:val="000000" w:themeColor="text1"/>
        </w:rPr>
      </w:pPr>
      <w:r>
        <w:rPr>
          <w:rFonts w:cs="Arial"/>
          <w:b/>
          <w:bCs/>
          <w:color w:val="000000" w:themeColor="text1"/>
        </w:rPr>
        <w:t xml:space="preserve">Figure </w:t>
      </w:r>
      <w:r w:rsidR="00171424">
        <w:rPr>
          <w:rFonts w:cs="Arial"/>
          <w:b/>
          <w:bCs/>
          <w:color w:val="000000" w:themeColor="text1"/>
        </w:rPr>
        <w:t>4</w:t>
      </w:r>
      <w:r>
        <w:rPr>
          <w:rFonts w:cs="Arial"/>
          <w:b/>
          <w:bCs/>
          <w:color w:val="000000" w:themeColor="text1"/>
        </w:rPr>
        <w:t>: Support for UE mobility in an IAB Scenario</w:t>
      </w:r>
    </w:p>
    <w:p w14:paraId="18204C92" w14:textId="77777777" w:rsidR="00004550" w:rsidRDefault="00004550" w:rsidP="00004550">
      <w:pPr>
        <w:pStyle w:val="paragraph"/>
        <w:spacing w:before="0" w:beforeAutospacing="0" w:after="0" w:afterAutospacing="0"/>
        <w:textAlignment w:val="baseline"/>
        <w:rPr>
          <w:rFonts w:asciiTheme="minorHAnsi" w:eastAsia="SimSun" w:hAnsiTheme="minorHAnsi"/>
          <w:b/>
          <w:sz w:val="22"/>
          <w:szCs w:val="20"/>
        </w:rPr>
      </w:pPr>
    </w:p>
    <w:p w14:paraId="586F6293" w14:textId="77777777" w:rsidR="00004550" w:rsidRPr="00004550" w:rsidRDefault="00004550" w:rsidP="00004550">
      <w:pPr>
        <w:pStyle w:val="paragraph"/>
        <w:spacing w:before="0" w:beforeAutospacing="0" w:after="0" w:afterAutospacing="0"/>
        <w:textAlignment w:val="baseline"/>
        <w:rPr>
          <w:rFonts w:asciiTheme="minorHAnsi" w:eastAsia="SimSun" w:hAnsiTheme="minorHAnsi"/>
          <w:b/>
          <w:sz w:val="22"/>
          <w:szCs w:val="20"/>
        </w:rPr>
      </w:pPr>
      <w:r w:rsidRPr="00004550">
        <w:rPr>
          <w:rFonts w:asciiTheme="minorHAnsi" w:eastAsia="SimSun" w:hAnsiTheme="minorHAnsi"/>
          <w:b/>
          <w:sz w:val="22"/>
          <w:szCs w:val="20"/>
        </w:rPr>
        <w:t xml:space="preserve">Observation 2: Intra-frequency DC also seems to have the potential to offer reduction in UP interruption time for future deployment scenarios such as integrated access and backhaul. </w:t>
      </w:r>
    </w:p>
    <w:p w14:paraId="06E17916" w14:textId="77777777" w:rsidR="00004550" w:rsidRDefault="00004550" w:rsidP="00A32002">
      <w:pPr>
        <w:pStyle w:val="BodyText"/>
        <w:spacing w:after="0"/>
        <w:rPr>
          <w:rFonts w:asciiTheme="minorHAnsi" w:eastAsia="SimSun" w:hAnsiTheme="minorHAnsi"/>
          <w:sz w:val="22"/>
          <w:szCs w:val="20"/>
          <w:lang w:val="en-GB"/>
        </w:rPr>
      </w:pPr>
    </w:p>
    <w:p w14:paraId="39D2CDB8" w14:textId="2A02B03D" w:rsidR="00A64511" w:rsidRPr="00C76C87" w:rsidRDefault="00A64511" w:rsidP="00A64511">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 xml:space="preserve">As a result, multi-connectivity is a critical feature to support robustness and fast route selection in case of blockage events especially in mmWave bands as shown in Figure </w:t>
      </w:r>
      <w:r w:rsidR="0024488E">
        <w:rPr>
          <w:rFonts w:asciiTheme="minorHAnsi" w:eastAsia="SimSun" w:hAnsiTheme="minorHAnsi"/>
          <w:sz w:val="22"/>
          <w:szCs w:val="20"/>
          <w:lang w:val="en-GB"/>
        </w:rPr>
        <w:t>5</w:t>
      </w:r>
      <w:r w:rsidRPr="008226E4">
        <w:rPr>
          <w:rFonts w:asciiTheme="minorHAnsi" w:eastAsia="SimSun" w:hAnsiTheme="minorHAnsi"/>
          <w:sz w:val="22"/>
          <w:szCs w:val="20"/>
          <w:lang w:val="en-GB"/>
        </w:rPr>
        <w:t>.</w:t>
      </w:r>
      <w:r w:rsidRPr="00E725D9">
        <w:rPr>
          <w:rFonts w:asciiTheme="minorHAnsi" w:eastAsia="SimSun" w:hAnsiTheme="minorHAnsi"/>
          <w:sz w:val="22"/>
          <w:szCs w:val="20"/>
          <w:lang w:val="en-GB"/>
        </w:rPr>
        <w:t xml:space="preserve"> </w:t>
      </w:r>
      <w:r w:rsidRPr="00C76C87">
        <w:rPr>
          <w:rFonts w:asciiTheme="minorHAnsi" w:eastAsia="SimSun" w:hAnsiTheme="minorHAnsi"/>
          <w:sz w:val="22"/>
          <w:szCs w:val="20"/>
          <w:lang w:val="en-GB"/>
        </w:rPr>
        <w:t xml:space="preserve">It is </w:t>
      </w:r>
      <w:r>
        <w:rPr>
          <w:rFonts w:asciiTheme="minorHAnsi" w:eastAsia="SimSun" w:hAnsiTheme="minorHAnsi"/>
          <w:sz w:val="22"/>
          <w:szCs w:val="20"/>
          <w:lang w:val="en-GB"/>
        </w:rPr>
        <w:t xml:space="preserve">noted that </w:t>
      </w:r>
      <w:r w:rsidRPr="00C76C87">
        <w:rPr>
          <w:rFonts w:asciiTheme="minorHAnsi" w:eastAsia="SimSun" w:hAnsiTheme="minorHAnsi"/>
          <w:sz w:val="22"/>
          <w:szCs w:val="20"/>
          <w:lang w:val="en-GB"/>
        </w:rPr>
        <w:t>route</w:t>
      </w:r>
      <w:r>
        <w:rPr>
          <w:rFonts w:asciiTheme="minorHAnsi" w:eastAsia="SimSun" w:hAnsiTheme="minorHAnsi"/>
          <w:sz w:val="22"/>
          <w:szCs w:val="20"/>
          <w:lang w:val="en-GB"/>
        </w:rPr>
        <w:t xml:space="preserve"> adaptation depends on </w:t>
      </w:r>
      <w:r w:rsidRPr="00C76C87">
        <w:rPr>
          <w:rFonts w:asciiTheme="minorHAnsi" w:eastAsia="SimSun" w:hAnsiTheme="minorHAnsi"/>
          <w:sz w:val="22"/>
          <w:szCs w:val="20"/>
          <w:lang w:val="en-GB"/>
        </w:rPr>
        <w:t>multiple</w:t>
      </w:r>
      <w:r>
        <w:rPr>
          <w:rFonts w:asciiTheme="minorHAnsi" w:eastAsia="SimSun" w:hAnsiTheme="minorHAnsi"/>
          <w:sz w:val="22"/>
          <w:szCs w:val="20"/>
          <w:lang w:val="en-GB"/>
        </w:rPr>
        <w:t xml:space="preserve"> factors </w:t>
      </w:r>
      <w:r w:rsidR="0024488E">
        <w:rPr>
          <w:rFonts w:asciiTheme="minorHAnsi" w:eastAsia="SimSun" w:hAnsiTheme="minorHAnsi"/>
          <w:sz w:val="22"/>
          <w:szCs w:val="20"/>
          <w:lang w:val="en-GB"/>
        </w:rPr>
        <w:t xml:space="preserve">such as </w:t>
      </w:r>
      <w:r>
        <w:rPr>
          <w:rFonts w:asciiTheme="minorHAnsi" w:eastAsia="SimSun" w:hAnsiTheme="minorHAnsi"/>
          <w:sz w:val="22"/>
          <w:szCs w:val="20"/>
          <w:lang w:val="en-GB"/>
        </w:rPr>
        <w:t>load</w:t>
      </w:r>
      <w:r w:rsidRPr="00C76C87">
        <w:rPr>
          <w:rFonts w:asciiTheme="minorHAnsi" w:eastAsia="SimSun" w:hAnsiTheme="minorHAnsi"/>
          <w:sz w:val="22"/>
          <w:szCs w:val="20"/>
          <w:lang w:val="en-GB"/>
        </w:rPr>
        <w:t xml:space="preserve"> and propagation variations (e.g. blockage events)</w:t>
      </w:r>
      <w:r w:rsidR="00004550">
        <w:rPr>
          <w:rFonts w:asciiTheme="minorHAnsi" w:eastAsia="SimSun" w:hAnsiTheme="minorHAnsi"/>
          <w:sz w:val="22"/>
          <w:szCs w:val="20"/>
          <w:lang w:val="en-GB"/>
        </w:rPr>
        <w:t xml:space="preserve"> </w:t>
      </w:r>
      <w:r w:rsidR="0024488E">
        <w:rPr>
          <w:rFonts w:asciiTheme="minorHAnsi" w:eastAsia="SimSun" w:hAnsiTheme="minorHAnsi"/>
          <w:sz w:val="22"/>
          <w:szCs w:val="20"/>
          <w:lang w:val="en-GB"/>
        </w:rPr>
        <w:t>discussed</w:t>
      </w:r>
      <w:r w:rsidR="00004550">
        <w:rPr>
          <w:rFonts w:asciiTheme="minorHAnsi" w:eastAsia="SimSun" w:hAnsiTheme="minorHAnsi"/>
          <w:sz w:val="22"/>
          <w:szCs w:val="20"/>
          <w:lang w:val="en-GB"/>
        </w:rPr>
        <w:t xml:space="preserve"> in the </w:t>
      </w:r>
      <w:r w:rsidR="0024488E">
        <w:rPr>
          <w:rFonts w:asciiTheme="minorHAnsi" w:eastAsia="SimSun" w:hAnsiTheme="minorHAnsi"/>
          <w:sz w:val="22"/>
          <w:szCs w:val="20"/>
          <w:lang w:val="en-GB"/>
        </w:rPr>
        <w:t xml:space="preserve">next </w:t>
      </w:r>
      <w:r w:rsidR="00004550">
        <w:rPr>
          <w:rFonts w:asciiTheme="minorHAnsi" w:eastAsia="SimSun" w:hAnsiTheme="minorHAnsi"/>
          <w:sz w:val="22"/>
          <w:szCs w:val="20"/>
          <w:lang w:val="en-GB"/>
        </w:rPr>
        <w:t>section</w:t>
      </w:r>
      <w:r w:rsidRPr="00C76C87">
        <w:rPr>
          <w:rFonts w:asciiTheme="minorHAnsi" w:eastAsia="SimSun" w:hAnsiTheme="minorHAnsi"/>
          <w:sz w:val="22"/>
          <w:szCs w:val="20"/>
          <w:lang w:val="en-GB"/>
        </w:rPr>
        <w:t xml:space="preserve">. </w:t>
      </w:r>
    </w:p>
    <w:p w14:paraId="672ACC0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6FE32879" w14:textId="77777777" w:rsidR="00A64511" w:rsidRDefault="00A64511" w:rsidP="00A64511">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1D189386" wp14:editId="4CF2C010">
            <wp:extent cx="2524125" cy="312720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3411" cy="3262600"/>
                    </a:xfrm>
                    <a:prstGeom prst="rect">
                      <a:avLst/>
                    </a:prstGeom>
                    <a:noFill/>
                  </pic:spPr>
                </pic:pic>
              </a:graphicData>
            </a:graphic>
          </wp:inline>
        </w:drawing>
      </w:r>
    </w:p>
    <w:p w14:paraId="78949FAB" w14:textId="5ECEA898" w:rsidR="00A64511" w:rsidRPr="00D25F6D" w:rsidRDefault="00A64511" w:rsidP="00A64511">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 xml:space="preserve">Figure </w:t>
      </w:r>
      <w:r w:rsidR="0024488E">
        <w:rPr>
          <w:rFonts w:asciiTheme="minorHAnsi" w:eastAsia="SimSun" w:hAnsiTheme="minorHAnsi"/>
          <w:b/>
          <w:sz w:val="22"/>
          <w:szCs w:val="20"/>
        </w:rPr>
        <w:t>5</w:t>
      </w:r>
      <w:r>
        <w:rPr>
          <w:rFonts w:asciiTheme="minorHAnsi" w:eastAsia="SimSun" w:hAnsiTheme="minorHAnsi"/>
          <w:b/>
          <w:sz w:val="22"/>
          <w:szCs w:val="20"/>
        </w:rPr>
        <w:t>: Multi-connectivity for IAB</w:t>
      </w:r>
    </w:p>
    <w:p w14:paraId="78BE4AB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37466352" w14:textId="77777777"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p>
    <w:p w14:paraId="65698B79" w14:textId="386249DE"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7D3917">
        <w:rPr>
          <w:rFonts w:asciiTheme="minorHAnsi" w:eastAsia="SimSun" w:hAnsiTheme="minorHAnsi"/>
          <w:b/>
          <w:sz w:val="22"/>
          <w:szCs w:val="20"/>
        </w:rPr>
        <w:t>4</w:t>
      </w:r>
      <w:r w:rsidRPr="00B63945">
        <w:rPr>
          <w:rFonts w:asciiTheme="minorHAnsi" w:eastAsia="SimSun" w:hAnsiTheme="minorHAnsi"/>
          <w:b/>
          <w:sz w:val="22"/>
          <w:szCs w:val="20"/>
        </w:rPr>
        <w:t>: The IAB design should support mechanisms for multi-connectivity for topology</w:t>
      </w:r>
      <w:r w:rsidR="007D3917">
        <w:rPr>
          <w:rFonts w:asciiTheme="minorHAnsi" w:eastAsia="SimSun" w:hAnsiTheme="minorHAnsi"/>
          <w:b/>
          <w:sz w:val="22"/>
          <w:szCs w:val="20"/>
        </w:rPr>
        <w:t xml:space="preserve"> and route</w:t>
      </w:r>
      <w:r w:rsidRPr="00B63945">
        <w:rPr>
          <w:rFonts w:asciiTheme="minorHAnsi" w:eastAsia="SimSun" w:hAnsiTheme="minorHAnsi"/>
          <w:b/>
          <w:sz w:val="22"/>
          <w:szCs w:val="20"/>
        </w:rPr>
        <w:t xml:space="preserve"> management.</w:t>
      </w:r>
    </w:p>
    <w:p w14:paraId="13A1095C" w14:textId="77777777" w:rsidR="00C906C3" w:rsidRDefault="00C906C3" w:rsidP="00C906C3">
      <w:pPr>
        <w:pStyle w:val="Heading2"/>
      </w:pPr>
      <w:r>
        <w:lastRenderedPageBreak/>
        <w:t>IAB Route Selection</w:t>
      </w:r>
    </w:p>
    <w:p w14:paraId="57E1D5F7" w14:textId="42EF767E" w:rsidR="007D3917" w:rsidRDefault="003F55AE" w:rsidP="00A32002">
      <w:pPr>
        <w:jc w:val="both"/>
      </w:pPr>
      <w:r>
        <w:t>At mmWave frequencies, the channel experienced by a UE may suffer from blockage events that could result in sudden sharp drops in signal strength (of the order of 30 dB) due to physical objects blocking the UE-TRP link</w:t>
      </w:r>
      <w:r w:rsidR="003320E0">
        <w:t xml:space="preserve"> as shown in Figure </w:t>
      </w:r>
      <w:r w:rsidR="00171424">
        <w:t>6</w:t>
      </w:r>
      <w:r>
        <w:t>. It was shown in [</w:t>
      </w:r>
      <w:r w:rsidR="003320E0">
        <w:t>3</w:t>
      </w:r>
      <w:r>
        <w:t>] b</w:t>
      </w:r>
      <w:r>
        <w:rPr>
          <w:rFonts w:ascii="Calibri" w:hAnsi="Calibri"/>
        </w:rPr>
        <w:t>ased on Blockage Model A (UMi) described in the NR channel model TR 38.900, that for a 30 km/hr blocker velocity, the mean blockage duration of a single blockage event is 600 ms.</w:t>
      </w:r>
      <w:r w:rsidRPr="0064482B">
        <w:t xml:space="preserve"> </w:t>
      </w:r>
    </w:p>
    <w:p w14:paraId="2AD0DFD6" w14:textId="0DDA3FC6" w:rsidR="003F55AE" w:rsidRDefault="003320E0" w:rsidP="00A32002">
      <w:pPr>
        <w:jc w:val="both"/>
      </w:pPr>
      <w:r>
        <w:t>It was also shown in [4</w:t>
      </w:r>
      <w:r w:rsidR="003F55AE">
        <w:t>] that when a UE could be served by beams from 3 TRPs, the mean duration between inter-TRP beam switches could be about 2.56 seconds. These estimates indicate that a UE could potentially experience frequent beam failure events due to blockage, potentially resulting in frequent beam switches.</w:t>
      </w:r>
    </w:p>
    <w:p w14:paraId="2A27EE95" w14:textId="77777777" w:rsidR="003F55AE" w:rsidRDefault="003F55AE" w:rsidP="003F55AE">
      <w:pPr>
        <w:jc w:val="center"/>
        <w:rPr>
          <w:rFonts w:ascii="Calibri" w:hAnsi="Calibri"/>
        </w:rPr>
      </w:pPr>
      <w:r>
        <w:rPr>
          <w:rFonts w:ascii="Calibri" w:hAnsi="Calibri"/>
          <w:noProof/>
        </w:rPr>
        <w:drawing>
          <wp:inline distT="0" distB="0" distL="0" distR="0" wp14:anchorId="4F071E3E" wp14:editId="5F20130D">
            <wp:extent cx="3306868" cy="25579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575" cy="2563924"/>
                    </a:xfrm>
                    <a:prstGeom prst="rect">
                      <a:avLst/>
                    </a:prstGeom>
                    <a:noFill/>
                  </pic:spPr>
                </pic:pic>
              </a:graphicData>
            </a:graphic>
          </wp:inline>
        </w:drawing>
      </w:r>
      <w:r>
        <w:rPr>
          <w:rFonts w:ascii="Calibri" w:hAnsi="Calibri"/>
        </w:rPr>
        <w:t>.</w:t>
      </w:r>
    </w:p>
    <w:p w14:paraId="58F89BCD" w14:textId="0C09F375" w:rsidR="003F55AE" w:rsidRPr="003F55AE" w:rsidRDefault="003F55AE" w:rsidP="003F55AE">
      <w:pPr>
        <w:pStyle w:val="maintext"/>
        <w:ind w:firstLineChars="0" w:firstLine="0"/>
        <w:jc w:val="center"/>
        <w:rPr>
          <w:rFonts w:ascii="Calibri" w:hAnsi="Calibri"/>
          <w:b/>
        </w:rPr>
      </w:pPr>
      <w:r w:rsidRPr="003F55AE">
        <w:rPr>
          <w:rFonts w:ascii="Calibri" w:hAnsi="Calibri"/>
          <w:b/>
        </w:rPr>
        <w:t xml:space="preserve">Figure </w:t>
      </w:r>
      <w:r w:rsidR="00171424">
        <w:rPr>
          <w:rFonts w:ascii="Calibri" w:hAnsi="Calibri"/>
          <w:b/>
        </w:rPr>
        <w:t>6</w:t>
      </w:r>
      <w:r w:rsidRPr="003F55AE">
        <w:rPr>
          <w:rFonts w:ascii="Calibri" w:hAnsi="Calibri"/>
          <w:b/>
        </w:rPr>
        <w:t>: NR deployment based on gNB UP functional split</w:t>
      </w:r>
    </w:p>
    <w:p w14:paraId="1D980B9F" w14:textId="71C58FAE" w:rsidR="003320E0" w:rsidRPr="00A32002" w:rsidRDefault="003320E0">
      <w:pPr>
        <w:pStyle w:val="BodyText"/>
        <w:rPr>
          <w:rFonts w:asciiTheme="minorHAnsi" w:eastAsia="SimSun" w:hAnsiTheme="minorHAnsi"/>
          <w:sz w:val="22"/>
          <w:szCs w:val="20"/>
        </w:rPr>
      </w:pPr>
      <w:r w:rsidRPr="00A32002">
        <w:rPr>
          <w:rFonts w:asciiTheme="minorHAnsi" w:eastAsia="SimSun" w:hAnsiTheme="minorHAnsi"/>
          <w:sz w:val="22"/>
          <w:szCs w:val="20"/>
        </w:rPr>
        <w:t>As a result another key IAB requirement is support for low-latency control and data planes to accommodate dynamic route selection (faster than RRC time scales) and latency-sensitive traffic. This is required for operation at mmWave frequencies to find an alternate route to the UE when the current route is blocked. Since blocking in mmWave happens over short time-scales, this constraint should be considered as an integral part of the IAB design and mechanisms for blockage and load-aware route selection should be studied.</w:t>
      </w:r>
    </w:p>
    <w:p w14:paraId="379D2485" w14:textId="3E5CCF2F" w:rsidR="003F55AE" w:rsidRDefault="003320E0" w:rsidP="00A32002">
      <w:pPr>
        <w:jc w:val="both"/>
      </w:pPr>
      <w:r>
        <w:t>For example d</w:t>
      </w:r>
      <w:r w:rsidR="003F55AE">
        <w:t xml:space="preserve">ynamically determining flow </w:t>
      </w:r>
      <w:r>
        <w:t>control mechanisms can be utilized to determine the routing of traffic across different links and u</w:t>
      </w:r>
      <w:r w:rsidR="003F55AE">
        <w:t xml:space="preserve">pon beam failure </w:t>
      </w:r>
      <w:r>
        <w:t xml:space="preserve">events </w:t>
      </w:r>
      <w:r w:rsidR="003F55AE">
        <w:t xml:space="preserve">as described above, </w:t>
      </w:r>
      <w:r>
        <w:t xml:space="preserve">utilization of </w:t>
      </w:r>
      <w:r w:rsidR="003F55AE">
        <w:t xml:space="preserve">fast centralized retransmissions of lost RLC PDUs </w:t>
      </w:r>
      <w:r>
        <w:t xml:space="preserve">which are supported by NR </w:t>
      </w:r>
      <w:r w:rsidR="003F55AE">
        <w:t xml:space="preserve">[6] may be performed </w:t>
      </w:r>
      <w:r>
        <w:t>across different multi-connectivity legs</w:t>
      </w:r>
      <w:r w:rsidR="003F55AE">
        <w:t xml:space="preserve"> to quickly recover from failed transmissions.</w:t>
      </w:r>
    </w:p>
    <w:p w14:paraId="26391385" w14:textId="031395F2" w:rsidR="007D3917" w:rsidRDefault="007D3917" w:rsidP="007D3917">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Proposal 5</w:t>
      </w:r>
      <w:r w:rsidRPr="00B63945">
        <w:rPr>
          <w:rFonts w:asciiTheme="minorHAnsi" w:eastAsia="SimSun" w:hAnsiTheme="minorHAnsi"/>
          <w:b/>
          <w:sz w:val="22"/>
          <w:szCs w:val="20"/>
        </w:rPr>
        <w:t xml:space="preserve">: The IAB design should </w:t>
      </w:r>
      <w:r>
        <w:rPr>
          <w:rFonts w:asciiTheme="minorHAnsi" w:eastAsia="SimSun" w:hAnsiTheme="minorHAnsi"/>
          <w:b/>
          <w:sz w:val="22"/>
          <w:szCs w:val="20"/>
        </w:rPr>
        <w:t xml:space="preserve">study </w:t>
      </w:r>
      <w:r w:rsidRPr="007D3917">
        <w:rPr>
          <w:rFonts w:asciiTheme="minorHAnsi" w:eastAsia="SimSun" w:hAnsiTheme="minorHAnsi"/>
          <w:b/>
          <w:sz w:val="22"/>
          <w:szCs w:val="20"/>
        </w:rPr>
        <w:t>route switching based on intra-frequency multi-connectivity</w:t>
      </w:r>
      <w:r>
        <w:rPr>
          <w:rFonts w:asciiTheme="minorHAnsi" w:eastAsia="SimSun" w:hAnsiTheme="minorHAnsi"/>
          <w:b/>
          <w:sz w:val="22"/>
          <w:szCs w:val="20"/>
        </w:rPr>
        <w:t xml:space="preserve"> which leverage existing NR solutions</w:t>
      </w:r>
      <w:r w:rsidRPr="007D3917">
        <w:rPr>
          <w:rFonts w:asciiTheme="minorHAnsi" w:eastAsia="SimSun" w:hAnsiTheme="minorHAnsi"/>
          <w:b/>
          <w:sz w:val="22"/>
          <w:szCs w:val="20"/>
        </w:rPr>
        <w:t xml:space="preserve"> of fast centralized retransmission of pending PDCP PDUs</w:t>
      </w:r>
      <w:r w:rsidRPr="00B63945">
        <w:rPr>
          <w:rFonts w:asciiTheme="minorHAnsi" w:eastAsia="SimSun" w:hAnsiTheme="minorHAnsi"/>
          <w:b/>
          <w:sz w:val="22"/>
          <w:szCs w:val="20"/>
        </w:rPr>
        <w:t>.</w:t>
      </w:r>
    </w:p>
    <w:p w14:paraId="053C9327" w14:textId="1AFD901E" w:rsidR="00C906C3" w:rsidRPr="008226E4" w:rsidRDefault="00C906C3" w:rsidP="008226E4">
      <w:pPr>
        <w:pStyle w:val="BodyText"/>
        <w:rPr>
          <w:rFonts w:asciiTheme="minorHAnsi" w:eastAsia="SimSun" w:hAnsiTheme="minorHAnsi"/>
          <w:sz w:val="22"/>
          <w:szCs w:val="20"/>
          <w:lang w:val="en-GB"/>
        </w:rPr>
      </w:pPr>
    </w:p>
    <w:p w14:paraId="70C82586" w14:textId="6A5BE23B" w:rsidR="008D04DC" w:rsidRDefault="007C3145" w:rsidP="008D04DC">
      <w:pPr>
        <w:pStyle w:val="Heading1"/>
      </w:pPr>
      <w:r>
        <w:t>Conclusion</w:t>
      </w:r>
    </w:p>
    <w:p w14:paraId="5D3F33F4" w14:textId="50B572E1" w:rsidR="00F35C83" w:rsidRPr="008226E4" w:rsidRDefault="00A7768F" w:rsidP="00F35C83">
      <w:pPr>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3F55AE">
        <w:rPr>
          <w:lang w:val="en-GB"/>
        </w:rPr>
        <w:t>requirements and solutions for supporting IAB node discovery, route selection, and topology management</w:t>
      </w:r>
      <w:r w:rsidR="00B63945">
        <w:rPr>
          <w:lang w:val="en-GB"/>
        </w:rPr>
        <w:t xml:space="preserve"> which should be considered as part of the study item</w:t>
      </w:r>
      <w:r w:rsidR="004373B3">
        <w:rPr>
          <w:lang w:val="en-GB"/>
        </w:rPr>
        <w:t>.</w:t>
      </w:r>
      <w:r>
        <w:rPr>
          <w:lang w:val="en-GB"/>
        </w:rPr>
        <w:t xml:space="preserve"> The following </w:t>
      </w:r>
      <w:r w:rsidR="0055311C">
        <w:rPr>
          <w:lang w:val="en-GB"/>
        </w:rPr>
        <w:t>proposal</w:t>
      </w:r>
      <w:r w:rsidR="004373B3">
        <w:rPr>
          <w:lang w:val="en-GB"/>
        </w:rPr>
        <w:t>s</w:t>
      </w:r>
      <w:r w:rsidR="00684402">
        <w:rPr>
          <w:lang w:val="en-GB"/>
        </w:rPr>
        <w:t xml:space="preserve"> are offered for consideration</w:t>
      </w:r>
      <w:r w:rsidR="00EF3B5D">
        <w:rPr>
          <w:lang w:val="en-GB"/>
        </w:rPr>
        <w:t>:</w:t>
      </w:r>
    </w:p>
    <w:p w14:paraId="3C13E850" w14:textId="77777777" w:rsidR="007D3917" w:rsidRPr="00A64511" w:rsidRDefault="007D3917" w:rsidP="007D3917">
      <w:pPr>
        <w:pStyle w:val="BodyText"/>
        <w:rPr>
          <w:rFonts w:asciiTheme="minorHAnsi" w:eastAsia="SimSun" w:hAnsiTheme="minorHAnsi"/>
          <w:b/>
          <w:sz w:val="22"/>
          <w:szCs w:val="20"/>
        </w:rPr>
      </w:pPr>
      <w:r w:rsidRPr="00A64511">
        <w:rPr>
          <w:rFonts w:asciiTheme="minorHAnsi" w:eastAsia="SimSun" w:hAnsiTheme="minorHAnsi"/>
          <w:b/>
          <w:bCs/>
          <w:sz w:val="22"/>
          <w:szCs w:val="20"/>
        </w:rPr>
        <w:lastRenderedPageBreak/>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47BE2029" w14:textId="77777777" w:rsidR="007D3917" w:rsidRPr="0031677E" w:rsidRDefault="007D3917" w:rsidP="007D3917">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6E89E915" w14:textId="77777777" w:rsidR="007D3917" w:rsidRPr="007D3917" w:rsidRDefault="007D3917" w:rsidP="007D3917">
      <w:pPr>
        <w:pStyle w:val="BodyText"/>
        <w:rPr>
          <w:rFonts w:asciiTheme="minorHAnsi" w:eastAsia="SimSun" w:hAnsiTheme="minorHAnsi"/>
          <w:b/>
          <w:sz w:val="22"/>
          <w:szCs w:val="20"/>
          <w:lang w:val="en-GB"/>
        </w:rPr>
      </w:pPr>
      <w:r>
        <w:rPr>
          <w:rFonts w:ascii="Calibri" w:hAnsi="Calibri"/>
          <w:b/>
          <w:bCs/>
        </w:rPr>
        <w:t>Proposal 3</w:t>
      </w:r>
      <w:r w:rsidRPr="00834BA1">
        <w:rPr>
          <w:rFonts w:ascii="Calibri" w:eastAsia="Malgun Gothic" w:hAnsi="Calibri" w:cs="Batang"/>
          <w:szCs w:val="22"/>
          <w:lang w:eastAsia="ko-KR"/>
        </w:rPr>
        <w:t xml:space="preserve">: </w:t>
      </w:r>
      <w:r w:rsidRPr="007D3917">
        <w:rPr>
          <w:rFonts w:asciiTheme="minorHAnsi" w:eastAsia="SimSun" w:hAnsiTheme="minorHAnsi"/>
          <w:b/>
          <w:sz w:val="22"/>
          <w:szCs w:val="20"/>
          <w:lang w:val="en-GB"/>
        </w:rPr>
        <w:t xml:space="preserve">The IAB design should study mechanisms for initial access and link management (e.g. RRM/RLM) and basic connection establishment/reconfiguration based on existing procedures and signaling. </w:t>
      </w:r>
    </w:p>
    <w:p w14:paraId="7BCB0A8C" w14:textId="77777777"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Proposal 4: The IAB design should support mechanisms for multi-connectivity for topology and route management.</w:t>
      </w:r>
    </w:p>
    <w:p w14:paraId="481946B9" w14:textId="77777777"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Proposal 5: The IAB design should study route switching based on intra-frequency multi-connectivity which leverage existing NR solutions of fast centralized retransmission of pending PDCP PDUs.</w:t>
      </w:r>
    </w:p>
    <w:p w14:paraId="1E9E18E8" w14:textId="77777777" w:rsidR="00291DC2" w:rsidRPr="00723119" w:rsidRDefault="00291DC2" w:rsidP="000303D7">
      <w:pPr>
        <w:rPr>
          <w:b/>
          <w:lang w:val="en-GB"/>
        </w:rPr>
      </w:pPr>
    </w:p>
    <w:p w14:paraId="3C099C76" w14:textId="62C428B7" w:rsidR="00AF2C72" w:rsidRPr="006B13A0" w:rsidRDefault="00AF2C72" w:rsidP="006B13A0">
      <w:pPr>
        <w:pStyle w:val="Heading1"/>
      </w:pPr>
      <w:r>
        <w:t>Reference</w:t>
      </w:r>
      <w:r w:rsidR="007D3917">
        <w:t>s</w:t>
      </w:r>
    </w:p>
    <w:p w14:paraId="671A3137" w14:textId="3EFEF7FB" w:rsidR="007D3917" w:rsidRDefault="0064521D"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RP-17</w:t>
      </w:r>
      <w:r w:rsidR="00F632AB">
        <w:rPr>
          <w:rFonts w:cs="Times New Roman"/>
          <w:lang w:eastAsia="ko-KR"/>
        </w:rPr>
        <w:t>22</w:t>
      </w:r>
      <w:r w:rsidR="002B0253">
        <w:rPr>
          <w:rFonts w:cs="Times New Roman"/>
          <w:lang w:eastAsia="ko-KR"/>
        </w:rPr>
        <w:t>9</w:t>
      </w:r>
      <w:r w:rsidR="00F632AB">
        <w:rPr>
          <w:rFonts w:cs="Times New Roman"/>
          <w:lang w:eastAsia="ko-KR"/>
        </w:rPr>
        <w:t>0</w:t>
      </w:r>
      <w:r>
        <w:rPr>
          <w:rFonts w:cs="Times New Roman"/>
          <w:lang w:eastAsia="ko-KR"/>
        </w:rPr>
        <w:t>, Study on Integrated Access and Backhaul for NR, AT&amp;T, Qualcomm, Samsung.</w:t>
      </w:r>
    </w:p>
    <w:p w14:paraId="7E1747BD" w14:textId="726F78FD" w:rsidR="007D3917" w:rsidRPr="007D3917" w:rsidRDefault="007D3917" w:rsidP="00DC203E">
      <w:pPr>
        <w:pStyle w:val="2222"/>
        <w:numPr>
          <w:ilvl w:val="0"/>
          <w:numId w:val="3"/>
        </w:numPr>
        <w:spacing w:after="120" w:line="288" w:lineRule="auto"/>
        <w:ind w:left="360" w:firstLineChars="0"/>
        <w:jc w:val="left"/>
        <w:rPr>
          <w:rFonts w:cs="Times New Roman"/>
          <w:lang w:eastAsia="ko-KR"/>
        </w:rPr>
      </w:pPr>
      <w:r w:rsidRPr="007D3917">
        <w:rPr>
          <w:rFonts w:cs="Times New Roman"/>
          <w:lang w:eastAsia="ko-KR"/>
        </w:rPr>
        <w:t>R3-18</w:t>
      </w:r>
      <w:r w:rsidR="00E70EDB">
        <w:rPr>
          <w:rFonts w:cs="Times New Roman"/>
          <w:lang w:eastAsia="ko-KR"/>
        </w:rPr>
        <w:t>1345</w:t>
      </w:r>
      <w:r w:rsidRPr="007D3917">
        <w:rPr>
          <w:rFonts w:cs="Times New Roman"/>
          <w:lang w:eastAsia="ko-KR"/>
        </w:rPr>
        <w:t>, L2-based multi-hop architecture to support IAB architecture requirements</w:t>
      </w:r>
      <w:r>
        <w:rPr>
          <w:rFonts w:cs="Times New Roman"/>
          <w:lang w:eastAsia="ko-KR"/>
        </w:rPr>
        <w:t xml:space="preserve">, </w:t>
      </w:r>
      <w:r w:rsidRPr="007D3917">
        <w:rPr>
          <w:rFonts w:cs="Times New Roman"/>
          <w:lang w:eastAsia="ko-KR"/>
        </w:rPr>
        <w:t xml:space="preserve">AT&amp;T </w:t>
      </w:r>
    </w:p>
    <w:p w14:paraId="3122E47D" w14:textId="5E280C07" w:rsidR="007D3917" w:rsidRDefault="007D3917" w:rsidP="00DC203E">
      <w:pPr>
        <w:pStyle w:val="2222"/>
        <w:numPr>
          <w:ilvl w:val="0"/>
          <w:numId w:val="2"/>
        </w:numPr>
        <w:spacing w:after="120" w:line="288" w:lineRule="auto"/>
        <w:ind w:left="357" w:firstLineChars="0" w:hanging="357"/>
        <w:rPr>
          <w:rFonts w:eastAsia="Batang" w:cs="Times New Roman"/>
          <w:lang w:eastAsia="zh-CN"/>
        </w:rPr>
      </w:pPr>
      <w:r w:rsidRPr="00990A43">
        <w:rPr>
          <w:rFonts w:cs="Times New Roman"/>
          <w:lang w:eastAsia="ko-KR"/>
        </w:rPr>
        <w:t>R2-</w:t>
      </w:r>
      <w:r w:rsidRPr="00E278E8">
        <w:rPr>
          <w:rFonts w:eastAsia="Batang" w:cs="Times New Roman"/>
          <w:lang w:eastAsia="zh-CN"/>
        </w:rPr>
        <w:t>170</w:t>
      </w:r>
      <w:r>
        <w:rPr>
          <w:rFonts w:eastAsia="Batang" w:cs="Times New Roman"/>
          <w:lang w:eastAsia="zh-CN"/>
        </w:rPr>
        <w:t>4487</w:t>
      </w:r>
      <w:r w:rsidRPr="00E278E8">
        <w:rPr>
          <w:rFonts w:eastAsia="Batang" w:cs="Times New Roman"/>
          <w:lang w:eastAsia="zh-CN"/>
        </w:rPr>
        <w:t>, Beam Failure (BF) and Radio Link Interruption (RLI), AT&amp;T</w:t>
      </w:r>
    </w:p>
    <w:p w14:paraId="30141D99" w14:textId="77777777" w:rsidR="007D3917" w:rsidRDefault="007D3917"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R3-173235, Mechanism for fast retransmission of lost PDUs, Ericsson, AT&amp;T</w:t>
      </w:r>
    </w:p>
    <w:p w14:paraId="07F471C2" w14:textId="3AE653A0" w:rsidR="007D3917" w:rsidRDefault="007D3917" w:rsidP="007D3917">
      <w:pPr>
        <w:pStyle w:val="2222"/>
        <w:spacing w:after="120" w:line="288" w:lineRule="auto"/>
        <w:ind w:firstLineChars="0" w:firstLine="0"/>
        <w:jc w:val="left"/>
        <w:rPr>
          <w:rFonts w:cs="Times New Roman"/>
          <w:lang w:eastAsia="ko-KR"/>
        </w:rPr>
      </w:pPr>
    </w:p>
    <w:p w14:paraId="6A7F5C67" w14:textId="14524487" w:rsidR="00CA3E7B" w:rsidRDefault="00CA3E7B" w:rsidP="002E3614">
      <w:pPr>
        <w:pStyle w:val="2222"/>
        <w:spacing w:after="120" w:line="288" w:lineRule="auto"/>
        <w:ind w:firstLineChars="0" w:firstLine="0"/>
        <w:jc w:val="left"/>
        <w:rPr>
          <w:rFonts w:cs="Times New Roman"/>
          <w:lang w:eastAsia="ko-KR"/>
        </w:rPr>
      </w:pP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37EEC" w14:textId="77777777" w:rsidR="00EE3C33" w:rsidRDefault="00EE3C33" w:rsidP="00A03DF3">
      <w:pPr>
        <w:spacing w:after="0"/>
      </w:pPr>
      <w:r>
        <w:separator/>
      </w:r>
    </w:p>
  </w:endnote>
  <w:endnote w:type="continuationSeparator" w:id="0">
    <w:p w14:paraId="1B387BCC" w14:textId="77777777" w:rsidR="00EE3C33" w:rsidRDefault="00EE3C3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F11DD8"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3200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2002">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853EB" w14:textId="77777777" w:rsidR="00EE3C33" w:rsidRDefault="00EE3C33" w:rsidP="00A03DF3">
      <w:pPr>
        <w:spacing w:after="0"/>
      </w:pPr>
      <w:r>
        <w:separator/>
      </w:r>
    </w:p>
  </w:footnote>
  <w:footnote w:type="continuationSeparator" w:id="0">
    <w:p w14:paraId="6D87838F" w14:textId="77777777" w:rsidR="00EE3C33" w:rsidRDefault="00EE3C3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04550"/>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2933"/>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44F3"/>
    <w:rsid w:val="000D6F3C"/>
    <w:rsid w:val="000D7B19"/>
    <w:rsid w:val="000E201B"/>
    <w:rsid w:val="000E4677"/>
    <w:rsid w:val="000E7D06"/>
    <w:rsid w:val="000F0E8F"/>
    <w:rsid w:val="000F70D6"/>
    <w:rsid w:val="001001EF"/>
    <w:rsid w:val="001026C3"/>
    <w:rsid w:val="00104F96"/>
    <w:rsid w:val="00105963"/>
    <w:rsid w:val="00107EBD"/>
    <w:rsid w:val="00112BF4"/>
    <w:rsid w:val="00112D15"/>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1424"/>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5C93"/>
    <w:rsid w:val="001D4912"/>
    <w:rsid w:val="001D502E"/>
    <w:rsid w:val="001D7377"/>
    <w:rsid w:val="001E0FE1"/>
    <w:rsid w:val="001E7A26"/>
    <w:rsid w:val="001F0EBA"/>
    <w:rsid w:val="001F778C"/>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488E"/>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91DC2"/>
    <w:rsid w:val="002947BA"/>
    <w:rsid w:val="00294E72"/>
    <w:rsid w:val="002A0EC8"/>
    <w:rsid w:val="002A443F"/>
    <w:rsid w:val="002B0253"/>
    <w:rsid w:val="002B113B"/>
    <w:rsid w:val="002B26F8"/>
    <w:rsid w:val="002B6ADF"/>
    <w:rsid w:val="002C49F0"/>
    <w:rsid w:val="002D0E77"/>
    <w:rsid w:val="002D1D49"/>
    <w:rsid w:val="002D566F"/>
    <w:rsid w:val="002D6FB7"/>
    <w:rsid w:val="002E026C"/>
    <w:rsid w:val="002E3614"/>
    <w:rsid w:val="002E37DE"/>
    <w:rsid w:val="002F0C46"/>
    <w:rsid w:val="002F1B33"/>
    <w:rsid w:val="002F3FC4"/>
    <w:rsid w:val="00301F11"/>
    <w:rsid w:val="00303721"/>
    <w:rsid w:val="00304012"/>
    <w:rsid w:val="00305AE0"/>
    <w:rsid w:val="00305BD0"/>
    <w:rsid w:val="0031220B"/>
    <w:rsid w:val="00312297"/>
    <w:rsid w:val="00316619"/>
    <w:rsid w:val="0031677E"/>
    <w:rsid w:val="00317DDA"/>
    <w:rsid w:val="00320BD0"/>
    <w:rsid w:val="00323D1C"/>
    <w:rsid w:val="003246F3"/>
    <w:rsid w:val="003266DD"/>
    <w:rsid w:val="0033045D"/>
    <w:rsid w:val="00331DD7"/>
    <w:rsid w:val="003320E0"/>
    <w:rsid w:val="00332CC0"/>
    <w:rsid w:val="003336FC"/>
    <w:rsid w:val="003346E4"/>
    <w:rsid w:val="00337899"/>
    <w:rsid w:val="00337FAE"/>
    <w:rsid w:val="00340D03"/>
    <w:rsid w:val="0034274F"/>
    <w:rsid w:val="00343D0D"/>
    <w:rsid w:val="003547D5"/>
    <w:rsid w:val="003572C1"/>
    <w:rsid w:val="00363E20"/>
    <w:rsid w:val="0036606A"/>
    <w:rsid w:val="0037404F"/>
    <w:rsid w:val="00374EB9"/>
    <w:rsid w:val="00375AB6"/>
    <w:rsid w:val="00376A4C"/>
    <w:rsid w:val="003778D9"/>
    <w:rsid w:val="00377A07"/>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B6E4C"/>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55A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609F"/>
    <w:rsid w:val="004678E8"/>
    <w:rsid w:val="00470821"/>
    <w:rsid w:val="00477A4A"/>
    <w:rsid w:val="00484322"/>
    <w:rsid w:val="00484487"/>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261"/>
    <w:rsid w:val="004C157C"/>
    <w:rsid w:val="004C2348"/>
    <w:rsid w:val="004C5E1C"/>
    <w:rsid w:val="004C6E15"/>
    <w:rsid w:val="004D23C9"/>
    <w:rsid w:val="004D2D73"/>
    <w:rsid w:val="004D4847"/>
    <w:rsid w:val="004E24E6"/>
    <w:rsid w:val="004E2B12"/>
    <w:rsid w:val="004E326A"/>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5441"/>
    <w:rsid w:val="0058635D"/>
    <w:rsid w:val="0058748B"/>
    <w:rsid w:val="00591605"/>
    <w:rsid w:val="00594E1F"/>
    <w:rsid w:val="005A13B6"/>
    <w:rsid w:val="005B4A31"/>
    <w:rsid w:val="005C17F4"/>
    <w:rsid w:val="005C1BF7"/>
    <w:rsid w:val="005C1CAB"/>
    <w:rsid w:val="005C4DCF"/>
    <w:rsid w:val="005C5F6F"/>
    <w:rsid w:val="005C6FED"/>
    <w:rsid w:val="005D4158"/>
    <w:rsid w:val="005D693B"/>
    <w:rsid w:val="005E303C"/>
    <w:rsid w:val="005E617B"/>
    <w:rsid w:val="005E6E5E"/>
    <w:rsid w:val="005F2BEE"/>
    <w:rsid w:val="005F352C"/>
    <w:rsid w:val="005F49BE"/>
    <w:rsid w:val="005F78B3"/>
    <w:rsid w:val="00601DF2"/>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3917"/>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4BA1"/>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7E1C"/>
    <w:rsid w:val="00A22287"/>
    <w:rsid w:val="00A24FFD"/>
    <w:rsid w:val="00A27BFE"/>
    <w:rsid w:val="00A32002"/>
    <w:rsid w:val="00A35A20"/>
    <w:rsid w:val="00A36F7A"/>
    <w:rsid w:val="00A40933"/>
    <w:rsid w:val="00A411BA"/>
    <w:rsid w:val="00A42970"/>
    <w:rsid w:val="00A442F2"/>
    <w:rsid w:val="00A45CAD"/>
    <w:rsid w:val="00A462B3"/>
    <w:rsid w:val="00A46AA0"/>
    <w:rsid w:val="00A57130"/>
    <w:rsid w:val="00A57378"/>
    <w:rsid w:val="00A605AD"/>
    <w:rsid w:val="00A62AF6"/>
    <w:rsid w:val="00A62EBB"/>
    <w:rsid w:val="00A63066"/>
    <w:rsid w:val="00A63D5B"/>
    <w:rsid w:val="00A63F79"/>
    <w:rsid w:val="00A64200"/>
    <w:rsid w:val="00A64511"/>
    <w:rsid w:val="00A65BAB"/>
    <w:rsid w:val="00A706A9"/>
    <w:rsid w:val="00A75D64"/>
    <w:rsid w:val="00A77589"/>
    <w:rsid w:val="00A7768F"/>
    <w:rsid w:val="00A96350"/>
    <w:rsid w:val="00A97C99"/>
    <w:rsid w:val="00AA02EB"/>
    <w:rsid w:val="00AA3049"/>
    <w:rsid w:val="00AA5ED1"/>
    <w:rsid w:val="00AA7889"/>
    <w:rsid w:val="00AA7B2F"/>
    <w:rsid w:val="00AB2709"/>
    <w:rsid w:val="00AB397A"/>
    <w:rsid w:val="00AB595D"/>
    <w:rsid w:val="00AC7E9D"/>
    <w:rsid w:val="00AD273C"/>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57C88"/>
    <w:rsid w:val="00B625A0"/>
    <w:rsid w:val="00B635F9"/>
    <w:rsid w:val="00B63945"/>
    <w:rsid w:val="00B64959"/>
    <w:rsid w:val="00B7005D"/>
    <w:rsid w:val="00B70289"/>
    <w:rsid w:val="00B70845"/>
    <w:rsid w:val="00B71769"/>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F02"/>
    <w:rsid w:val="00BD2690"/>
    <w:rsid w:val="00BD5423"/>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06C3"/>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AD9"/>
    <w:rsid w:val="00D11E75"/>
    <w:rsid w:val="00D156FD"/>
    <w:rsid w:val="00D20A01"/>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73F5"/>
    <w:rsid w:val="00D844CD"/>
    <w:rsid w:val="00D86C0A"/>
    <w:rsid w:val="00D86CDE"/>
    <w:rsid w:val="00D91B82"/>
    <w:rsid w:val="00D923F2"/>
    <w:rsid w:val="00DA1B9A"/>
    <w:rsid w:val="00DA53F3"/>
    <w:rsid w:val="00DA60BB"/>
    <w:rsid w:val="00DA7B6D"/>
    <w:rsid w:val="00DB32D0"/>
    <w:rsid w:val="00DB7753"/>
    <w:rsid w:val="00DC203E"/>
    <w:rsid w:val="00DC491E"/>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45040"/>
    <w:rsid w:val="00E513A1"/>
    <w:rsid w:val="00E522FE"/>
    <w:rsid w:val="00E543B1"/>
    <w:rsid w:val="00E57FF6"/>
    <w:rsid w:val="00E6533C"/>
    <w:rsid w:val="00E6667E"/>
    <w:rsid w:val="00E70EDB"/>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3C33"/>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2D70"/>
    <w:rsid w:val="00F632AB"/>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408C"/>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E45040"/>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593903738">
      <w:bodyDiv w:val="1"/>
      <w:marLeft w:val="0"/>
      <w:marRight w:val="0"/>
      <w:marTop w:val="0"/>
      <w:marBottom w:val="0"/>
      <w:divBdr>
        <w:top w:val="none" w:sz="0" w:space="0" w:color="auto"/>
        <w:left w:val="none" w:sz="0" w:space="0" w:color="auto"/>
        <w:bottom w:val="none" w:sz="0" w:space="0" w:color="auto"/>
        <w:right w:val="none" w:sz="0" w:space="0" w:color="auto"/>
      </w:divBdr>
      <w:divsChild>
        <w:div w:id="106433200">
          <w:marLeft w:val="547"/>
          <w:marRight w:val="0"/>
          <w:marTop w:val="0"/>
          <w:marBottom w:val="120"/>
          <w:divBdr>
            <w:top w:val="none" w:sz="0" w:space="0" w:color="auto"/>
            <w:left w:val="none" w:sz="0" w:space="0" w:color="auto"/>
            <w:bottom w:val="none" w:sz="0" w:space="0" w:color="auto"/>
            <w:right w:val="none" w:sz="0" w:space="0" w:color="auto"/>
          </w:divBdr>
        </w:div>
        <w:div w:id="713038404">
          <w:marLeft w:val="547"/>
          <w:marRight w:val="0"/>
          <w:marTop w:val="0"/>
          <w:marBottom w:val="120"/>
          <w:divBdr>
            <w:top w:val="none" w:sz="0" w:space="0" w:color="auto"/>
            <w:left w:val="none" w:sz="0" w:space="0" w:color="auto"/>
            <w:bottom w:val="none" w:sz="0" w:space="0" w:color="auto"/>
            <w:right w:val="none" w:sz="0" w:space="0" w:color="auto"/>
          </w:divBdr>
        </w:div>
      </w:divsChild>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999847988">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20547918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37801-57D7-499E-8FEA-D6160C4D4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SPATAFORA, VINCE A</cp:lastModifiedBy>
  <cp:revision>3</cp:revision>
  <dcterms:created xsi:type="dcterms:W3CDTF">2018-02-17T02:56:00Z</dcterms:created>
  <dcterms:modified xsi:type="dcterms:W3CDTF">2018-02-17T03:04:00Z</dcterms:modified>
</cp:coreProperties>
</file>