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er"/>
        <w:tabs>
          <w:tab w:val="right" w:pos="9340"/>
        </w:tabs>
        <w:rPr>
          <w:rFonts w:ascii="Arial" w:cs="Arial" w:hAnsi="Arial" w:eastAsia="Arial"/>
          <w:b w:val="1"/>
          <w:bCs w:val="1"/>
          <w:i w:val="1"/>
          <w:iCs w:val="1"/>
          <w:sz w:val="28"/>
          <w:szCs w:val="28"/>
        </w:rPr>
      </w:pPr>
      <w:r>
        <w:rPr>
          <w:sz w:val="28"/>
          <w:szCs w:val="28"/>
          <w:rtl w:val="0"/>
          <w:lang w:val="en-US"/>
        </w:rPr>
        <w:t>3</w:t>
      </w:r>
      <w:r>
        <w:rPr>
          <w:sz w:val="28"/>
          <w:szCs w:val="28"/>
          <w:rtl w:val="0"/>
          <w:lang w:val="en-US"/>
        </w:rPr>
        <w:t>GPP TSG</w:t>
      </w:r>
      <w:r>
        <w:rPr>
          <w:sz w:val="28"/>
          <w:szCs w:val="28"/>
          <w:rtl w:val="0"/>
          <w:lang w:val="en-US"/>
        </w:rPr>
        <w:t>-</w:t>
      </w:r>
      <w:r>
        <w:rPr>
          <w:sz w:val="28"/>
          <w:szCs w:val="28"/>
          <w:rtl w:val="0"/>
          <w:lang w:val="en-US"/>
        </w:rPr>
        <w:t>RAN</w:t>
      </w:r>
      <w:r>
        <w:rPr>
          <w:sz w:val="28"/>
          <w:szCs w:val="28"/>
          <w:rtl w:val="0"/>
          <w:lang w:val="en-US"/>
        </w:rPr>
        <w:t xml:space="preserve"> WG</w:t>
      </w:r>
      <w:r>
        <w:rPr>
          <w:sz w:val="28"/>
          <w:szCs w:val="28"/>
          <w:rtl w:val="0"/>
          <w:lang w:val="en-US"/>
        </w:rPr>
        <w:t>3 Meeting #87</w:t>
      </w:r>
      <w:r>
        <w:rPr>
          <w:sz w:val="28"/>
          <w:szCs w:val="28"/>
          <w:rtl w:val="0"/>
          <w:lang w:val="en-US"/>
        </w:rPr>
        <w:t>bis</w:t>
      </w:r>
      <w:r>
        <w:rPr>
          <w:sz w:val="28"/>
          <w:szCs w:val="28"/>
          <w:rtl w:val="0"/>
        </w:rPr>
        <w:tab/>
      </w:r>
      <w:r>
        <w:rPr>
          <w:sz w:val="22"/>
          <w:szCs w:val="22"/>
          <w:rtl w:val="0"/>
          <w:lang w:val="en-US"/>
        </w:rPr>
        <w:t>R3-150</w:t>
      </w:r>
      <w:r>
        <w:rPr>
          <w:sz w:val="22"/>
          <w:szCs w:val="22"/>
          <w:rtl w:val="0"/>
          <w:lang w:val="en-US"/>
        </w:rPr>
        <w:t>604</w:t>
      </w:r>
      <w:r>
        <w:rPr>
          <w:sz w:val="20"/>
          <w:szCs w:val="20"/>
          <w:rtl w:val="0"/>
          <w:lang w:val="en-US"/>
        </w:rPr>
        <w:t xml:space="preserve"> </w:t>
      </w:r>
    </w:p>
    <w:p>
      <w:pPr>
        <w:pStyle w:val="header"/>
        <w:tabs>
          <w:tab w:val="right" w:pos="9340"/>
        </w:tabs>
        <w:rPr>
          <w:sz w:val="24"/>
          <w:szCs w:val="24"/>
        </w:rPr>
      </w:pPr>
      <w:r>
        <w:rPr>
          <w:sz w:val="24"/>
          <w:szCs w:val="24"/>
          <w:rtl w:val="0"/>
          <w:lang w:val="en-US"/>
        </w:rPr>
        <w:t>Santa Cruz</w:t>
      </w:r>
      <w:r>
        <w:rPr>
          <w:sz w:val="24"/>
          <w:szCs w:val="24"/>
          <w:rtl w:val="0"/>
          <w:lang w:val="en-US"/>
        </w:rPr>
        <w:t xml:space="preserve">, </w:t>
      </w:r>
      <w:r>
        <w:rPr>
          <w:sz w:val="24"/>
          <w:szCs w:val="24"/>
          <w:rtl w:val="0"/>
          <w:lang w:val="en-US"/>
        </w:rPr>
        <w:t>Spain, 20</w:t>
      </w:r>
      <w:r>
        <w:rPr>
          <w:sz w:val="24"/>
          <w:szCs w:val="24"/>
          <w:rtl w:val="0"/>
          <w:lang w:val="en-US"/>
        </w:rPr>
        <w:t xml:space="preserve"> </w:t>
      </w:r>
      <w:r>
        <w:rPr>
          <w:rFonts w:hAnsi="Arial Bold" w:hint="default"/>
          <w:sz w:val="24"/>
          <w:szCs w:val="24"/>
          <w:rtl w:val="0"/>
          <w:lang w:val="en-US"/>
        </w:rPr>
        <w:t xml:space="preserve">– </w:t>
      </w:r>
      <w:r>
        <w:rPr>
          <w:sz w:val="24"/>
          <w:szCs w:val="24"/>
          <w:rtl w:val="0"/>
          <w:lang w:val="en-US"/>
        </w:rPr>
        <w:t>24</w:t>
      </w:r>
      <w:r>
        <w:rPr>
          <w:sz w:val="24"/>
          <w:szCs w:val="24"/>
          <w:rtl w:val="0"/>
          <w:lang w:val="en-US"/>
        </w:rPr>
        <w:t xml:space="preserve"> </w:t>
      </w:r>
      <w:r>
        <w:rPr>
          <w:sz w:val="24"/>
          <w:szCs w:val="24"/>
          <w:rtl w:val="0"/>
          <w:lang w:val="en-US"/>
        </w:rPr>
        <w:t>April</w:t>
      </w:r>
      <w:r>
        <w:rPr>
          <w:sz w:val="24"/>
          <w:szCs w:val="24"/>
          <w:rtl w:val="0"/>
          <w:lang w:val="en-US"/>
        </w:rPr>
        <w:t xml:space="preserve">, 2015 </w:t>
      </w:r>
    </w:p>
    <w:p>
      <w:pPr>
        <w:pStyle w:val="header"/>
        <w:rPr>
          <w:sz w:val="24"/>
          <w:szCs w:val="24"/>
        </w:rPr>
      </w:pPr>
    </w:p>
    <w:p>
      <w:pPr>
        <w:pStyle w:val="CR Cover Page"/>
        <w:rPr>
          <w:rFonts w:ascii="Arial Bold" w:cs="Arial Bold" w:hAnsi="Arial Bold" w:eastAsia="Arial Bold"/>
          <w:sz w:val="24"/>
          <w:szCs w:val="24"/>
        </w:rPr>
      </w:pPr>
      <w:r>
        <w:rPr>
          <w:rFonts w:ascii="Arial Bold"/>
          <w:sz w:val="24"/>
          <w:szCs w:val="24"/>
          <w:rtl w:val="0"/>
          <w:lang w:val="en-US"/>
        </w:rPr>
        <w:t>Agenda item:       11.</w:t>
      </w:r>
      <w:r>
        <w:rPr>
          <w:rFonts w:ascii="Arial Bold"/>
          <w:sz w:val="24"/>
          <w:szCs w:val="24"/>
          <w:rtl w:val="0"/>
          <w:lang w:val="en-US"/>
        </w:rPr>
        <w:t>2</w:t>
      </w:r>
    </w:p>
    <w:p>
      <w:pPr>
        <w:pStyle w:val="Body A"/>
        <w:tabs>
          <w:tab w:val="left" w:pos="1985"/>
        </w:tabs>
        <w:ind w:left="1985" w:hanging="1985"/>
        <w:rPr>
          <w:rFonts w:ascii="Arial Bold" w:cs="Arial Bold" w:hAnsi="Arial Bold" w:eastAsia="Arial Bold"/>
          <w:sz w:val="24"/>
          <w:szCs w:val="24"/>
        </w:rPr>
      </w:pPr>
      <w:r>
        <w:rPr>
          <w:rFonts w:ascii="Arial Bold"/>
          <w:sz w:val="24"/>
          <w:szCs w:val="24"/>
          <w:rtl w:val="0"/>
          <w:lang w:val="fr-FR"/>
        </w:rPr>
        <w:t>Source:</w:t>
        <w:tab/>
        <w:t>NEC</w:t>
      </w:r>
    </w:p>
    <w:p>
      <w:pPr>
        <w:pStyle w:val="Body A"/>
        <w:ind w:left="1985" w:hanging="1985"/>
        <w:rPr>
          <w:rFonts w:ascii="Arial Bold" w:cs="Arial Bold" w:hAnsi="Arial Bold" w:eastAsia="Arial Bold"/>
          <w:sz w:val="24"/>
          <w:szCs w:val="24"/>
        </w:rPr>
      </w:pPr>
      <w:r>
        <w:rPr>
          <w:rFonts w:ascii="Arial Bold"/>
          <w:sz w:val="24"/>
          <w:szCs w:val="24"/>
          <w:rtl w:val="0"/>
          <w:lang w:val="fr-FR"/>
        </w:rPr>
        <w:t>Title:</w:t>
        <w:tab/>
        <w:t>CSI Exchange for Inter-eNB CoMP</w:t>
      </w:r>
    </w:p>
    <w:p>
      <w:pPr>
        <w:pStyle w:val="Body A"/>
        <w:spacing w:after="120"/>
        <w:rPr>
          <w:rFonts w:ascii="Arial Bold" w:cs="Arial Bold" w:hAnsi="Arial Bold" w:eastAsia="Arial Bold"/>
          <w:sz w:val="24"/>
          <w:szCs w:val="24"/>
        </w:rPr>
      </w:pPr>
      <w:r>
        <w:rPr>
          <w:rFonts w:ascii="Arial Bold"/>
          <w:sz w:val="24"/>
          <w:szCs w:val="24"/>
          <w:rtl w:val="0"/>
          <w:lang w:val="en-US"/>
        </w:rPr>
        <w:t>Document for:</w:t>
        <w:tab/>
        <w:tab/>
        <w:t>Discussion and Decision</w:t>
      </w:r>
    </w:p>
    <w:p>
      <w:pPr>
        <w:pStyle w:val="Heading"/>
        <w:ind w:left="0" w:firstLine="0"/>
        <w:rPr>
          <w:rFonts w:ascii="Arial Bold" w:cs="Arial Bold" w:hAnsi="Arial Bold" w:eastAsia="Arial Bold"/>
          <w:sz w:val="32"/>
          <w:szCs w:val="32"/>
        </w:rPr>
      </w:pPr>
      <w:r>
        <w:rPr>
          <w:rFonts w:ascii="Arial Bold"/>
          <w:sz w:val="32"/>
          <w:szCs w:val="32"/>
          <w:rtl w:val="0"/>
          <w:lang w:val="fr-FR"/>
        </w:rPr>
        <w:t>1. Introduction</w:t>
      </w:r>
    </w:p>
    <w:p>
      <w:pPr>
        <w:pStyle w:val="Body A"/>
        <w:spacing w:after="120"/>
        <w:jc w:val="both"/>
        <w:rPr>
          <w:sz w:val="24"/>
          <w:szCs w:val="24"/>
        </w:rPr>
      </w:pPr>
      <w:r>
        <w:rPr>
          <w:sz w:val="24"/>
          <w:szCs w:val="24"/>
          <w:rtl w:val="0"/>
          <w:lang w:val="en-US"/>
        </w:rPr>
        <w:t xml:space="preserve">In RAN3#85, a discussion on exchange of CSI was initiated based on [1] and agreements </w:t>
      </w:r>
      <w:r>
        <w:rPr>
          <w:sz w:val="24"/>
          <w:szCs w:val="24"/>
          <w:rtl w:val="0"/>
          <w:lang w:val="en-US"/>
        </w:rPr>
        <w:t>have been</w:t>
      </w:r>
      <w:r>
        <w:rPr>
          <w:sz w:val="24"/>
          <w:szCs w:val="24"/>
          <w:rtl w:val="0"/>
          <w:lang w:val="en-US"/>
        </w:rPr>
        <w:t xml:space="preserve"> reached in RAN3#</w:t>
      </w:r>
      <w:r>
        <w:rPr>
          <w:sz w:val="24"/>
          <w:szCs w:val="24"/>
          <w:rtl w:val="0"/>
          <w:lang w:val="en-US"/>
        </w:rPr>
        <w:t>87</w:t>
      </w:r>
      <w:r>
        <w:rPr>
          <w:sz w:val="24"/>
          <w:szCs w:val="24"/>
          <w:rtl w:val="0"/>
          <w:lang w:val="en-US"/>
        </w:rPr>
        <w:t xml:space="preserve">. </w:t>
      </w:r>
    </w:p>
    <w:p>
      <w:pPr>
        <w:pStyle w:val="Body A"/>
        <w:spacing w:after="120"/>
        <w:jc w:val="both"/>
        <w:rPr>
          <w:sz w:val="24"/>
          <w:szCs w:val="24"/>
          <w:lang w:val="en-US"/>
        </w:rPr>
      </w:pPr>
      <w:r>
        <w:rPr>
          <w:sz w:val="24"/>
          <w:szCs w:val="24"/>
          <w:rtl w:val="0"/>
          <w:lang w:val="en-US"/>
        </w:rPr>
        <w:t>In the following we provide</w:t>
      </w:r>
      <w:r>
        <w:rPr>
          <w:sz w:val="24"/>
          <w:szCs w:val="24"/>
          <w:rtl w:val="0"/>
          <w:lang w:val="fr-FR"/>
        </w:rPr>
        <w:t xml:space="preserve"> </w:t>
      </w:r>
      <w:r>
        <w:rPr>
          <w:sz w:val="24"/>
          <w:szCs w:val="24"/>
          <w:rtl w:val="0"/>
          <w:lang w:val="en-US"/>
        </w:rPr>
        <w:t>our views on CSI</w:t>
      </w:r>
      <w:r>
        <w:rPr>
          <w:sz w:val="24"/>
          <w:szCs w:val="24"/>
          <w:rtl w:val="0"/>
          <w:lang w:val="en-US"/>
        </w:rPr>
        <w:t xml:space="preserve"> exchange</w:t>
      </w:r>
      <w:r>
        <w:rPr>
          <w:sz w:val="24"/>
          <w:szCs w:val="24"/>
          <w:rtl w:val="0"/>
          <w:lang w:val="en-US"/>
        </w:rPr>
        <w:t>, as well as text proposals containing the required message structures.</w:t>
      </w:r>
    </w:p>
    <w:p>
      <w:pPr>
        <w:pStyle w:val="Heading"/>
        <w:ind w:left="0" w:firstLine="0"/>
        <w:rPr>
          <w:rFonts w:ascii="Arial Bold" w:cs="Arial Bold" w:hAnsi="Arial Bold" w:eastAsia="Arial Bold"/>
          <w:sz w:val="32"/>
          <w:szCs w:val="32"/>
          <w:lang w:val="en-US"/>
        </w:rPr>
      </w:pPr>
      <w:r>
        <w:rPr>
          <w:rFonts w:ascii="Arial Bold"/>
          <w:sz w:val="32"/>
          <w:szCs w:val="32"/>
          <w:rtl w:val="0"/>
          <w:lang w:val="en-US"/>
        </w:rPr>
        <w:t>2. Discussion</w:t>
      </w:r>
    </w:p>
    <w:p>
      <w:pPr>
        <w:pStyle w:val="Body A"/>
        <w:spacing w:after="120" w:line="240" w:lineRule="atLeast"/>
        <w:jc w:val="both"/>
        <w:rPr>
          <w:rFonts w:ascii="Arial Bold" w:cs="Arial Bold" w:hAnsi="Arial Bold" w:eastAsia="Arial Bold"/>
          <w:sz w:val="28"/>
          <w:szCs w:val="28"/>
          <w:lang w:val="en-US"/>
        </w:rPr>
      </w:pPr>
      <w:r>
        <w:rPr>
          <w:rFonts w:ascii="Arial Bold"/>
          <w:sz w:val="28"/>
          <w:szCs w:val="28"/>
          <w:rtl w:val="0"/>
          <w:lang w:val="en-US"/>
        </w:rPr>
        <w:t>2.1</w:t>
        <w:tab/>
        <w:t>CSI exchange: Configuring CSI processes</w:t>
      </w:r>
    </w:p>
    <w:p>
      <w:pPr>
        <w:pStyle w:val="Body A"/>
        <w:rPr>
          <w:sz w:val="24"/>
          <w:szCs w:val="24"/>
          <w:lang w:val="en-US"/>
        </w:rPr>
      </w:pPr>
      <w:r>
        <w:rPr>
          <w:rFonts w:ascii="Times New Roman" w:cs="Arial Unicode MS" w:hAnsi="Arial Unicode MS" w:eastAsia="Arial Unicode MS"/>
          <w:sz w:val="24"/>
          <w:szCs w:val="24"/>
          <w:rtl w:val="0"/>
          <w:lang w:val="en-US"/>
        </w:rPr>
        <w:t>F</w:t>
      </w:r>
      <w:r>
        <w:rPr>
          <w:rFonts w:ascii="Times New Roman" w:cs="Arial Unicode MS" w:hAnsi="Arial Unicode MS" w:eastAsia="Arial Unicode MS"/>
          <w:sz w:val="24"/>
          <w:szCs w:val="24"/>
          <w:rtl w:val="0"/>
          <w:lang w:val="en-US"/>
        </w:rPr>
        <w:t xml:space="preserve">rom the discussion </w:t>
      </w:r>
      <w:r>
        <w:rPr>
          <w:rFonts w:ascii="Times New Roman" w:cs="Arial Unicode MS" w:hAnsi="Arial Unicode MS" w:eastAsia="Arial Unicode MS"/>
          <w:sz w:val="24"/>
          <w:szCs w:val="24"/>
          <w:rtl w:val="0"/>
          <w:lang w:val="en-US"/>
        </w:rPr>
        <w:t xml:space="preserve">provided in [3,4] it is evident that </w:t>
      </w:r>
      <w:r>
        <w:rPr>
          <w:rFonts w:ascii="Times New Roman" w:cs="Arial Unicode MS" w:hAnsi="Arial Unicode MS" w:eastAsia="Arial Unicode MS"/>
          <w:sz w:val="24"/>
          <w:szCs w:val="24"/>
          <w:rtl w:val="0"/>
          <w:lang w:val="en-US"/>
        </w:rPr>
        <w:t xml:space="preserve">coordination among the eNBs is required in order to </w:t>
      </w:r>
      <w:r>
        <w:rPr>
          <w:rFonts w:ascii="Times New Roman" w:cs="Arial Unicode MS" w:hAnsi="Arial Unicode MS" w:eastAsia="Arial Unicode MS"/>
          <w:sz w:val="24"/>
          <w:szCs w:val="24"/>
          <w:rtl w:val="0"/>
          <w:lang w:val="en-US"/>
        </w:rPr>
        <w:t xml:space="preserve">define a set of assignable CSI processes that have a consistent meaning. </w:t>
      </w:r>
      <w:r>
        <w:rPr>
          <w:rFonts w:ascii="Times New Roman" w:cs="Arial Unicode MS" w:hAnsi="Arial Unicode MS" w:eastAsia="Arial Unicode MS"/>
          <w:sz w:val="24"/>
          <w:szCs w:val="24"/>
          <w:rtl w:val="0"/>
          <w:lang w:val="en-US"/>
        </w:rPr>
        <w:t xml:space="preserve">Once the </w:t>
      </w:r>
      <w:r>
        <w:rPr>
          <w:rFonts w:ascii="Times New Roman" w:cs="Arial Unicode MS" w:hAnsi="Arial Unicode MS" w:eastAsia="Arial Unicode MS"/>
          <w:sz w:val="24"/>
          <w:szCs w:val="24"/>
          <w:rtl w:val="0"/>
          <w:lang w:val="en-US"/>
        </w:rPr>
        <w:t xml:space="preserve">set of these </w:t>
      </w:r>
      <w:r>
        <w:rPr>
          <w:rFonts w:ascii="Times New Roman" w:cs="Arial Unicode MS" w:hAnsi="Arial Unicode MS" w:eastAsia="Arial Unicode MS"/>
          <w:sz w:val="24"/>
          <w:szCs w:val="24"/>
          <w:rtl w:val="0"/>
          <w:lang w:val="en-US"/>
        </w:rPr>
        <w:t xml:space="preserve">CSI processes </w:t>
      </w:r>
      <w:r>
        <w:rPr>
          <w:rFonts w:ascii="Times New Roman" w:cs="Arial Unicode MS" w:hAnsi="Arial Unicode MS" w:eastAsia="Arial Unicode MS"/>
          <w:sz w:val="24"/>
          <w:szCs w:val="24"/>
          <w:rtl w:val="0"/>
          <w:lang w:val="en-US"/>
        </w:rPr>
        <w:t>is</w:t>
      </w:r>
      <w:r>
        <w:rPr>
          <w:rFonts w:ascii="Times New Roman" w:cs="Arial Unicode MS" w:hAnsi="Arial Unicode MS" w:eastAsia="Arial Unicode MS"/>
          <w:sz w:val="24"/>
          <w:szCs w:val="24"/>
          <w:rtl w:val="0"/>
          <w:lang w:val="en-US"/>
        </w:rPr>
        <w:t xml:space="preserve"> </w:t>
      </w:r>
      <w:r>
        <w:rPr>
          <w:rFonts w:ascii="Times New Roman" w:cs="Arial Unicode MS" w:hAnsi="Arial Unicode MS" w:eastAsia="Arial Unicode MS"/>
          <w:sz w:val="24"/>
          <w:szCs w:val="24"/>
          <w:rtl w:val="0"/>
          <w:lang w:val="en-US"/>
        </w:rPr>
        <w:t>defined</w:t>
      </w:r>
      <w:r>
        <w:rPr>
          <w:rFonts w:ascii="Times New Roman" w:cs="Arial Unicode MS" w:hAnsi="Arial Unicode MS" w:eastAsia="Arial Unicode MS"/>
          <w:sz w:val="24"/>
          <w:szCs w:val="24"/>
          <w:rtl w:val="0"/>
          <w:lang w:val="en-US"/>
        </w:rPr>
        <w:t xml:space="preserve">, the CSI exchanged among eNBs should  include the respective CSI process configuration information, in order to convey the conditions under which the CSI was measured by the UE. This configuration information </w:t>
      </w:r>
      <w:r>
        <w:rPr>
          <w:rFonts w:ascii="Times New Roman" w:cs="Arial Unicode MS" w:hAnsi="Arial Unicode MS" w:eastAsia="Arial Unicode MS"/>
          <w:sz w:val="24"/>
          <w:szCs w:val="24"/>
          <w:rtl w:val="0"/>
          <w:lang w:val="en-US"/>
        </w:rPr>
        <w:t xml:space="preserve">should </w:t>
      </w:r>
      <w:r>
        <w:rPr>
          <w:rFonts w:ascii="Times New Roman" w:cs="Arial Unicode MS" w:hAnsi="Arial Unicode MS" w:eastAsia="Arial Unicode MS"/>
          <w:sz w:val="24"/>
          <w:szCs w:val="24"/>
          <w:rtl w:val="0"/>
          <w:lang w:val="en-US"/>
        </w:rPr>
        <w:t xml:space="preserve">include </w:t>
      </w:r>
      <w:r>
        <w:rPr>
          <w:rFonts w:ascii="Times New Roman" w:cs="Arial Unicode MS" w:hAnsi="Arial Unicode MS" w:eastAsia="Arial Unicode MS"/>
          <w:sz w:val="24"/>
          <w:szCs w:val="24"/>
          <w:rtl w:val="0"/>
          <w:lang w:val="fr-FR"/>
        </w:rPr>
        <w:t>CSI-RS-ConfigNZP [36.331b,  Section 6.3.2] and CSI-IM-Config [36.331b,  Section 6.3.2]</w:t>
      </w:r>
      <w:r>
        <w:rPr>
          <w:rFonts w:ascii="Times New Roman" w:cs="Arial Unicode MS" w:hAnsi="Arial Unicode MS" w:eastAsia="Arial Unicode MS"/>
          <w:sz w:val="24"/>
          <w:szCs w:val="24"/>
          <w:rtl w:val="0"/>
          <w:lang w:val="en-US"/>
        </w:rPr>
        <w:t xml:space="preserve">. </w:t>
      </w:r>
      <w:r>
        <w:rPr>
          <w:rFonts w:ascii="Times New Roman" w:cs="Arial Unicode MS" w:hAnsi="Arial Unicode MS" w:eastAsia="Arial Unicode MS"/>
          <w:sz w:val="24"/>
          <w:szCs w:val="24"/>
          <w:rtl w:val="0"/>
          <w:lang w:val="en-US"/>
        </w:rPr>
        <w:t>We note here that doing so would enable exchange of per-point CSI process configuration (under which the UE estimates RS from any one point in its measurement set while the associated IMR measures the out of CoMP set or out of cluster interference). If one such process is sent to a receiving eNB for each point in that UE</w:t>
      </w:r>
      <w:r>
        <w:rPr>
          <w:rFonts w:ascii="Arial Unicode MS" w:cs="Arial Unicode MS" w:hAnsi="Times New Roman" w:eastAsia="Arial Unicode MS" w:hint="default"/>
          <w:sz w:val="24"/>
          <w:szCs w:val="24"/>
          <w:rtl w:val="0"/>
          <w:lang w:val="en-US"/>
        </w:rPr>
        <w:t>’</w:t>
      </w:r>
      <w:r>
        <w:rPr>
          <w:rFonts w:ascii="Times New Roman" w:cs="Arial Unicode MS" w:hAnsi="Arial Unicode MS" w:eastAsia="Arial Unicode MS"/>
          <w:sz w:val="24"/>
          <w:szCs w:val="24"/>
          <w:rtl w:val="0"/>
          <w:lang w:val="en-US"/>
        </w:rPr>
        <w:t>s measurement set, any interference hypothesis for that UE can be emulated by  receiving eNB. This can indeed mitigate the bottleneck pointed out in [3]. One</w:t>
      </w:r>
      <w:r>
        <w:rPr>
          <w:rFonts w:ascii="Times New Roman" w:cs="Arial Unicode MS" w:hAnsi="Arial Unicode MS" w:eastAsia="Arial Unicode MS"/>
          <w:sz w:val="24"/>
          <w:szCs w:val="24"/>
          <w:rtl w:val="0"/>
          <w:lang w:val="en-US"/>
        </w:rPr>
        <w:t xml:space="preserve"> way of conveying this configuration information is through a look-up-table. A look-up-table mapping an index to one or more distinct applied CSI process configurations can be constructed for each eNB. Here, by an applied CSI process we mean a process that is used by at-least one served UE to measure its CSI. Such a table can be exchanged among neighbors first and from then on the configuration information can be exchanged via indices.  The total number of configurations in the table can be limited in order to limit signaling overhead. </w:t>
      </w:r>
    </w:p>
    <w:p>
      <w:pPr>
        <w:pStyle w:val="Body A"/>
        <w:spacing w:after="120" w:line="240" w:lineRule="atLeast"/>
        <w:jc w:val="both"/>
        <w:rPr>
          <w:rFonts w:ascii="Times New Roman Bold" w:cs="Times New Roman Bold" w:hAnsi="Times New Roman Bold" w:eastAsia="Times New Roman Bold"/>
          <w:sz w:val="32"/>
          <w:szCs w:val="32"/>
          <w:lang w:val="en-US"/>
        </w:rPr>
      </w:pPr>
      <w:r>
        <w:rPr>
          <w:rFonts w:ascii="Times New Roman Bold"/>
          <w:sz w:val="32"/>
          <w:szCs w:val="32"/>
          <w:rtl w:val="0"/>
          <w:lang w:val="en-US"/>
        </w:rPr>
        <w:t>2.2</w:t>
        <w:tab/>
        <w:t>CSI exchange: Contents</w:t>
      </w:r>
    </w:p>
    <w:p>
      <w:pPr>
        <w:pStyle w:val="Body A"/>
        <w:spacing w:after="0" w:line="240" w:lineRule="atLeast"/>
        <w:jc w:val="both"/>
        <w:rPr>
          <w:sz w:val="24"/>
          <w:szCs w:val="24"/>
          <w:lang w:val="en-US"/>
        </w:rPr>
      </w:pPr>
      <w:r>
        <w:rPr>
          <w:sz w:val="24"/>
          <w:szCs w:val="24"/>
          <w:rtl w:val="0"/>
          <w:lang w:val="en-US"/>
        </w:rPr>
        <w:t>One eNB can send CSI report</w:t>
      </w:r>
      <w:r>
        <w:rPr>
          <w:sz w:val="24"/>
          <w:szCs w:val="24"/>
          <w:rtl w:val="0"/>
          <w:lang w:val="en-US"/>
        </w:rPr>
        <w:t>s</w:t>
      </w:r>
      <w:r>
        <w:rPr>
          <w:sz w:val="24"/>
          <w:szCs w:val="24"/>
          <w:rtl w:val="0"/>
          <w:lang w:val="en-US"/>
        </w:rPr>
        <w:t xml:space="preserve"> pertaining to one or more of </w:t>
      </w:r>
      <w:r>
        <w:rPr>
          <w:sz w:val="24"/>
          <w:szCs w:val="24"/>
          <w:rtl w:val="0"/>
          <w:lang w:val="en-US"/>
        </w:rPr>
        <w:t xml:space="preserve">its </w:t>
      </w:r>
      <w:r>
        <w:rPr>
          <w:sz w:val="24"/>
          <w:szCs w:val="24"/>
          <w:rtl w:val="0"/>
          <w:lang w:val="en-US"/>
        </w:rPr>
        <w:t>UEs to a neighboring eNB. For each UE, the CSI that the eNB sends to a neighbor can comprise of:</w:t>
      </w:r>
    </w:p>
    <w:p>
      <w:pPr>
        <w:pStyle w:val="Body A"/>
        <w:numPr>
          <w:ilvl w:val="0"/>
          <w:numId w:val="3"/>
        </w:numPr>
        <w:tabs>
          <w:tab w:val="num" w:pos="874"/>
          <w:tab w:val="clear" w:pos="0"/>
        </w:tabs>
        <w:spacing w:after="0" w:line="240" w:lineRule="atLeast"/>
        <w:ind w:left="874" w:hanging="514"/>
        <w:jc w:val="both"/>
        <w:rPr>
          <w:position w:val="0"/>
          <w:sz w:val="24"/>
          <w:szCs w:val="24"/>
          <w:lang w:val="en-US"/>
        </w:rPr>
      </w:pPr>
      <w:r>
        <w:rPr>
          <w:sz w:val="24"/>
          <w:szCs w:val="24"/>
          <w:rtl w:val="0"/>
          <w:lang w:val="en-US"/>
        </w:rPr>
        <w:t>CQI: up-to 2 CQIs, each including a wideband component and possible sub-band components</w:t>
      </w:r>
    </w:p>
    <w:p>
      <w:pPr>
        <w:pStyle w:val="Body A"/>
        <w:numPr>
          <w:ilvl w:val="0"/>
          <w:numId w:val="3"/>
        </w:numPr>
        <w:tabs>
          <w:tab w:val="num" w:pos="874"/>
          <w:tab w:val="clear" w:pos="0"/>
        </w:tabs>
        <w:spacing w:after="0" w:line="240" w:lineRule="atLeast"/>
        <w:ind w:left="874" w:hanging="514"/>
        <w:jc w:val="both"/>
        <w:rPr>
          <w:position w:val="0"/>
          <w:sz w:val="24"/>
          <w:szCs w:val="24"/>
          <w:lang w:val="en-US"/>
        </w:rPr>
      </w:pPr>
      <w:r>
        <w:rPr>
          <w:sz w:val="24"/>
          <w:szCs w:val="24"/>
          <w:rtl w:val="0"/>
          <w:lang w:val="en-US"/>
        </w:rPr>
        <w:t>RI: one wideband component</w:t>
      </w:r>
    </w:p>
    <w:p>
      <w:pPr>
        <w:pStyle w:val="Body A"/>
        <w:spacing w:after="0" w:line="240" w:lineRule="atLeast"/>
        <w:jc w:val="both"/>
        <w:rPr>
          <w:sz w:val="24"/>
          <w:szCs w:val="24"/>
          <w:lang w:val="en-US"/>
        </w:rPr>
      </w:pPr>
    </w:p>
    <w:p>
      <w:pPr>
        <w:pStyle w:val="Body A"/>
        <w:spacing w:after="0" w:line="240" w:lineRule="atLeast"/>
        <w:jc w:val="both"/>
        <w:rPr>
          <w:sz w:val="24"/>
          <w:szCs w:val="24"/>
        </w:rPr>
      </w:pPr>
      <w:r>
        <w:rPr>
          <w:sz w:val="24"/>
          <w:szCs w:val="24"/>
          <w:rtl w:val="0"/>
          <w:lang w:val="en-US"/>
        </w:rPr>
        <w:t>We note that the PMI was excluded from the CSI exchange report [1]. The justification for this exclusion was to minimize the overhead and the fact that PMI</w:t>
      </w:r>
      <w:r>
        <w:rPr>
          <w:sz w:val="28"/>
          <w:szCs w:val="28"/>
          <w:rtl w:val="0"/>
          <w:lang w:val="en-US"/>
        </w:rPr>
        <w:t xml:space="preserve"> can depend on fast changing </w:t>
      </w:r>
      <w:r>
        <w:rPr>
          <w:sz w:val="24"/>
          <w:szCs w:val="24"/>
          <w:rtl w:val="0"/>
          <w:lang w:val="en-US"/>
        </w:rPr>
        <w:t xml:space="preserve">channel information, thus reducing its utility over non ideal backhaul with a higher latency. However, in the absence of PMI the use of RI is limited. Indeed, any rank greater than 1 will convey only 2 CQI(s), one for each of the two codewords. No further information about the (average) spatial directions seen by that UE can be deduced by the eNB receiving the report. As a result, reporting the RI should be made optional. Moreover, the eNB requesting the CSI report </w:t>
      </w:r>
      <w:r>
        <w:rPr>
          <w:sz w:val="24"/>
          <w:szCs w:val="24"/>
          <w:rtl w:val="0"/>
          <w:lang w:val="en-US"/>
        </w:rPr>
        <w:t xml:space="preserve">(eNB1) </w:t>
      </w:r>
      <w:r>
        <w:rPr>
          <w:sz w:val="24"/>
          <w:szCs w:val="24"/>
          <w:rtl w:val="0"/>
          <w:lang w:val="en-US"/>
        </w:rPr>
        <w:t xml:space="preserve">should be able to specify whether or not it would like to receive RI reports. Similarly, the eNB requesting the CSI reports should be able to specify whether or not it requires subband specific CQI reports. This can be achieved by setting a bit (in the measurement request) to be 0 if rank is not requested and 1 otherwise. Another bit can be set to 0 if subband CQIs are not requested and 1 otherwise. </w:t>
      </w:r>
      <w:r>
        <w:rPr>
          <w:sz w:val="24"/>
          <w:szCs w:val="24"/>
          <w:rtl w:val="0"/>
          <w:lang w:val="en-US"/>
        </w:rPr>
        <w:t xml:space="preserve"> </w:t>
      </w:r>
      <w:r>
        <w:rPr>
          <w:sz w:val="24"/>
          <w:szCs w:val="24"/>
          <w:rtl w:val="0"/>
          <w:lang w:val="fr-FR"/>
        </w:rPr>
        <w:t xml:space="preserve">In this context, we note that since the requesting eNB has no control over how the sending eNB (eNB2) configures CSI processes (and constituent feedback modes) for its users, it should be in any case able to exploit different type of CSI reports (wideband only or wideband and subband). </w:t>
      </w:r>
    </w:p>
    <w:p>
      <w:pPr>
        <w:pStyle w:val="CR Cover Page"/>
        <w:spacing w:after="180"/>
        <w:rPr>
          <w:rFonts w:ascii="Times New Roman" w:cs="Times New Roman" w:hAnsi="Times New Roman" w:eastAsia="Times New Roman"/>
          <w:sz w:val="24"/>
          <w:szCs w:val="24"/>
        </w:rPr>
      </w:pPr>
    </w:p>
    <w:p>
      <w:pPr>
        <w:pStyle w:val="Body A"/>
        <w:spacing w:after="0" w:line="240" w:lineRule="atLeast"/>
        <w:jc w:val="both"/>
        <w:rPr>
          <w:sz w:val="24"/>
          <w:szCs w:val="24"/>
          <w:u w:val="single"/>
          <w:lang w:val="en-US"/>
        </w:rPr>
      </w:pPr>
      <w:r>
        <w:rPr>
          <w:sz w:val="24"/>
          <w:szCs w:val="24"/>
          <w:u w:val="single"/>
          <w:rtl w:val="0"/>
          <w:lang w:val="en-US"/>
        </w:rPr>
        <w:t>Proposal: Include optional IE in resource status request indicating whether RI and/or subband CQI should be sent in the the resource status response message.</w:t>
      </w:r>
    </w:p>
    <w:p>
      <w:pPr>
        <w:pStyle w:val="CR Cover Page"/>
        <w:spacing w:after="180"/>
        <w:rPr>
          <w:rFonts w:ascii="Times New Roman" w:cs="Times New Roman" w:hAnsi="Times New Roman" w:eastAsia="Times New Roman"/>
          <w:sz w:val="24"/>
          <w:szCs w:val="24"/>
        </w:rPr>
      </w:pPr>
    </w:p>
    <w:p>
      <w:pPr>
        <w:pStyle w:val="Body A"/>
        <w:spacing w:after="0" w:line="240" w:lineRule="atLeast"/>
        <w:jc w:val="both"/>
        <w:rPr>
          <w:sz w:val="24"/>
          <w:szCs w:val="24"/>
        </w:rPr>
      </w:pPr>
      <w:r>
        <w:rPr>
          <w:sz w:val="24"/>
          <w:szCs w:val="24"/>
          <w:rtl w:val="0"/>
          <w:lang w:val="fr-FR"/>
        </w:rPr>
        <w:t>Implementation based p</w:t>
      </w:r>
      <w:r>
        <w:rPr>
          <w:sz w:val="24"/>
          <w:szCs w:val="24"/>
          <w:rtl w:val="0"/>
          <w:lang w:val="en-US"/>
        </w:rPr>
        <w:t xml:space="preserve">rocessing of the short-term CSI (received via over-the-air signaling) </w:t>
      </w:r>
      <w:r>
        <w:rPr>
          <w:sz w:val="24"/>
          <w:szCs w:val="24"/>
          <w:rtl w:val="0"/>
          <w:lang w:val="en-US"/>
        </w:rPr>
        <w:t>by the sending</w:t>
      </w:r>
      <w:r>
        <w:rPr>
          <w:sz w:val="24"/>
          <w:szCs w:val="24"/>
          <w:rtl w:val="0"/>
          <w:lang w:val="en-US"/>
        </w:rPr>
        <w:t xml:space="preserve"> eNB</w:t>
      </w:r>
      <w:r>
        <w:rPr>
          <w:sz w:val="24"/>
          <w:szCs w:val="24"/>
          <w:rtl w:val="0"/>
          <w:lang w:val="en-US"/>
        </w:rPr>
        <w:t>,</w:t>
      </w:r>
      <w:r>
        <w:rPr>
          <w:sz w:val="24"/>
          <w:szCs w:val="24"/>
          <w:rtl w:val="0"/>
          <w:lang w:val="en-US"/>
        </w:rPr>
        <w:t xml:space="preserve"> prior to </w:t>
      </w:r>
      <w:r>
        <w:rPr>
          <w:sz w:val="24"/>
          <w:szCs w:val="24"/>
          <w:rtl w:val="0"/>
          <w:lang w:val="en-US"/>
        </w:rPr>
        <w:t xml:space="preserve">CSI </w:t>
      </w:r>
      <w:r>
        <w:rPr>
          <w:sz w:val="24"/>
          <w:szCs w:val="24"/>
          <w:rtl w:val="0"/>
          <w:lang w:val="en-US"/>
        </w:rPr>
        <w:t xml:space="preserve">exchange </w:t>
      </w:r>
      <w:r>
        <w:rPr>
          <w:sz w:val="24"/>
          <w:szCs w:val="24"/>
          <w:rtl w:val="0"/>
          <w:lang w:val="en-US"/>
        </w:rPr>
        <w:t>has been agreed</w:t>
      </w:r>
      <w:r>
        <w:rPr>
          <w:sz w:val="24"/>
          <w:szCs w:val="24"/>
          <w:rtl w:val="0"/>
          <w:lang w:val="en-US"/>
        </w:rPr>
        <w:t xml:space="preserve">. </w:t>
      </w:r>
      <w:r>
        <w:rPr>
          <w:sz w:val="24"/>
          <w:szCs w:val="24"/>
          <w:rtl w:val="0"/>
          <w:lang w:val="en-US"/>
        </w:rPr>
        <w:t>In this context, we believe</w:t>
      </w:r>
      <w:r>
        <w:rPr>
          <w:sz w:val="24"/>
          <w:szCs w:val="24"/>
          <w:rtl w:val="0"/>
          <w:lang w:val="fr-FR"/>
        </w:rPr>
        <w:t xml:space="preserve"> that reporting full (complete) CQI (with 16 possibilities)</w:t>
      </w:r>
      <w:r>
        <w:rPr>
          <w:sz w:val="24"/>
          <w:szCs w:val="24"/>
          <w:rtl w:val="0"/>
          <w:lang w:val="fr-FR"/>
        </w:rPr>
        <w:t xml:space="preserve">, where each such CQI follows the definition of a 4 bit CQI (Cf. </w:t>
      </w:r>
      <w:r>
        <w:rPr>
          <w:sz w:val="24"/>
          <w:szCs w:val="24"/>
          <w:rtl w:val="0"/>
          <w:lang w:val="fr-FR"/>
        </w:rPr>
        <w:t>TS 36.213</w:t>
      </w:r>
      <w:r>
        <w:rPr>
          <w:sz w:val="24"/>
          <w:szCs w:val="24"/>
          <w:rtl w:val="0"/>
          <w:lang w:val="fr-FR"/>
        </w:rPr>
        <w:t xml:space="preserve">), </w:t>
      </w:r>
      <w:r>
        <w:rPr>
          <w:sz w:val="24"/>
          <w:szCs w:val="24"/>
          <w:rtl w:val="0"/>
          <w:lang w:val="fr-FR"/>
        </w:rPr>
        <w:t>for each indicated subband instead of differential CQI is useful</w:t>
      </w:r>
      <w:r>
        <w:rPr>
          <w:sz w:val="24"/>
          <w:szCs w:val="24"/>
          <w:rtl w:val="0"/>
          <w:lang w:val="fr-FR"/>
        </w:rPr>
        <w:t xml:space="preserve">. This has main two advantages. It allows the sending eNB full freedom in obtaining these CQIs.  Indeed, it is </w:t>
      </w:r>
      <w:r>
        <w:rPr>
          <w:sz w:val="24"/>
          <w:szCs w:val="24"/>
          <w:rtl w:val="0"/>
          <w:lang w:val="fr-FR"/>
        </w:rPr>
        <w:t xml:space="preserve">desirable to not impose restrictions  on sending eNB2 on how it </w:t>
      </w:r>
      <w:r>
        <w:rPr>
          <w:sz w:val="24"/>
          <w:szCs w:val="24"/>
          <w:rtl w:val="0"/>
          <w:lang w:val="fr-FR"/>
        </w:rPr>
        <w:t xml:space="preserve">processes or </w:t>
      </w:r>
      <w:r>
        <w:rPr>
          <w:sz w:val="24"/>
          <w:szCs w:val="24"/>
          <w:rtl w:val="0"/>
          <w:lang w:val="fr-FR"/>
        </w:rPr>
        <w:t xml:space="preserve">combines reports  from multiple different feedback modes configured for </w:t>
      </w:r>
      <w:r>
        <w:rPr>
          <w:sz w:val="24"/>
          <w:szCs w:val="24"/>
          <w:rtl w:val="0"/>
          <w:lang w:val="fr-FR"/>
        </w:rPr>
        <w:t>a</w:t>
      </w:r>
      <w:r>
        <w:rPr>
          <w:sz w:val="24"/>
          <w:szCs w:val="24"/>
          <w:rtl w:val="0"/>
          <w:lang w:val="fr-FR"/>
        </w:rPr>
        <w:t xml:space="preserve"> UE under the same CSI process.</w:t>
      </w:r>
      <w:r>
        <w:rPr>
          <w:sz w:val="24"/>
          <w:szCs w:val="24"/>
          <w:rtl w:val="0"/>
          <w:lang w:val="fr-FR"/>
        </w:rPr>
        <w:t xml:space="preserve"> Secondly, the receiving eNB can be agnostic to the configured feedback modes. This latter point is important because </w:t>
      </w:r>
      <w:r>
        <w:rPr>
          <w:sz w:val="24"/>
          <w:szCs w:val="24"/>
          <w:rtl w:val="0"/>
          <w:lang w:val="fr-FR"/>
        </w:rPr>
        <w:t>when aperiodic feedback mode  3-1 is</w:t>
      </w:r>
      <w:r>
        <w:rPr>
          <w:sz w:val="28"/>
          <w:szCs w:val="28"/>
          <w:rtl w:val="0"/>
          <w:lang w:val="fr-FR"/>
        </w:rPr>
        <w:t xml:space="preserve"> </w:t>
      </w:r>
      <w:r>
        <w:rPr>
          <w:sz w:val="24"/>
          <w:szCs w:val="24"/>
          <w:rtl w:val="0"/>
          <w:lang w:val="fr-FR"/>
        </w:rPr>
        <w:t xml:space="preserve">configured for the UE (by eNB2),  the UE reported sub band CQI is encoded differentially with respect to the corresponding wideband CQI using 2 bits representing differential values {-2, 0,1,2}. On the other hand,   in the case of aperiodic feedback mode 2-0 or 2-2, only the best M-average </w:t>
      </w:r>
      <w:r>
        <w:rPr>
          <w:sz w:val="24"/>
          <w:szCs w:val="24"/>
          <w:rtl w:val="0"/>
          <w:lang w:val="fr-FR"/>
        </w:rPr>
        <w:t xml:space="preserve">CQI </w:t>
      </w:r>
      <w:r>
        <w:rPr>
          <w:sz w:val="24"/>
          <w:szCs w:val="24"/>
          <w:rtl w:val="0"/>
          <w:lang w:val="fr-FR"/>
        </w:rPr>
        <w:t xml:space="preserve">is reported by the UE by differentially encoding it with respect to a corresponding </w:t>
      </w:r>
      <w:r>
        <w:rPr>
          <w:sz w:val="24"/>
          <w:szCs w:val="24"/>
          <w:rtl w:val="0"/>
          <w:lang w:val="fr-FR"/>
        </w:rPr>
        <w:t>wideband</w:t>
      </w:r>
      <w:r>
        <w:rPr>
          <w:sz w:val="24"/>
          <w:szCs w:val="24"/>
          <w:rtl w:val="0"/>
          <w:lang w:val="fr-FR"/>
        </w:rPr>
        <w:t xml:space="preserve"> CQI</w:t>
      </w:r>
      <w:r>
        <w:rPr>
          <w:sz w:val="24"/>
          <w:szCs w:val="24"/>
          <w:rtl w:val="0"/>
          <w:lang w:val="fr-FR"/>
        </w:rPr>
        <w:t>,</w:t>
      </w:r>
      <w:r>
        <w:rPr>
          <w:sz w:val="24"/>
          <w:szCs w:val="24"/>
          <w:rtl w:val="0"/>
          <w:lang w:val="fr-FR"/>
        </w:rPr>
        <w:t xml:space="preserve"> using 2 bits representing differential values {1,2,3,4}. Further, in case of periodic feedback mode 2-1 the CQI corresponding to codeword-1 for each UE selected subband within a bandwidth part can itself be of 4 bits, whereas that of codeword-2 (when RI&gt;1) is differentially encoded with respect to CQI of codeword-1 using 3 bits. </w:t>
      </w:r>
    </w:p>
    <w:p>
      <w:pPr>
        <w:pStyle w:val="Body A"/>
        <w:spacing w:after="0" w:line="240" w:lineRule="atLeast"/>
        <w:jc w:val="both"/>
        <w:rPr>
          <w:sz w:val="24"/>
          <w:szCs w:val="24"/>
          <w:lang w:val="en-US"/>
        </w:rPr>
      </w:pPr>
      <w:r>
        <w:rPr>
          <w:sz w:val="24"/>
          <w:szCs w:val="24"/>
          <w:rtl w:val="0"/>
          <w:lang w:val="en-US"/>
        </w:rPr>
        <w:t>It becomes apparent from the above discussion that a transparent way of conveying CQI (without having to convey all details regarding to one or more feedback modes configured under that CSI process for that UE) is to allow for   full (complete) CQI for each indicated subband.</w:t>
      </w:r>
    </w:p>
    <w:p>
      <w:pPr>
        <w:pStyle w:val="Body A"/>
        <w:spacing w:after="0" w:line="240" w:lineRule="atLeast"/>
        <w:jc w:val="both"/>
        <w:rPr>
          <w:sz w:val="24"/>
          <w:szCs w:val="24"/>
          <w:lang w:val="en-US"/>
        </w:rPr>
      </w:pPr>
    </w:p>
    <w:p>
      <w:pPr>
        <w:pStyle w:val="Body A"/>
        <w:spacing w:after="0" w:line="240" w:lineRule="atLeast"/>
        <w:jc w:val="both"/>
        <w:rPr>
          <w:sz w:val="24"/>
          <w:szCs w:val="24"/>
          <w:u w:val="single"/>
          <w:lang w:val="en-US"/>
        </w:rPr>
      </w:pPr>
      <w:r>
        <w:rPr>
          <w:sz w:val="24"/>
          <w:szCs w:val="24"/>
          <w:u w:val="single"/>
          <w:rtl w:val="0"/>
          <w:lang w:val="en-US"/>
        </w:rPr>
        <w:t>Proposal: Convey each subband CQI using full representation (4bits or 16 possibilities)</w:t>
      </w:r>
    </w:p>
    <w:p>
      <w:pPr>
        <w:pStyle w:val="Body A"/>
        <w:spacing w:after="0" w:line="240" w:lineRule="atLeast"/>
        <w:jc w:val="both"/>
        <w:rPr>
          <w:sz w:val="28"/>
          <w:szCs w:val="28"/>
          <w:lang w:val="en-US"/>
        </w:rPr>
      </w:pP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 xml:space="preserve">Next, we consider subband indexing and propose an </w:t>
      </w:r>
      <w:r>
        <w:rPr>
          <w:rFonts w:ascii="Times New Roman"/>
          <w:sz w:val="24"/>
          <w:szCs w:val="24"/>
          <w:rtl w:val="0"/>
          <w:lang w:val="en-US"/>
        </w:rPr>
        <w:t xml:space="preserve">alternative in which the subband selection (including their sizes, indices)  is conveyed by means of a combinatorial index which is described next. </w:t>
      </w: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 xml:space="preserve">This idea is a simple extension of that used in TS 36.213 for aperiodic feedback mode 2-*. In particular, depending on the number of PRBs (or RBs for short) in the downlink available at sending eNB2 (a parameter which is known or conveyed separately to the receiving eNB1) , the set of all possible  subband selections that can be made together with the subband sizes for all feedback modes can be deduced by eNB1. </w:t>
      </w: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For example when 110 RBs are available at eNB2 (and this number is conveyed to eNB1) eNB1 can deduce that for a UE configured under [5]:</w:t>
      </w: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 xml:space="preserve"> </w:t>
      </w:r>
      <w:r>
        <w:rPr>
          <w:rFonts w:ascii="Times New Roman"/>
          <w:sz w:val="24"/>
          <w:szCs w:val="24"/>
          <w:rtl w:val="0"/>
          <w:lang w:val="en-US"/>
        </w:rPr>
        <w:t>Aperiodic, Mode 2-*: 6 UE selected subband indices</w:t>
      </w: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A subframe is composed of 28 subbands. Among 28 subbands, 6 subbands are selected by the UE. The number of PRBs in the subbands is 4 except for the last one; the number of PRBs in the last subband is 2 (4*27 + 2 = 110).</w:t>
      </w: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 xml:space="preserve">For </w:t>
      </w:r>
      <w:r>
        <w:rPr>
          <w:rFonts w:ascii="Times New Roman"/>
          <w:sz w:val="24"/>
          <w:szCs w:val="24"/>
          <w:rtl w:val="0"/>
          <w:lang w:val="en-US"/>
        </w:rPr>
        <w:t xml:space="preserve">Aperiodic, Mode 3-*: 14 higher layer-configured </w:t>
      </w:r>
      <w:r>
        <w:rPr>
          <w:rFonts w:ascii="Times New Roman"/>
          <w:sz w:val="24"/>
          <w:szCs w:val="24"/>
          <w:rtl w:val="0"/>
          <w:lang w:val="en-US"/>
        </w:rPr>
        <w:t>sub bands</w:t>
      </w:r>
    </w:p>
    <w:p>
      <w:pPr>
        <w:pStyle w:val="표준"/>
        <w:numPr>
          <w:ilvl w:val="1"/>
          <w:numId w:val="6"/>
        </w:numPr>
        <w:tabs>
          <w:tab w:val="num" w:pos="1221"/>
          <w:tab w:val="clear" w:pos="1305"/>
        </w:tabs>
        <w:ind w:left="1221" w:hanging="421"/>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pPr>
      <w:r>
        <w:rPr>
          <w:rFonts w:ascii="Times New Roman" w:cs="Arial Unicode MS" w:hAnsi="Arial Unicode MS" w:eastAsia="Arial Unicode MS"/>
          <w:sz w:val="24"/>
          <w:szCs w:val="24"/>
          <w:rtl w:val="0"/>
          <w:lang w:val="en-US"/>
        </w:rPr>
        <w:t>A subframe is composed of 14 subbands. The number of PRBs in the subband is 8 except for the last one; the number of PRBs in the last subband is 6 (8*13 + 6 = 110).</w:t>
      </w: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For P</w:t>
      </w:r>
      <w:r>
        <w:rPr>
          <w:rFonts w:ascii="Times New Roman"/>
          <w:sz w:val="24"/>
          <w:szCs w:val="24"/>
          <w:rtl w:val="0"/>
          <w:lang w:val="en-US"/>
        </w:rPr>
        <w:t xml:space="preserve">eriodic, Mode </w:t>
      </w:r>
      <w:r>
        <w:rPr>
          <w:rFonts w:ascii="Times New Roman"/>
          <w:sz w:val="24"/>
          <w:szCs w:val="24"/>
          <w:rtl w:val="0"/>
          <w:lang w:val="en-US"/>
        </w:rPr>
        <w:t>2</w:t>
      </w:r>
      <w:r>
        <w:rPr>
          <w:rFonts w:ascii="Times New Roman"/>
          <w:sz w:val="24"/>
          <w:szCs w:val="24"/>
          <w:rtl w:val="0"/>
          <w:lang w:val="en-US"/>
        </w:rPr>
        <w:t>-*: 4 UE selected subband indices</w:t>
      </w:r>
      <w:r>
        <w:rPr>
          <w:rFonts w:ascii="Times New Roman"/>
          <w:sz w:val="24"/>
          <w:szCs w:val="24"/>
          <w:rtl w:val="0"/>
          <w:lang w:val="en-US"/>
        </w:rPr>
        <w:t xml:space="preserve"> (with an additional constraint on choosing one sub band per bandwidth portion or part) </w:t>
      </w:r>
    </w:p>
    <w:p>
      <w:pPr>
        <w:pStyle w:val="표준"/>
        <w:numPr>
          <w:ilvl w:val="1"/>
          <w:numId w:val="6"/>
        </w:numPr>
        <w:tabs>
          <w:tab w:val="num" w:pos="1221"/>
          <w:tab w:val="clear" w:pos="1305"/>
        </w:tabs>
        <w:ind w:left="1221" w:hanging="421"/>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pPr>
      <w:r>
        <w:rPr>
          <w:rFonts w:ascii="Times New Roman" w:cs="Arial Unicode MS" w:hAnsi="Arial Unicode MS" w:eastAsia="Arial Unicode MS"/>
          <w:sz w:val="24"/>
          <w:szCs w:val="24"/>
          <w:rtl w:val="0"/>
          <w:lang w:val="en-US"/>
        </w:rPr>
        <w:t>A subframe is composed of 14 subbands. Among 14 subbands, 4 subbands are selected by the UE. The number of PRBs in the subbands is 8 except for the last one; the number of PRBs in the last subband is 6 (8*13 + 6 = 110).</w:t>
      </w:r>
    </w:p>
    <w:p>
      <w:pPr>
        <w:pStyle w:val="CR Cover Page"/>
        <w:spacing w:after="180"/>
        <w:rPr>
          <w:rFonts w:ascii="Times New Roman" w:cs="Times New Roman" w:hAnsi="Times New Roman" w:eastAsia="Times New Roman"/>
          <w:sz w:val="24"/>
          <w:szCs w:val="24"/>
        </w:rPr>
      </w:pP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Then, considering all possible feasible subband selections under all the aforementioned feedback modes, it is possible to assign a unique label to each distinct feasible selection of sub bands. All possible such labels together decide the range of a combinatorial index R. As a result, knowing the value of R the receiving eNB can deduce the subband selection. The associated CQIs (one for each subband in the indicated selection) can be ordered in the increasing order of the frequency range represented by the indicated subbands. Each such CQI can be conveyed using full representation (i.e., using 16 possibilities) which can then be directly used by the receiving eNB1.</w:t>
      </w:r>
    </w:p>
    <w:p>
      <w:pPr>
        <w:pStyle w:val="Body A"/>
        <w:spacing w:after="0" w:line="240" w:lineRule="atLeast"/>
        <w:jc w:val="both"/>
        <w:rPr>
          <w:sz w:val="24"/>
          <w:szCs w:val="24"/>
          <w:u w:val="single"/>
          <w:lang w:val="en-US"/>
        </w:rPr>
      </w:pPr>
      <w:r>
        <w:rPr>
          <w:sz w:val="24"/>
          <w:szCs w:val="24"/>
          <w:u w:val="single"/>
          <w:rtl w:val="0"/>
          <w:lang w:val="en-US"/>
        </w:rPr>
        <w:t xml:space="preserve">Proposal: Convey subband indexing and size information via a combinatorial index. </w:t>
      </w:r>
    </w:p>
    <w:p>
      <w:pPr>
        <w:pStyle w:val="Body A"/>
        <w:spacing w:after="0" w:line="240" w:lineRule="atLeast"/>
        <w:jc w:val="both"/>
        <w:rPr>
          <w:sz w:val="24"/>
          <w:szCs w:val="24"/>
          <w:lang w:val="en-US"/>
        </w:rPr>
      </w:pPr>
    </w:p>
    <w:p>
      <w:pPr>
        <w:pStyle w:val="CR Cover Page"/>
        <w:spacing w:after="180"/>
        <w:rPr>
          <w:rFonts w:ascii="Times New Roman" w:cs="Times New Roman" w:hAnsi="Times New Roman" w:eastAsia="Times New Roman"/>
          <w:sz w:val="24"/>
          <w:szCs w:val="24"/>
        </w:rPr>
      </w:pPr>
      <w:r>
        <w:rPr>
          <w:rFonts w:ascii="Times New Roman"/>
          <w:sz w:val="24"/>
          <w:szCs w:val="24"/>
          <w:rtl w:val="0"/>
          <w:lang w:val="en-US"/>
        </w:rPr>
        <w:t>Another issue that is important, is to ensure that the RI and CQIs conveyed by eNB2 to eNB1 in a UE CSI report are mutually consistent, i.e., all the reported CQIs are computed by the UE for the same RI (which is identical to the one in the Rank Indication IE when the latter is present). This issue is important to address because under certain feedback modes (such as periodic mode 2-1) the RI and the wideband CQI(s) as well as the subband CQI(s) for one or more bandwidth portions can be reported by the UE on different subframes. Thus, depending on the periodicity defined by eNB1 in its CSI request, it can happen that the latest RI available for the UE under the CSI process, can be different from the one for which one or more of the most recently available  CQI(s) are computed. In such a case, the sending eNB2 should ensure that its CSI report is consistent, for instance by using the RI value for which the most recently available CQI(s) have been computed.</w:t>
      </w:r>
    </w:p>
    <w:p>
      <w:pPr>
        <w:pStyle w:val="Body A"/>
        <w:spacing w:after="0" w:line="240" w:lineRule="atLeast"/>
        <w:jc w:val="both"/>
        <w:rPr>
          <w:sz w:val="24"/>
          <w:szCs w:val="24"/>
          <w:lang w:val="en-US"/>
        </w:rPr>
      </w:pPr>
      <w:r>
        <w:rPr>
          <w:sz w:val="24"/>
          <w:szCs w:val="24"/>
          <w:u w:val="single"/>
          <w:rtl w:val="0"/>
          <w:lang w:val="en-US"/>
        </w:rPr>
        <w:t>Proposal: Sending eNB must ensure RI and CQI(s) conveyed in a CSI report are mutually consistent.</w:t>
      </w:r>
      <w:r>
        <w:rPr>
          <w:sz w:val="24"/>
          <w:szCs w:val="24"/>
          <w:rtl w:val="0"/>
          <w:lang w:val="en-US"/>
        </w:rPr>
        <w:t xml:space="preserve"> </w:t>
      </w:r>
    </w:p>
    <w:p>
      <w:pPr>
        <w:pStyle w:val="Body A"/>
        <w:spacing w:after="0" w:line="240" w:lineRule="atLeast"/>
        <w:jc w:val="both"/>
        <w:rPr>
          <w:sz w:val="28"/>
          <w:szCs w:val="28"/>
          <w:lang w:val="en-US"/>
        </w:rPr>
      </w:pPr>
    </w:p>
    <w:p>
      <w:pPr>
        <w:pStyle w:val="Body A"/>
        <w:spacing w:after="0" w:line="240" w:lineRule="atLeast"/>
        <w:jc w:val="both"/>
        <w:rPr>
          <w:sz w:val="24"/>
          <w:szCs w:val="24"/>
          <w:lang w:val="en-US"/>
        </w:rPr>
      </w:pPr>
      <w:r>
        <w:rPr>
          <w:sz w:val="24"/>
          <w:szCs w:val="24"/>
          <w:rtl w:val="0"/>
          <w:lang w:val="en-US"/>
        </w:rPr>
        <w:t xml:space="preserve">One of the key goals of CSI exchange is to facilitate centralized RRM [3]. In a scenario with centralized RRM, the central node receiving the CSI reports should be able to keep track of the CSI information received for each particular UE, over all the received CSI reports. </w:t>
      </w:r>
      <w:r>
        <w:rPr>
          <w:sz w:val="24"/>
          <w:szCs w:val="24"/>
          <w:rtl w:val="0"/>
          <w:lang w:val="en-US"/>
        </w:rPr>
        <w:t xml:space="preserve">In order to ensure this, it has been agreed that </w:t>
      </w:r>
      <w:r>
        <w:rPr>
          <w:sz w:val="24"/>
          <w:szCs w:val="24"/>
          <w:rtl w:val="0"/>
          <w:lang w:val="en-US"/>
        </w:rPr>
        <w:t xml:space="preserve">a UE identifier </w:t>
      </w:r>
      <w:r>
        <w:rPr>
          <w:sz w:val="24"/>
          <w:szCs w:val="24"/>
          <w:rtl w:val="0"/>
          <w:lang w:val="en-US"/>
        </w:rPr>
        <w:t xml:space="preserve">will be included </w:t>
      </w:r>
      <w:r>
        <w:rPr>
          <w:sz w:val="24"/>
          <w:szCs w:val="24"/>
          <w:rtl w:val="0"/>
          <w:lang w:val="en-US"/>
        </w:rPr>
        <w:t xml:space="preserve">in each CSI report for each UE whose CSI is conveyed in that report. </w:t>
      </w:r>
      <w:r>
        <w:rPr>
          <w:sz w:val="24"/>
          <w:szCs w:val="24"/>
          <w:rtl w:val="0"/>
          <w:lang w:val="en-US"/>
        </w:rPr>
        <w:t>This ID should enable the</w:t>
      </w:r>
      <w:r>
        <w:rPr>
          <w:sz w:val="24"/>
          <w:szCs w:val="24"/>
          <w:rtl w:val="0"/>
          <w:lang w:val="en-US"/>
        </w:rPr>
        <w:t xml:space="preserve"> receiving node </w:t>
      </w:r>
      <w:r>
        <w:rPr>
          <w:sz w:val="24"/>
          <w:szCs w:val="24"/>
          <w:rtl w:val="0"/>
          <w:lang w:val="en-US"/>
        </w:rPr>
        <w:t xml:space="preserve">to deduce </w:t>
      </w:r>
      <w:r>
        <w:rPr>
          <w:sz w:val="24"/>
          <w:szCs w:val="24"/>
          <w:rtl w:val="0"/>
          <w:lang w:val="en-US"/>
        </w:rPr>
        <w:t xml:space="preserve"> which ones among all the reports that it receives, belong</w:t>
      </w:r>
      <w:r>
        <w:rPr>
          <w:sz w:val="24"/>
          <w:szCs w:val="24"/>
          <w:rtl w:val="0"/>
          <w:lang w:val="en-US"/>
        </w:rPr>
        <w:t>s to</w:t>
      </w:r>
      <w:r>
        <w:rPr>
          <w:sz w:val="24"/>
          <w:szCs w:val="24"/>
          <w:rtl w:val="0"/>
          <w:lang w:val="en-US"/>
        </w:rPr>
        <w:t xml:space="preserve"> </w:t>
      </w:r>
      <w:r>
        <w:rPr>
          <w:sz w:val="24"/>
          <w:szCs w:val="24"/>
          <w:rtl w:val="0"/>
          <w:lang w:val="en-US"/>
        </w:rPr>
        <w:t xml:space="preserve">that </w:t>
      </w:r>
      <w:r>
        <w:rPr>
          <w:sz w:val="24"/>
          <w:szCs w:val="24"/>
          <w:rtl w:val="0"/>
          <w:lang w:val="en-US"/>
        </w:rPr>
        <w:t>user</w:t>
      </w:r>
      <w:r>
        <w:rPr>
          <w:sz w:val="24"/>
          <w:szCs w:val="24"/>
          <w:rtl w:val="0"/>
          <w:lang w:val="en-US"/>
        </w:rPr>
        <w:t>, thereby facilitating</w:t>
      </w:r>
      <w:r>
        <w:rPr>
          <w:sz w:val="24"/>
          <w:szCs w:val="24"/>
          <w:rtl w:val="0"/>
          <w:lang w:val="en-US"/>
        </w:rPr>
        <w:t xml:space="preserve"> RRM.</w:t>
      </w:r>
      <w:r>
        <w:rPr>
          <w:sz w:val="24"/>
          <w:szCs w:val="24"/>
          <w:rtl w:val="0"/>
          <w:lang w:val="en-US"/>
        </w:rPr>
        <w:t xml:space="preserve"> Including a similar UE ID in the RSRP reports will also be beneficial and allow the receiving eNB to combine or jointly exploit these two sets of reports. </w:t>
      </w:r>
    </w:p>
    <w:p>
      <w:pPr>
        <w:pStyle w:val="Body A"/>
        <w:spacing w:after="0" w:line="240" w:lineRule="atLeast"/>
        <w:jc w:val="both"/>
        <w:rPr>
          <w:sz w:val="24"/>
          <w:szCs w:val="24"/>
          <w:lang w:val="en-US"/>
        </w:rPr>
      </w:pPr>
    </w:p>
    <w:p>
      <w:pPr>
        <w:pStyle w:val="Body A"/>
        <w:spacing w:after="0" w:line="240" w:lineRule="atLeast"/>
        <w:jc w:val="both"/>
        <w:rPr>
          <w:sz w:val="24"/>
          <w:szCs w:val="24"/>
          <w:u w:val="single"/>
          <w:lang w:val="en-US"/>
        </w:rPr>
      </w:pPr>
      <w:r>
        <w:rPr>
          <w:sz w:val="24"/>
          <w:szCs w:val="24"/>
          <w:u w:val="single"/>
          <w:rtl w:val="0"/>
          <w:lang w:val="en-US"/>
        </w:rPr>
        <w:t>Proposal: Include UE ID in RSRP measurement report</w:t>
      </w:r>
    </w:p>
    <w:p>
      <w:pPr>
        <w:pStyle w:val="Body A"/>
        <w:spacing w:after="0" w:line="240" w:lineRule="atLeast"/>
        <w:jc w:val="both"/>
        <w:rPr>
          <w:sz w:val="28"/>
          <w:szCs w:val="28"/>
          <w:lang w:val="en-US"/>
        </w:rPr>
      </w:pPr>
    </w:p>
    <w:p>
      <w:pPr>
        <w:pStyle w:val="Body A"/>
        <w:spacing w:after="0" w:line="240" w:lineRule="atLeast"/>
        <w:jc w:val="both"/>
        <w:rPr>
          <w:rFonts w:ascii="Times New Roman Bold" w:cs="Times New Roman Bold" w:hAnsi="Times New Roman Bold" w:eastAsia="Times New Roman Bold"/>
          <w:sz w:val="28"/>
          <w:szCs w:val="28"/>
          <w:lang w:val="en-US"/>
        </w:rPr>
      </w:pPr>
      <w:r>
        <w:rPr>
          <w:sz w:val="28"/>
          <w:szCs w:val="28"/>
          <w:rtl w:val="0"/>
          <w:lang w:val="en-US"/>
        </w:rPr>
        <w:t xml:space="preserve"> </w:t>
      </w:r>
      <w:r>
        <w:rPr>
          <w:rFonts w:ascii="Times New Roman Bold"/>
          <w:sz w:val="28"/>
          <w:szCs w:val="28"/>
          <w:rtl w:val="0"/>
          <w:lang w:val="en-US"/>
        </w:rPr>
        <w:t>3. Conclusion</w:t>
      </w:r>
    </w:p>
    <w:p>
      <w:pPr>
        <w:pStyle w:val="Body A"/>
        <w:spacing w:after="0" w:line="240" w:lineRule="atLeast"/>
        <w:jc w:val="both"/>
        <w:rPr>
          <w:sz w:val="28"/>
          <w:szCs w:val="28"/>
          <w:lang w:val="en-US"/>
        </w:rPr>
      </w:pPr>
    </w:p>
    <w:p>
      <w:pPr>
        <w:pStyle w:val="Body A"/>
        <w:spacing w:after="0" w:line="240" w:lineRule="atLeast"/>
        <w:jc w:val="both"/>
        <w:rPr>
          <w:rFonts w:ascii="Cambria" w:cs="Cambria" w:hAnsi="Cambria" w:eastAsia="Cambria"/>
          <w:sz w:val="24"/>
          <w:szCs w:val="24"/>
        </w:rPr>
      </w:pPr>
      <w:r>
        <w:rPr>
          <w:rFonts w:ascii="Cambria" w:cs="Cambria" w:hAnsi="Cambria" w:eastAsia="Cambria"/>
          <w:sz w:val="24"/>
          <w:szCs w:val="24"/>
          <w:rtl w:val="0"/>
          <w:lang w:val="en-US"/>
        </w:rPr>
        <w:t xml:space="preserve">In this contribution we discussed the necessary X2 message to support CSI exchange for  inter-eNB CoMP and presented </w:t>
      </w:r>
      <w:r>
        <w:rPr>
          <w:rFonts w:ascii="Cambria" w:cs="Cambria" w:hAnsi="Cambria" w:eastAsia="Cambria"/>
          <w:sz w:val="24"/>
          <w:szCs w:val="24"/>
          <w:rtl w:val="0"/>
          <w:lang w:val="en-US"/>
        </w:rPr>
        <w:t xml:space="preserve">our views along with a </w:t>
      </w:r>
      <w:r>
        <w:rPr>
          <w:rFonts w:ascii="Cambria" w:cs="Cambria" w:hAnsi="Cambria" w:eastAsia="Cambria"/>
          <w:sz w:val="24"/>
          <w:szCs w:val="24"/>
          <w:rtl w:val="0"/>
          <w:lang w:val="en-US"/>
        </w:rPr>
        <w:t xml:space="preserve">corresponding text proposal. </w:t>
      </w:r>
    </w:p>
    <w:p>
      <w:pPr>
        <w:pStyle w:val="Heading"/>
        <w:ind w:left="0" w:firstLine="0"/>
        <w:rPr>
          <w:rFonts w:ascii="Cambria" w:cs="Cambria" w:hAnsi="Cambria" w:eastAsia="Cambria"/>
          <w:b w:val="1"/>
          <w:bCs w:val="1"/>
          <w:sz w:val="24"/>
          <w:szCs w:val="24"/>
          <w:lang w:val="en-US"/>
        </w:rPr>
      </w:pPr>
      <w:r>
        <w:rPr>
          <w:rFonts w:ascii="Cambria" w:cs="Cambria" w:hAnsi="Cambria" w:eastAsia="Cambria"/>
          <w:b w:val="1"/>
          <w:bCs w:val="1"/>
          <w:sz w:val="24"/>
          <w:szCs w:val="24"/>
          <w:rtl w:val="0"/>
          <w:lang w:val="en-US"/>
        </w:rPr>
        <w:t>References</w:t>
      </w:r>
    </w:p>
    <w:p>
      <w:pPr>
        <w:pStyle w:val="Body A"/>
        <w:spacing w:after="0" w:line="240" w:lineRule="atLeast"/>
        <w:jc w:val="both"/>
        <w:rPr>
          <w:rFonts w:ascii="Cambria" w:cs="Cambria" w:hAnsi="Cambria" w:eastAsia="Cambria"/>
          <w:sz w:val="24"/>
          <w:szCs w:val="24"/>
          <w:lang w:val="en-US"/>
        </w:rPr>
      </w:pPr>
      <w:r>
        <w:rPr>
          <w:rFonts w:ascii="Cambria" w:cs="Cambria" w:hAnsi="Cambria" w:eastAsia="Cambria"/>
          <w:sz w:val="24"/>
          <w:szCs w:val="24"/>
          <w:rtl w:val="0"/>
          <w:lang w:val="en-US"/>
        </w:rPr>
        <w:t>[1] RP-141032, ``New Work Item on Enhanced Signaling for Inter-eNB CoMP</w:t>
      </w:r>
      <w:r>
        <w:rPr>
          <w:rFonts w:ascii="Cambria" w:cs="Cambria" w:hAnsi="Cambria" w:eastAsia="Cambria"/>
          <w:sz w:val="24"/>
          <w:szCs w:val="24"/>
          <w:rtl w:val="0"/>
          <w:lang w:val="en-US"/>
        </w:rPr>
        <w:t>”</w:t>
      </w:r>
      <w:r>
        <w:rPr>
          <w:rFonts w:ascii="Cambria" w:cs="Cambria" w:hAnsi="Cambria" w:eastAsia="Cambria"/>
          <w:sz w:val="24"/>
          <w:szCs w:val="24"/>
          <w:rtl w:val="0"/>
          <w:lang w:val="en-US"/>
        </w:rPr>
        <w:t>.</w:t>
      </w:r>
    </w:p>
    <w:p>
      <w:pPr>
        <w:pStyle w:val="Body A"/>
        <w:spacing w:after="0" w:line="240" w:lineRule="atLeast"/>
        <w:jc w:val="both"/>
        <w:rPr>
          <w:rFonts w:ascii="Cambria" w:cs="Cambria" w:hAnsi="Cambria" w:eastAsia="Cambria"/>
          <w:sz w:val="24"/>
          <w:szCs w:val="24"/>
          <w:lang w:val="pt-PT"/>
        </w:rPr>
      </w:pPr>
      <w:r>
        <w:rPr>
          <w:rFonts w:ascii="Cambria" w:cs="Cambria" w:hAnsi="Cambria" w:eastAsia="Cambria"/>
          <w:sz w:val="24"/>
          <w:szCs w:val="24"/>
          <w:rtl w:val="0"/>
          <w:lang w:val="en-US"/>
        </w:rPr>
        <w:t xml:space="preserve">[2]  </w:t>
      </w:r>
      <w:r>
        <w:rPr>
          <w:rFonts w:ascii="Cambria" w:cs="Cambria" w:hAnsi="Cambria" w:eastAsia="Cambria"/>
          <w:sz w:val="24"/>
          <w:szCs w:val="24"/>
          <w:rtl w:val="0"/>
          <w:lang w:val="fr-FR"/>
        </w:rPr>
        <w:t>R3-142582, ``</w:t>
      </w:r>
      <w:r>
        <w:rPr>
          <w:rFonts w:ascii="Cambria" w:cs="Cambria" w:hAnsi="Cambria" w:eastAsia="Cambria"/>
          <w:sz w:val="24"/>
          <w:szCs w:val="24"/>
          <w:rtl w:val="0"/>
          <w:lang w:val="pt-PT"/>
        </w:rPr>
        <w:t>Way forward on WI: Enhanced signalling for inter-eNB CoMP</w:t>
      </w:r>
      <w:r>
        <w:rPr>
          <w:rFonts w:ascii="Cambria" w:cs="Cambria" w:hAnsi="Cambria" w:eastAsia="Cambria"/>
          <w:sz w:val="24"/>
          <w:szCs w:val="24"/>
          <w:rtl w:val="0"/>
          <w:lang w:val="pt-PT"/>
        </w:rPr>
        <w:t>”</w:t>
      </w:r>
      <w:r>
        <w:rPr>
          <w:rFonts w:ascii="Cambria" w:cs="Cambria" w:hAnsi="Cambria" w:eastAsia="Cambria"/>
          <w:sz w:val="24"/>
          <w:szCs w:val="24"/>
          <w:rtl w:val="0"/>
          <w:lang w:val="pt-PT"/>
        </w:rPr>
        <w:t>.</w:t>
      </w:r>
    </w:p>
    <w:p>
      <w:pPr>
        <w:pStyle w:val="Body A"/>
        <w:rPr>
          <w:rFonts w:ascii="Cambria" w:cs="Cambria" w:hAnsi="Cambria" w:eastAsia="Cambria"/>
          <w:sz w:val="24"/>
          <w:szCs w:val="24"/>
          <w:lang w:val="en-US"/>
        </w:rPr>
      </w:pPr>
      <w:r>
        <w:rPr>
          <w:rFonts w:ascii="Cambria" w:cs="Cambria" w:hAnsi="Cambria" w:eastAsia="Cambria"/>
          <w:sz w:val="24"/>
          <w:szCs w:val="24"/>
          <w:rtl w:val="0"/>
          <w:lang w:val="en-US"/>
        </w:rPr>
        <w:t>[3] R1-1</w:t>
      </w:r>
      <w:r>
        <w:rPr>
          <w:rFonts w:ascii="Cambria" w:cs="Cambria" w:hAnsi="Cambria" w:eastAsia="Cambria"/>
          <w:sz w:val="24"/>
          <w:szCs w:val="24"/>
          <w:rtl w:val="0"/>
          <w:lang w:val="en-US"/>
        </w:rPr>
        <w:t>50310</w:t>
      </w:r>
      <w:r>
        <w:rPr>
          <w:rFonts w:ascii="Cambria" w:cs="Cambria" w:hAnsi="Cambria" w:eastAsia="Cambria"/>
          <w:sz w:val="24"/>
          <w:szCs w:val="24"/>
          <w:rtl w:val="0"/>
          <w:lang w:val="en-US"/>
        </w:rPr>
        <w:t xml:space="preserve">, </w:t>
      </w:r>
      <w:r>
        <w:rPr>
          <w:rFonts w:ascii="Cambria" w:cs="Cambria" w:hAnsi="Cambria" w:eastAsia="Cambria"/>
          <w:sz w:val="24"/>
          <w:szCs w:val="24"/>
          <w:rtl w:val="0"/>
          <w:lang w:val="en-US"/>
        </w:rPr>
        <w:t>“</w:t>
      </w:r>
      <w:r>
        <w:rPr>
          <w:rFonts w:ascii="Cambria" w:cs="Cambria" w:hAnsi="Cambria" w:eastAsia="Cambria"/>
          <w:b w:val="1"/>
          <w:bCs w:val="1"/>
          <w:sz w:val="24"/>
          <w:szCs w:val="24"/>
          <w:rtl w:val="0"/>
          <w:lang w:val="fr-FR"/>
        </w:rPr>
        <w:t>Proposals and way forward</w:t>
      </w:r>
      <w:r>
        <w:rPr>
          <w:rFonts w:ascii="Cambria" w:cs="Cambria" w:hAnsi="Cambria" w:eastAsia="Cambria"/>
          <w:b w:val="1"/>
          <w:bCs w:val="1"/>
          <w:sz w:val="24"/>
          <w:szCs w:val="24"/>
          <w:rtl w:val="0"/>
          <w:lang w:val="fr-FR"/>
        </w:rPr>
        <w:t xml:space="preserve"> for </w:t>
      </w:r>
      <w:r>
        <w:rPr>
          <w:rFonts w:ascii="Cambria" w:cs="Cambria" w:hAnsi="Cambria" w:eastAsia="Cambria"/>
          <w:b w:val="1"/>
          <w:bCs w:val="1"/>
          <w:sz w:val="24"/>
          <w:szCs w:val="24"/>
          <w:rtl w:val="0"/>
          <w:lang w:val="fr-FR"/>
        </w:rPr>
        <w:t>e</w:t>
      </w:r>
      <w:r>
        <w:rPr>
          <w:rFonts w:ascii="Cambria" w:cs="Cambria" w:hAnsi="Cambria" w:eastAsia="Cambria"/>
          <w:b w:val="1"/>
          <w:bCs w:val="1"/>
          <w:sz w:val="24"/>
          <w:szCs w:val="24"/>
          <w:rtl w:val="0"/>
          <w:lang w:val="fr-FR"/>
        </w:rPr>
        <w:t>CoMP</w:t>
      </w:r>
      <w:r>
        <w:rPr>
          <w:rFonts w:ascii="Cambria" w:cs="Cambria" w:hAnsi="Cambria" w:eastAsia="Cambria"/>
          <w:b w:val="1"/>
          <w:bCs w:val="1"/>
          <w:sz w:val="24"/>
          <w:szCs w:val="24"/>
          <w:rtl w:val="0"/>
          <w:lang w:val="fr-FR"/>
        </w:rPr>
        <w:t xml:space="preserve"> CSI signalling</w:t>
      </w:r>
      <w:r>
        <w:rPr>
          <w:rFonts w:ascii="Cambria" w:cs="Cambria" w:hAnsi="Cambria" w:eastAsia="Cambria"/>
          <w:sz w:val="24"/>
          <w:szCs w:val="24"/>
          <w:rtl w:val="0"/>
          <w:lang w:val="en-US"/>
        </w:rPr>
        <w:t>”</w:t>
      </w:r>
      <w:r>
        <w:rPr>
          <w:rFonts w:ascii="Cambria" w:cs="Cambria" w:hAnsi="Cambria" w:eastAsia="Cambria"/>
          <w:sz w:val="24"/>
          <w:szCs w:val="24"/>
          <w:rtl w:val="0"/>
          <w:lang w:val="en-US"/>
        </w:rPr>
        <w:t xml:space="preserve">, </w:t>
      </w:r>
      <w:r>
        <w:rPr>
          <w:rFonts w:ascii="Cambria" w:cs="Cambria" w:hAnsi="Cambria" w:eastAsia="Cambria"/>
          <w:sz w:val="24"/>
          <w:szCs w:val="24"/>
          <w:rtl w:val="0"/>
          <w:lang w:val="en-US"/>
        </w:rPr>
        <w:t>Ericsson</w:t>
      </w:r>
    </w:p>
    <w:p>
      <w:pPr>
        <w:pStyle w:val="Body A"/>
        <w:rPr>
          <w:rFonts w:ascii="Cambria" w:cs="Cambria" w:hAnsi="Cambria" w:eastAsia="Cambria"/>
          <w:sz w:val="24"/>
          <w:szCs w:val="24"/>
          <w:u w:color="ff0000"/>
          <w:lang w:val="en-US"/>
        </w:rPr>
      </w:pPr>
      <w:r>
        <w:rPr>
          <w:rFonts w:ascii="Cambria" w:cs="Cambria" w:hAnsi="Cambria" w:eastAsia="Cambria"/>
          <w:sz w:val="24"/>
          <w:szCs w:val="24"/>
          <w:rtl w:val="0"/>
          <w:lang w:val="en-US"/>
        </w:rPr>
        <w:t>[</w:t>
      </w:r>
      <w:r>
        <w:rPr>
          <w:rFonts w:ascii="Cambria" w:cs="Cambria" w:hAnsi="Cambria" w:eastAsia="Cambria"/>
          <w:sz w:val="24"/>
          <w:szCs w:val="24"/>
          <w:rtl w:val="0"/>
          <w:lang w:val="en-US"/>
        </w:rPr>
        <w:t>4</w:t>
      </w:r>
      <w:r>
        <w:rPr>
          <w:rFonts w:ascii="Cambria" w:cs="Cambria" w:hAnsi="Cambria" w:eastAsia="Cambria"/>
          <w:sz w:val="24"/>
          <w:szCs w:val="24"/>
          <w:rtl w:val="0"/>
          <w:lang w:val="en-US"/>
        </w:rPr>
        <w:t>] R1-1</w:t>
      </w:r>
      <w:r>
        <w:rPr>
          <w:rFonts w:ascii="Cambria" w:cs="Cambria" w:hAnsi="Cambria" w:eastAsia="Cambria"/>
          <w:sz w:val="24"/>
          <w:szCs w:val="24"/>
          <w:rtl w:val="0"/>
          <w:lang w:val="en-US"/>
        </w:rPr>
        <w:t>50144</w:t>
      </w:r>
      <w:r>
        <w:rPr>
          <w:rFonts w:ascii="Cambria" w:cs="Cambria" w:hAnsi="Cambria" w:eastAsia="Cambria"/>
          <w:sz w:val="24"/>
          <w:szCs w:val="24"/>
          <w:rtl w:val="0"/>
          <w:lang w:val="en-US"/>
        </w:rPr>
        <w:t xml:space="preserve">, </w:t>
      </w:r>
      <w:r>
        <w:rPr>
          <w:rFonts w:ascii="Cambria" w:cs="Cambria" w:hAnsi="Cambria" w:eastAsia="Cambria"/>
          <w:sz w:val="24"/>
          <w:szCs w:val="24"/>
          <w:rtl w:val="0"/>
          <w:lang w:val="en-US"/>
        </w:rPr>
        <w:t>“</w:t>
      </w:r>
      <w:r>
        <w:rPr>
          <w:rFonts w:ascii="Cambria" w:cs="Cambria" w:hAnsi="Cambria" w:eastAsia="Cambria"/>
          <w:b w:val="1"/>
          <w:bCs w:val="1"/>
          <w:sz w:val="24"/>
          <w:szCs w:val="24"/>
          <w:rtl w:val="0"/>
          <w:lang w:val="fr-FR"/>
        </w:rPr>
        <w:t>CSI Exchange for Inter-eNB CoMP</w:t>
      </w:r>
      <w:r>
        <w:rPr>
          <w:rFonts w:ascii="Cambria" w:cs="Cambria" w:hAnsi="Cambria" w:eastAsia="Cambria"/>
          <w:sz w:val="24"/>
          <w:szCs w:val="24"/>
          <w:rtl w:val="0"/>
          <w:lang w:val="en-US"/>
        </w:rPr>
        <w:t>”</w:t>
      </w:r>
      <w:r>
        <w:rPr>
          <w:rFonts w:ascii="Cambria" w:cs="Cambria" w:hAnsi="Cambria" w:eastAsia="Cambria"/>
          <w:sz w:val="24"/>
          <w:szCs w:val="24"/>
          <w:rtl w:val="0"/>
          <w:lang w:val="en-US"/>
        </w:rPr>
        <w:t>, NEC</w:t>
      </w:r>
    </w:p>
    <w:p>
      <w:pPr>
        <w:pStyle w:val="Body A"/>
        <w:rPr>
          <w:rFonts w:ascii="Cambria" w:cs="Cambria" w:hAnsi="Cambria" w:eastAsia="Cambria"/>
          <w:b w:val="1"/>
          <w:bCs w:val="1"/>
          <w:sz w:val="24"/>
          <w:szCs w:val="24"/>
          <w:u w:color="ff0000"/>
          <w:lang w:val="en-US"/>
        </w:rPr>
      </w:pPr>
      <w:r>
        <w:rPr>
          <w:rFonts w:ascii="Cambria" w:cs="Cambria" w:hAnsi="Cambria" w:eastAsia="Cambria"/>
          <w:b w:val="1"/>
          <w:bCs w:val="1"/>
          <w:sz w:val="24"/>
          <w:szCs w:val="24"/>
          <w:u w:color="ff0000"/>
          <w:rtl w:val="0"/>
          <w:lang w:val="en-US"/>
        </w:rPr>
        <w:t xml:space="preserve">[5] R1-150122, </w:t>
      </w:r>
      <w:r>
        <w:rPr>
          <w:rFonts w:ascii="Cambria" w:cs="Cambria" w:hAnsi="Cambria" w:eastAsia="Cambria"/>
          <w:b w:val="1"/>
          <w:bCs w:val="1"/>
          <w:sz w:val="24"/>
          <w:szCs w:val="24"/>
          <w:u w:color="ff0000"/>
          <w:rtl w:val="0"/>
          <w:lang w:val="en-US"/>
        </w:rPr>
        <w:t>“</w:t>
      </w:r>
      <w:r>
        <w:rPr>
          <w:rFonts w:ascii="Cambria" w:cs="Cambria" w:hAnsi="Cambria" w:eastAsia="Cambria"/>
          <w:b w:val="1"/>
          <w:bCs w:val="1"/>
          <w:sz w:val="24"/>
          <w:szCs w:val="24"/>
          <w:u w:color="ff0000"/>
          <w:rtl w:val="0"/>
          <w:lang w:val="en-US"/>
        </w:rPr>
        <w:t>Introduction of CSI reports in the X2 interface</w:t>
      </w:r>
      <w:r>
        <w:rPr>
          <w:rFonts w:ascii="Cambria" w:cs="Cambria" w:hAnsi="Cambria" w:eastAsia="Cambria"/>
          <w:b w:val="1"/>
          <w:bCs w:val="1"/>
          <w:sz w:val="24"/>
          <w:szCs w:val="24"/>
          <w:u w:color="ff0000"/>
          <w:rtl w:val="0"/>
          <w:lang w:val="en-US"/>
        </w:rPr>
        <w:t>”</w:t>
      </w:r>
      <w:r>
        <w:rPr>
          <w:rFonts w:ascii="Cambria" w:cs="Cambria" w:hAnsi="Cambria" w:eastAsia="Cambria"/>
          <w:b w:val="1"/>
          <w:bCs w:val="1"/>
          <w:sz w:val="24"/>
          <w:szCs w:val="24"/>
          <w:u w:color="ff0000"/>
          <w:rtl w:val="0"/>
          <w:lang w:val="en-US"/>
        </w:rPr>
        <w:t>, Samsung</w:t>
      </w:r>
    </w:p>
    <w:p>
      <w:pPr>
        <w:pStyle w:val="Body A"/>
        <w:rPr>
          <w:rFonts w:ascii="Times New Roman Bold" w:cs="Times New Roman Bold" w:hAnsi="Times New Roman Bold" w:eastAsia="Times New Roman Bold"/>
          <w:sz w:val="24"/>
          <w:szCs w:val="24"/>
          <w:u w:color="ff0000"/>
          <w:lang w:val="en-US"/>
        </w:rPr>
      </w:pPr>
      <w:r>
        <w:rPr>
          <w:rFonts w:ascii="Times New Roman Bold"/>
          <w:sz w:val="24"/>
          <w:szCs w:val="24"/>
          <w:u w:color="ff0000"/>
          <w:rtl w:val="0"/>
          <w:lang w:val="en-US"/>
        </w:rPr>
        <w:t>Text Proposals:</w:t>
      </w:r>
    </w:p>
    <w:p>
      <w:pPr>
        <w:pStyle w:val="Body"/>
        <w:rPr>
          <w:rFonts w:ascii="Times New Roman Bold" w:cs="Times New Roman Bold" w:hAnsi="Times New Roman Bold" w:eastAsia="Times New Roman Bold"/>
          <w:sz w:val="24"/>
          <w:szCs w:val="24"/>
          <w:u w:color="ff0000"/>
          <w:lang w:val="en-US"/>
        </w:rPr>
      </w:pPr>
    </w:p>
    <w:p>
      <w:pPr>
        <w:pStyle w:val="Body A"/>
        <w:rPr>
          <w:rFonts w:ascii="Times New Roman Bold" w:cs="Times New Roman Bold" w:hAnsi="Times New Roman Bold" w:eastAsia="Times New Roman Bold"/>
          <w:sz w:val="24"/>
          <w:szCs w:val="24"/>
          <w:u w:color="ff0000"/>
          <w:lang w:val="en-US"/>
        </w:rPr>
      </w:pPr>
    </w:p>
    <w:p>
      <w:pPr>
        <w:pStyle w:val="Body"/>
        <w:keepNext w:val="1"/>
        <w:keepLines w:val="1"/>
        <w:spacing w:before="120" w:after="180"/>
        <w:ind w:left="1418" w:hanging="1418"/>
        <w:outlineLvl w:val="3"/>
        <w:rPr>
          <w:rFonts w:ascii="Arial" w:cs="Arial" w:hAnsi="Arial" w:eastAsia="Arial"/>
          <w:lang w:val="en-US"/>
        </w:rPr>
      </w:pPr>
      <w:r>
        <w:rPr>
          <w:rFonts w:ascii="Arial"/>
          <w:rtl w:val="0"/>
          <w:lang w:val="en-US"/>
        </w:rPr>
        <w:t>9.1.2.11</w:t>
        <w:tab/>
        <w:t>RESOURCE STATUS REQUEST</w:t>
      </w:r>
    </w:p>
    <w:p>
      <w:pPr>
        <w:pStyle w:val="Body"/>
        <w:spacing w:after="180"/>
        <w:rPr>
          <w:sz w:val="20"/>
          <w:szCs w:val="20"/>
          <w:lang w:val="en-US"/>
        </w:rPr>
      </w:pPr>
      <w:r>
        <w:rPr>
          <w:sz w:val="20"/>
          <w:szCs w:val="20"/>
          <w:rtl w:val="0"/>
          <w:lang w:val="en-US"/>
        </w:rPr>
        <w:t>This message is sent by an eNB</w:t>
      </w:r>
      <w:r>
        <w:rPr>
          <w:sz w:val="20"/>
          <w:szCs w:val="20"/>
          <w:vertAlign w:val="subscript"/>
          <w:rtl w:val="0"/>
          <w:lang w:val="en-US"/>
        </w:rPr>
        <w:t>1</w:t>
      </w:r>
      <w:r>
        <w:rPr>
          <w:sz w:val="20"/>
          <w:szCs w:val="20"/>
          <w:rtl w:val="0"/>
          <w:lang w:val="en-US"/>
        </w:rPr>
        <w:t xml:space="preserve"> to a neighbouring eNB</w:t>
      </w:r>
      <w:r>
        <w:rPr>
          <w:sz w:val="20"/>
          <w:szCs w:val="20"/>
          <w:vertAlign w:val="subscript"/>
          <w:rtl w:val="0"/>
          <w:lang w:val="en-US"/>
        </w:rPr>
        <w:t>2</w:t>
      </w:r>
      <w:r>
        <w:rPr>
          <w:sz w:val="20"/>
          <w:szCs w:val="20"/>
          <w:rtl w:val="0"/>
          <w:lang w:val="en-US"/>
        </w:rPr>
        <w:t xml:space="preserve"> to initiate the requested measurement according to the parameters given in the message. </w:t>
      </w:r>
    </w:p>
    <w:p>
      <w:pPr>
        <w:pStyle w:val="Body"/>
        <w:spacing w:after="180"/>
        <w:rPr>
          <w:sz w:val="20"/>
          <w:szCs w:val="20"/>
          <w:lang w:val="en-US"/>
        </w:rPr>
      </w:pPr>
      <w:r>
        <w:rPr>
          <w:sz w:val="20"/>
          <w:szCs w:val="20"/>
          <w:rtl w:val="0"/>
          <w:lang w:val="en-US"/>
        </w:rPr>
        <w:t>Direction: eNB</w:t>
      </w:r>
      <w:r>
        <w:rPr>
          <w:sz w:val="20"/>
          <w:szCs w:val="20"/>
          <w:vertAlign w:val="subscript"/>
          <w:rtl w:val="0"/>
          <w:lang w:val="en-US"/>
        </w:rPr>
        <w:t>1</w:t>
      </w:r>
      <w:r>
        <w:rPr>
          <w:sz w:val="20"/>
          <w:szCs w:val="20"/>
          <w:rtl w:val="0"/>
          <w:lang w:val="en-US"/>
        </w:rPr>
        <w:t xml:space="preserve"> → </w:t>
      </w:r>
      <w:r>
        <w:rPr>
          <w:sz w:val="20"/>
          <w:szCs w:val="20"/>
          <w:rtl w:val="0"/>
          <w:lang w:val="en-US"/>
        </w:rPr>
        <w:t>eNB</w:t>
      </w:r>
      <w:r>
        <w:rPr>
          <w:sz w:val="20"/>
          <w:szCs w:val="20"/>
          <w:vertAlign w:val="subscript"/>
          <w:rtl w:val="0"/>
          <w:lang w:val="en-US"/>
        </w:rPr>
        <w:t>2</w:t>
      </w:r>
      <w:r>
        <w:rPr>
          <w:sz w:val="20"/>
          <w:szCs w:val="20"/>
          <w:rtl w:val="0"/>
          <w:lang w:val="en-US"/>
        </w:rPr>
        <w:t>.</w:t>
      </w:r>
    </w:p>
    <w:p>
      <w:pPr>
        <w:pStyle w:val="Body"/>
        <w:spacing w:after="180"/>
        <w:rPr>
          <w:sz w:val="20"/>
          <w:szCs w:val="20"/>
          <w:lang w:val="en-US"/>
        </w:rPr>
      </w:pPr>
    </w:p>
    <w:tbl>
      <w:tblPr>
        <w:tblW w:w="9787"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356"/>
        <w:gridCol w:w="1056"/>
        <w:gridCol w:w="923"/>
        <w:gridCol w:w="1217"/>
        <w:gridCol w:w="2086"/>
        <w:gridCol w:w="1146"/>
        <w:gridCol w:w="1003"/>
      </w:tblGrid>
      <w:tr>
        <w:tblPrEx>
          <w:shd w:val="clear" w:color="auto" w:fill="auto"/>
        </w:tblPrEx>
        <w:trPr>
          <w:trHeight w:val="255"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IE/Group Name</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Bold"/>
                <w:caps w:val="0"/>
                <w:smallCaps w:val="0"/>
                <w:strike w:val="0"/>
                <w:dstrike w:val="0"/>
                <w:outline w:val="0"/>
                <w:color w:val="000000"/>
                <w:spacing w:val="0"/>
                <w:kern w:val="0"/>
                <w:position w:val="0"/>
                <w:sz w:val="18"/>
                <w:szCs w:val="18"/>
                <w:u w:val="none" w:color="000000"/>
                <w:vertAlign w:val="baseline"/>
                <w:rtl w:val="0"/>
                <w:lang w:val="en-US"/>
              </w:rPr>
              <w:t>Presence</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w:t>
            </w: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 type and reference</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Semantics description</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Criticality</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Assigned Criticality</w:t>
            </w:r>
          </w:p>
        </w:tc>
      </w:tr>
      <w:tr>
        <w:tblPrEx>
          <w:shd w:val="clear" w:color="auto" w:fill="auto"/>
        </w:tblPrEx>
        <w:trPr>
          <w:trHeight w:val="80"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Message Type</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9.2.13</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270"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eNB1 Measurement ID</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(1..4095,...)</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Allocated by eNB</w:t>
            </w:r>
            <w:r>
              <w:rPr>
                <w:rFonts w:ascii="Arial"/>
                <w:caps w:val="0"/>
                <w:smallCaps w:val="0"/>
                <w:strike w:val="0"/>
                <w:dstrike w:val="0"/>
                <w:outline w:val="0"/>
                <w:color w:val="000000"/>
                <w:spacing w:val="0"/>
                <w:kern w:val="0"/>
                <w:position w:val="0"/>
                <w:sz w:val="18"/>
                <w:szCs w:val="18"/>
                <w:u w:val="none" w:color="000000"/>
                <w:vertAlign w:val="subscript"/>
                <w:rtl w:val="0"/>
                <w:lang w:val="en-US"/>
              </w:rPr>
              <w:t>1</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659"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eNB2 Measurement ID</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C-ifRegistrationRequestStop</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(1..4095,...)</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Allocated by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Registration Request</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ENUMERATED(start, stop,</w:t>
            </w:r>
          </w:p>
          <w:p>
            <w:pPr>
              <w:pStyle w:val="Body"/>
              <w:keepNext w:val="1"/>
              <w:keepLines w:val="1"/>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A value set to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stop</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 indicates a request to stop all cells measurements.</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4195"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Report Characteristics</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BITSTRING</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(SIZE(32))</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Each position in the bitmap indicates measurement object the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is requested to report.</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First Bit = PRB Periodic,</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Second Bit = TNL load Ind Periodic,</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Third Bit = HW Load Ind Periodic,</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Fourth Bit = Composite Available Capacity Periodic, this bit should be set to 1 if at least one of the First, Second or Third bits is set to 1,</w:t>
            </w:r>
          </w:p>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singl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Fifth Bit = ABS Status Periodic, Xth Bit = UE-CSI Periodic.</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Other bits shall be ignored by the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reject</w:t>
            </w:r>
          </w:p>
        </w:tc>
      </w:tr>
      <w:tr>
        <w:tblPrEx>
          <w:shd w:val="clear" w:color="auto" w:fill="auto"/>
        </w:tblPrEx>
        <w:trPr>
          <w:trHeight w:val="255"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Cell To Report</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w:t>
            </w: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Cell ID list for which measurement is needed</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46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rFonts w:ascii="Arial Bold"/>
                <w:caps w:val="0"/>
                <w:smallCaps w:val="0"/>
                <w:strike w:val="0"/>
                <w:dstrike w:val="0"/>
                <w:outline w:val="0"/>
                <w:color w:val="000000"/>
                <w:spacing w:val="0"/>
                <w:kern w:val="0"/>
                <w:position w:val="0"/>
                <w:sz w:val="18"/>
                <w:szCs w:val="18"/>
                <w:u w:val="none" w:color="000000"/>
                <w:vertAlign w:val="baseline"/>
                <w:rtl w:val="0"/>
                <w:lang w:val="en-US"/>
              </w:rPr>
              <w:t>&gt;Cell To Report Item</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 &lt;maxCellineNB&gt;</w:t>
            </w: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EACH</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200"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284"/>
            </w:pPr>
            <w:r>
              <w:rPr>
                <w:rFonts w:ascii="Arial"/>
                <w:caps w:val="0"/>
                <w:smallCaps w:val="0"/>
                <w:strike w:val="0"/>
                <w:dstrike w:val="0"/>
                <w:outline w:val="0"/>
                <w:color w:val="000000"/>
                <w:spacing w:val="0"/>
                <w:kern w:val="0"/>
                <w:position w:val="0"/>
                <w:sz w:val="18"/>
                <w:szCs w:val="18"/>
                <w:u w:val="none" w:color="000000"/>
                <w:vertAlign w:val="baseline"/>
                <w:rtl w:val="0"/>
                <w:lang w:val="en-US"/>
              </w:rPr>
              <w:t>&gt;&gt;Cell ID</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ECGI</w:t>
            </w:r>
          </w:p>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9.2.14</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p>
        </w:tc>
      </w:tr>
      <w:tr>
        <w:tblPrEx>
          <w:shd w:val="clear" w:color="auto" w:fill="auto"/>
        </w:tblPrEx>
        <w:trPr>
          <w:trHeight w:val="88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Reporting Periodicity</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ENUMERATED(1000ms, 2000ms, 5000ms,10000ms,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Partial Success Indicator</w:t>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ENUMERATED(partial success allowed, ...)</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Included if partial success is allowed</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sz w:val="18"/>
                <w:szCs w:val="18"/>
                <w:u w:val="single"/>
                <w:lang w:val="en-US"/>
              </w:rPr>
            </w:pPr>
            <w:r>
              <w:rPr>
                <w:rFonts w:ascii="Arial"/>
                <w:sz w:val="18"/>
                <w:szCs w:val="18"/>
                <w:u w:val="single"/>
                <w:rtl w:val="0"/>
                <w:lang w:val="en-US"/>
              </w:rPr>
              <w:t>CSI Measurement Report type</w:t>
            </w:r>
          </w:p>
          <w:p>
            <w:pPr>
              <w:pStyle w:val="Body"/>
              <w:keepNext w:val="1"/>
              <w:keepLines w:val="1"/>
            </w:pPr>
            <w:r>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sz w:val="18"/>
                <w:szCs w:val="18"/>
                <w:u w:val="singl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sz w:val="18"/>
                <w:szCs w:val="18"/>
                <w:u w:val="single"/>
                <w:rtl w:val="0"/>
                <w:lang w:val="en-US"/>
              </w:rPr>
              <w:t>BITSTRING (SIZE(2))</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sz w:val="18"/>
                <w:szCs w:val="18"/>
                <w:u w:val="single"/>
                <w:lang w:val="en-US"/>
              </w:rPr>
            </w:pPr>
            <w:r>
              <w:rPr>
                <w:rFonts w:ascii="Arial"/>
                <w:sz w:val="18"/>
                <w:szCs w:val="18"/>
                <w:u w:val="single"/>
                <w:rtl w:val="0"/>
                <w:lang w:val="en-US"/>
              </w:rPr>
              <w:t>Each position in the bitmap indicates the type of CSI measurement to report.</w:t>
            </w:r>
          </w:p>
          <w:p>
            <w:pPr>
              <w:pStyle w:val="Body"/>
              <w:keepNext w:val="1"/>
              <w:keepLines w:val="1"/>
              <w:rPr>
                <w:rFonts w:ascii="Arial" w:cs="Arial" w:hAnsi="Arial" w:eastAsia="Arial"/>
                <w:sz w:val="18"/>
                <w:szCs w:val="18"/>
                <w:u w:val="single"/>
                <w:lang w:val="en-US"/>
              </w:rPr>
            </w:pPr>
            <w:r>
              <w:rPr>
                <w:rFonts w:ascii="Arial"/>
                <w:sz w:val="18"/>
                <w:szCs w:val="18"/>
                <w:u w:val="single"/>
                <w:rtl w:val="0"/>
                <w:lang w:val="en-US"/>
              </w:rPr>
              <w:t xml:space="preserve">First bit=Rank, </w:t>
            </w:r>
          </w:p>
          <w:p>
            <w:pPr>
              <w:pStyle w:val="Body"/>
              <w:keepNext w:val="1"/>
              <w:keepLines w:val="1"/>
            </w:pPr>
            <w:r>
              <w:rPr>
                <w:rFonts w:ascii="Arial"/>
                <w:sz w:val="18"/>
                <w:szCs w:val="18"/>
                <w:u w:val="single"/>
                <w:rtl w:val="0"/>
                <w:lang w:val="en-US"/>
              </w:rPr>
              <w:t>Second bit=subband CQI.</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sz w:val="18"/>
                <w:szCs w:val="18"/>
                <w:u w:val="singl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sz w:val="18"/>
                <w:szCs w:val="18"/>
                <w:u w:val="single"/>
                <w:rtl w:val="0"/>
                <w:lang w:val="en-US"/>
              </w:rPr>
              <w:t>ignore</w:t>
            </w:r>
          </w:p>
        </w:tc>
      </w:tr>
      <w:tr>
        <w:tblPrEx>
          <w:shd w:val="clear" w:color="auto" w:fill="auto"/>
        </w:tblPrEx>
        <w:trPr>
          <w:trHeight w:val="674" w:hRule="atLeast"/>
        </w:trPr>
        <w:tc>
          <w:tcPr>
            <w:tcW w:type="dxa" w:w="23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Reporting Periodicity of CSI Measurement Report</w:t>
            </w:r>
          </w:p>
          <w:p>
            <w:pPr>
              <w:pStyle w:val="Body"/>
              <w:keepNext w:val="1"/>
              <w:keepLines w:val="1"/>
            </w:pPr>
            <w:r>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r>
          </w:p>
        </w:tc>
        <w:tc>
          <w:tcPr>
            <w:tcW w:type="dxa" w:w="105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9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ENUMERATED(5ms, 10ms, 20ms,40ms, 80ms, aperiodic, ...)</w:t>
            </w:r>
          </w:p>
        </w:tc>
        <w:tc>
          <w:tcPr>
            <w:tcW w:type="dxa" w:w="20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Periodicity for CSI Measurement Report Periodic</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YES</w:t>
            </w:r>
          </w:p>
        </w:tc>
        <w:tc>
          <w:tcPr>
            <w:tcW w:type="dxa" w:w="100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w:caps w:val="0"/>
                <w:smallCaps w:val="0"/>
                <w:strike w:val="0"/>
                <w:dstrike w:val="0"/>
                <w:outline w:val="0"/>
                <w:color w:val="000000"/>
                <w:spacing w:val="0"/>
                <w:kern w:val="0"/>
                <w:position w:val="0"/>
                <w:sz w:val="18"/>
                <w:szCs w:val="18"/>
                <w:u w:val="none" w:color="000000"/>
                <w:vertAlign w:val="baseline"/>
                <w:rtl w:val="0"/>
                <w:lang w:val="en-US"/>
              </w:rPr>
              <w:t>ignore</w:t>
            </w:r>
          </w:p>
        </w:tc>
      </w:tr>
    </w:tbl>
    <w:p>
      <w:pPr>
        <w:pStyle w:val="Body"/>
        <w:spacing w:after="180"/>
        <w:rPr>
          <w:sz w:val="20"/>
          <w:szCs w:val="20"/>
          <w:lang w:val="en-US"/>
        </w:rPr>
      </w:pPr>
    </w:p>
    <w:tbl>
      <w:tblPr>
        <w:tblW w:w="935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686"/>
        <w:gridCol w:w="5670"/>
      </w:tblGrid>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Condition</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Explanation</w:t>
            </w:r>
          </w:p>
        </w:tc>
      </w:tr>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ifRegistrationRequestStop</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This IE shall be present if the </w:t>
            </w: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 xml:space="preserve">Registration Request </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IE is set to the value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stop</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r>
    </w:tbl>
    <w:tbl>
      <w:tblPr>
        <w:tblW w:w="935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3686"/>
        <w:gridCol w:w="5670"/>
      </w:tblGrid>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 bound</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Explanation</w:t>
            </w:r>
          </w:p>
        </w:tc>
      </w:tr>
      <w:tr>
        <w:tblPrEx>
          <w:shd w:val="clear" w:color="auto" w:fill="auto"/>
        </w:tblPrEx>
        <w:trPr>
          <w:trHeight w:val="140" w:hRule="atLeast"/>
        </w:trPr>
        <w:tc>
          <w:tcPr>
            <w:tcW w:type="dxa" w:w="36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maxCellineNB</w:t>
            </w:r>
          </w:p>
        </w:tc>
        <w:tc>
          <w:tcPr>
            <w:tcW w:type="dxa" w:w="56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Arial"/>
                <w:caps w:val="0"/>
                <w:smallCaps w:val="0"/>
                <w:strike w:val="0"/>
                <w:dstrike w:val="0"/>
                <w:outline w:val="0"/>
                <w:color w:val="000000"/>
                <w:spacing w:val="0"/>
                <w:kern w:val="0"/>
                <w:position w:val="0"/>
                <w:sz w:val="18"/>
                <w:szCs w:val="18"/>
                <w:u w:val="none" w:color="000000"/>
                <w:vertAlign w:val="baseline"/>
                <w:rtl w:val="0"/>
                <w:lang w:val="en-US"/>
              </w:rPr>
              <w:t>Maximum no. cells that can be served by an eNB. Value is 256.</w:t>
            </w:r>
          </w:p>
        </w:tc>
      </w:tr>
    </w:tbl>
    <w:p>
      <w:pPr>
        <w:pStyle w:val="Body"/>
        <w:spacing w:after="180"/>
        <w:rPr>
          <w:sz w:val="20"/>
          <w:szCs w:val="20"/>
          <w:lang w:val="en-US"/>
        </w:rPr>
      </w:pPr>
    </w:p>
    <w:p>
      <w:pPr>
        <w:pStyle w:val="Body"/>
        <w:spacing w:after="180"/>
        <w:rPr>
          <w:sz w:val="20"/>
          <w:szCs w:val="20"/>
          <w:lang w:val="en-US"/>
        </w:rPr>
      </w:pPr>
    </w:p>
    <w:p>
      <w:pPr>
        <w:pStyle w:val="Body"/>
        <w:spacing w:after="180"/>
        <w:ind w:left="250" w:hanging="250"/>
        <w:rPr>
          <w:sz w:val="20"/>
          <w:szCs w:val="20"/>
          <w:lang w:val="en-US"/>
        </w:rPr>
      </w:pPr>
    </w:p>
    <w:p>
      <w:pPr>
        <w:pStyle w:val="Body A"/>
        <w:rPr>
          <w:sz w:val="20"/>
          <w:szCs w:val="20"/>
          <w:lang w:val="en-US"/>
        </w:rPr>
      </w:pPr>
    </w:p>
    <w:p>
      <w:pPr>
        <w:pStyle w:val="Body A"/>
        <w:rPr>
          <w:sz w:val="20"/>
          <w:szCs w:val="20"/>
          <w:lang w:val="en-US"/>
        </w:rPr>
      </w:pPr>
    </w:p>
    <w:p>
      <w:pPr>
        <w:pStyle w:val="Body"/>
        <w:keepNext w:val="1"/>
        <w:keepLines w:val="1"/>
        <w:spacing w:before="120" w:after="180"/>
        <w:outlineLvl w:val="3"/>
        <w:rPr>
          <w:lang w:val="en-US"/>
        </w:rPr>
      </w:pPr>
      <w:r>
        <w:rPr>
          <w:rFonts w:ascii="Arial"/>
          <w:rtl w:val="0"/>
          <w:lang w:val="en-US"/>
        </w:rPr>
        <w:t>9.1.2.14</w:t>
        <w:tab/>
        <w:t>RESOURCE STATUS UPDATE</w:t>
      </w:r>
      <w:r>
        <w:rPr>
          <w:rtl w:val="0"/>
          <w:lang w:val="en-US"/>
        </w:rPr>
        <w:t xml:space="preserve"> </w:t>
      </w:r>
    </w:p>
    <w:p>
      <w:pPr>
        <w:pStyle w:val="Body"/>
        <w:spacing w:after="180"/>
        <w:rPr>
          <w:sz w:val="20"/>
          <w:szCs w:val="20"/>
          <w:lang w:val="en-US"/>
        </w:rPr>
      </w:pPr>
      <w:r>
        <w:rPr>
          <w:sz w:val="20"/>
          <w:szCs w:val="20"/>
          <w:rtl w:val="0"/>
          <w:lang w:val="en-US"/>
        </w:rPr>
        <w:t>This message is sent by eNB</w:t>
      </w:r>
      <w:r>
        <w:rPr>
          <w:sz w:val="20"/>
          <w:szCs w:val="20"/>
          <w:vertAlign w:val="subscript"/>
          <w:rtl w:val="0"/>
          <w:lang w:val="en-US"/>
        </w:rPr>
        <w:t>2</w:t>
      </w:r>
      <w:r>
        <w:rPr>
          <w:sz w:val="20"/>
          <w:szCs w:val="20"/>
          <w:rtl w:val="0"/>
          <w:lang w:val="en-US"/>
        </w:rPr>
        <w:t xml:space="preserve"> to neighbouring eNB</w:t>
      </w:r>
      <w:r>
        <w:rPr>
          <w:sz w:val="20"/>
          <w:szCs w:val="20"/>
          <w:vertAlign w:val="subscript"/>
          <w:rtl w:val="0"/>
          <w:lang w:val="en-US"/>
        </w:rPr>
        <w:t>1</w:t>
      </w:r>
      <w:r>
        <w:rPr>
          <w:sz w:val="20"/>
          <w:szCs w:val="20"/>
          <w:rtl w:val="0"/>
          <w:lang w:val="en-US"/>
        </w:rPr>
        <w:t xml:space="preserve"> to report the results of the requested measurements.</w:t>
      </w:r>
    </w:p>
    <w:p>
      <w:pPr>
        <w:pStyle w:val="Body"/>
        <w:spacing w:after="180"/>
        <w:rPr>
          <w:sz w:val="20"/>
          <w:szCs w:val="20"/>
          <w:lang w:val="en-US"/>
        </w:rPr>
      </w:pPr>
      <w:r>
        <w:rPr>
          <w:sz w:val="20"/>
          <w:szCs w:val="20"/>
          <w:rtl w:val="0"/>
          <w:lang w:val="en-US"/>
        </w:rPr>
        <w:t>Direction: eNB</w:t>
      </w:r>
      <w:r>
        <w:rPr>
          <w:sz w:val="20"/>
          <w:szCs w:val="20"/>
          <w:vertAlign w:val="subscript"/>
          <w:rtl w:val="0"/>
          <w:lang w:val="en-US"/>
        </w:rPr>
        <w:t>2</w:t>
      </w:r>
      <w:r>
        <w:rPr>
          <w:sz w:val="20"/>
          <w:szCs w:val="20"/>
          <w:rtl w:val="0"/>
          <w:lang w:val="en-US"/>
        </w:rPr>
        <w:t xml:space="preserve"> → </w:t>
      </w:r>
      <w:r>
        <w:rPr>
          <w:sz w:val="20"/>
          <w:szCs w:val="20"/>
          <w:rtl w:val="0"/>
          <w:lang w:val="en-US"/>
        </w:rPr>
        <w:t>eNB</w:t>
      </w:r>
      <w:r>
        <w:rPr>
          <w:sz w:val="20"/>
          <w:szCs w:val="20"/>
          <w:vertAlign w:val="subscript"/>
          <w:rtl w:val="0"/>
          <w:lang w:val="en-US"/>
        </w:rPr>
        <w:t>1</w:t>
      </w:r>
      <w:r>
        <w:rPr>
          <w:sz w:val="20"/>
          <w:szCs w:val="20"/>
          <w:rtl w:val="0"/>
          <w:lang w:val="en-US"/>
        </w:rPr>
        <w:t>.</w:t>
      </w:r>
    </w:p>
    <w:p>
      <w:pPr>
        <w:pStyle w:val="Body"/>
        <w:spacing w:after="180"/>
        <w:rPr>
          <w:sz w:val="20"/>
          <w:szCs w:val="20"/>
          <w:lang w:val="en-US"/>
        </w:rPr>
      </w:pPr>
    </w:p>
    <w:p>
      <w:pPr>
        <w:pStyle w:val="Body"/>
        <w:keepNext w:val="1"/>
        <w:keepLines w:val="1"/>
        <w:spacing w:before="120" w:after="180"/>
        <w:ind w:left="1134" w:hanging="1134"/>
        <w:outlineLvl w:val="2"/>
        <w:rPr>
          <w:sz w:val="28"/>
          <w:szCs w:val="28"/>
          <w:lang w:val="en-US"/>
        </w:rPr>
      </w:pPr>
      <w:r>
        <w:rPr>
          <w:rFonts w:ascii="Arial"/>
          <w:sz w:val="28"/>
          <w:szCs w:val="28"/>
          <w:rtl w:val="0"/>
          <w:lang w:val="en-US"/>
        </w:rPr>
        <w:t>9.2.</w:t>
      </w:r>
      <w:r>
        <w:rPr>
          <w:rFonts w:ascii="Arial"/>
          <w:sz w:val="28"/>
          <w:szCs w:val="28"/>
          <w:rtl w:val="0"/>
          <w:lang w:val="en-US"/>
        </w:rPr>
        <w:t>aa</w:t>
      </w:r>
      <w:r>
        <w:rPr>
          <w:rFonts w:ascii="Arial" w:cs="Arial" w:hAnsi="Arial" w:eastAsia="Arial"/>
          <w:sz w:val="28"/>
          <w:szCs w:val="28"/>
          <w:rtl w:val="0"/>
          <w:lang w:val="en-US"/>
        </w:rPr>
        <w:tab/>
        <w:t xml:space="preserve">UE-CSI Report </w:t>
      </w:r>
    </w:p>
    <w:p>
      <w:pPr>
        <w:pStyle w:val="Body"/>
        <w:spacing w:after="180"/>
        <w:rPr>
          <w:sz w:val="20"/>
          <w:szCs w:val="20"/>
          <w:rtl w:val="0"/>
          <w:lang w:val="en-US"/>
        </w:rPr>
      </w:pPr>
      <w:r>
        <w:rPr>
          <w:sz w:val="20"/>
          <w:szCs w:val="20"/>
          <w:rtl w:val="0"/>
          <w:lang w:val="en-US"/>
        </w:rPr>
        <w:t>This IE provides UE-CSI information for a set of UEs served by eNB</w:t>
      </w:r>
      <w:r>
        <w:rPr>
          <w:sz w:val="20"/>
          <w:szCs w:val="20"/>
          <w:vertAlign w:val="subscript"/>
          <w:rtl w:val="0"/>
          <w:lang w:val="en-US"/>
        </w:rPr>
        <w:t>2</w:t>
      </w:r>
      <w:r>
        <w:rPr>
          <w:sz w:val="20"/>
          <w:szCs w:val="20"/>
          <w:rtl w:val="0"/>
          <w:lang w:val="en-US"/>
        </w:rPr>
        <w:t>.</w:t>
      </w:r>
    </w:p>
    <w:p>
      <w:pPr>
        <w:pStyle w:val="Body"/>
        <w:spacing w:after="180"/>
        <w:rPr>
          <w:sz w:val="20"/>
          <w:szCs w:val="20"/>
          <w:rtl w:val="0"/>
          <w:lang w:val="en-US"/>
        </w:rPr>
      </w:pPr>
    </w:p>
    <w:p>
      <w:pPr>
        <w:pStyle w:val="Body"/>
        <w:spacing w:after="180"/>
        <w:rPr>
          <w:sz w:val="20"/>
          <w:szCs w:val="20"/>
          <w:rtl w:val="0"/>
          <w:lang w:val="en-US"/>
        </w:rPr>
      </w:pPr>
    </w:p>
    <w:tbl>
      <w:tblPr>
        <w:tblW w:w="9356"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552"/>
        <w:gridCol w:w="1134"/>
        <w:gridCol w:w="1701"/>
        <w:gridCol w:w="1559"/>
        <w:gridCol w:w="2410"/>
      </w:tblGrid>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IE/Group Name</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Presence</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Range</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IE type and reference</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jc w:val="center"/>
            </w:pPr>
            <w:r>
              <w:rPr>
                <w:rFonts w:ascii="Arial Bold"/>
                <w:caps w:val="0"/>
                <w:smallCaps w:val="0"/>
                <w:strike w:val="0"/>
                <w:dstrike w:val="0"/>
                <w:outline w:val="0"/>
                <w:color w:val="000000"/>
                <w:spacing w:val="0"/>
                <w:kern w:val="0"/>
                <w:position w:val="0"/>
                <w:sz w:val="18"/>
                <w:szCs w:val="18"/>
                <w:u w:val="none" w:color="000000"/>
                <w:vertAlign w:val="baseline"/>
                <w:rtl w:val="0"/>
                <w:lang w:val="en-US"/>
              </w:rPr>
              <w:t>Semantics description</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CSI Report</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per UE</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 &lt;maxUEReport&gt;</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142"/>
            </w:pPr>
            <w:r>
              <w:rPr>
                <w:rFonts w:ascii="Arial"/>
                <w:caps w:val="0"/>
                <w:smallCaps w:val="0"/>
                <w:strike w:val="0"/>
                <w:dstrike w:val="0"/>
                <w:outline w:val="0"/>
                <w:color w:val="000000"/>
                <w:spacing w:val="0"/>
                <w:kern w:val="0"/>
                <w:position w:val="0"/>
                <w:sz w:val="18"/>
                <w:szCs w:val="18"/>
                <w:u w:val="none" w:color="000000"/>
                <w:vertAlign w:val="baseline"/>
                <w:rtl w:val="0"/>
                <w:lang w:val="en-US"/>
              </w:rPr>
              <w:t>&gt;</w:t>
            </w:r>
            <w:r>
              <w:rPr>
                <w:rFonts w:ascii="Arial"/>
                <w:caps w:val="0"/>
                <w:smallCaps w:val="0"/>
                <w:strike w:val="0"/>
                <w:dstrike w:val="0"/>
                <w:outline w:val="0"/>
                <w:color w:val="000000"/>
                <w:spacing w:val="0"/>
                <w:kern w:val="0"/>
                <w:position w:val="0"/>
                <w:sz w:val="18"/>
                <w:szCs w:val="18"/>
                <w:u w:val="none" w:color="000000"/>
                <w:vertAlign w:val="baseline"/>
                <w:rtl w:val="0"/>
                <w:lang w:val="en-US"/>
              </w:rPr>
              <w:t>UE ID</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BIT STRING (SIZE (16))</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rPr>
                <w:rFonts w:ascii="Arial" w:cs="Arial" w:hAnsi="Arial" w:eastAsia="Arial"/>
                <w:caps w:val="0"/>
                <w:smallCaps w:val="0"/>
                <w:strike w:val="0"/>
                <w:dstrike w:val="0"/>
                <w:outline w:val="0"/>
                <w:color w:val="000000"/>
                <w:spacing w:val="0"/>
                <w:kern w:val="0"/>
                <w:position w:val="0"/>
                <w:sz w:val="18"/>
                <w:szCs w:val="18"/>
                <w:u w:val="none" w:color="000000"/>
                <w:vertAlign w:val="baseline"/>
                <w:rtl w:val="0"/>
                <w:lang w:val="en-US"/>
              </w:rPr>
            </w:pPr>
            <w:r>
              <w:rPr>
                <w:rFonts w:ascii="Arial"/>
                <w:caps w:val="0"/>
                <w:smallCaps w:val="0"/>
                <w:strike w:val="0"/>
                <w:dstrike w:val="0"/>
                <w:outline w:val="0"/>
                <w:color w:val="000000"/>
                <w:spacing w:val="0"/>
                <w:kern w:val="0"/>
                <w:position w:val="0"/>
                <w:sz w:val="18"/>
                <w:szCs w:val="18"/>
                <w:u w:val="none" w:color="000000"/>
                <w:vertAlign w:val="baseline"/>
                <w:rtl w:val="0"/>
                <w:lang w:val="en-US"/>
              </w:rPr>
              <w:t>ID of the UE served by the cell in eNB</w:t>
            </w:r>
            <w:r>
              <w:rPr>
                <w:rFonts w:ascii="Arial"/>
                <w:caps w:val="0"/>
                <w:smallCaps w:val="0"/>
                <w:strike w:val="0"/>
                <w:dstrike w:val="0"/>
                <w:outline w:val="0"/>
                <w:color w:val="000000"/>
                <w:spacing w:val="0"/>
                <w:kern w:val="0"/>
                <w:position w:val="0"/>
                <w:sz w:val="18"/>
                <w:szCs w:val="18"/>
                <w:u w:val="none" w:color="000000"/>
                <w:vertAlign w:val="subscript"/>
                <w:rtl w:val="0"/>
                <w:lang w:val="en-US"/>
              </w:rPr>
              <w:t>2</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142"/>
            </w:pPr>
            <w:r>
              <w:rPr>
                <w:rFonts w:ascii="Arial"/>
                <w:caps w:val="0"/>
                <w:smallCaps w:val="0"/>
                <w:strike w:val="0"/>
                <w:dstrike w:val="0"/>
                <w:outline w:val="0"/>
                <w:color w:val="000000"/>
                <w:spacing w:val="0"/>
                <w:kern w:val="0"/>
                <w:position w:val="0"/>
                <w:sz w:val="18"/>
                <w:szCs w:val="18"/>
                <w:u w:val="none" w:color="000000"/>
                <w:vertAlign w:val="baseline"/>
                <w:rtl w:val="0"/>
                <w:lang w:val="en-US"/>
              </w:rPr>
              <w:t>&gt;</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CSI report per </w:t>
            </w:r>
            <w:r>
              <w:rPr>
                <w:rFonts w:ascii="Arial"/>
                <w:caps w:val="0"/>
                <w:smallCaps w:val="0"/>
                <w:strike w:val="0"/>
                <w:dstrike w:val="0"/>
                <w:outline w:val="0"/>
                <w:color w:val="000000"/>
                <w:spacing w:val="0"/>
                <w:kern w:val="0"/>
                <w:position w:val="0"/>
                <w:sz w:val="18"/>
                <w:szCs w:val="18"/>
                <w:u w:val="none" w:color="000000"/>
                <w:vertAlign w:val="baseline"/>
                <w:rtl w:val="0"/>
                <w:lang w:val="en-US"/>
              </w:rPr>
              <w:t>CSI process</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1 ..&lt;maxCSIprocess&gt;</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1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&gt;&gt;Rank Indicator</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sz w:val="18"/>
                <w:szCs w:val="18"/>
                <w:u w:val="singl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(1..8,</w:t>
            </w:r>
            <w:r>
              <w:rPr>
                <w:rFonts w:hAnsi="Times New Roman"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sz w:val="18"/>
                <w:szCs w:val="18"/>
                <w:u w:val="single"/>
                <w:rtl w:val="0"/>
                <w:lang w:val="en-US"/>
              </w:rPr>
              <w:t xml:space="preserve">The rank indicator </w:t>
            </w:r>
            <w:r>
              <w:rPr>
                <w:rFonts w:ascii="Arial"/>
                <w:sz w:val="18"/>
                <w:szCs w:val="18"/>
                <w:u w:val="single"/>
                <w:rtl w:val="0"/>
                <w:lang w:val="en-US"/>
              </w:rPr>
              <w:t xml:space="preserve">IE </w:t>
            </w:r>
            <w:r>
              <w:rPr>
                <w:rFonts w:ascii="Arial"/>
                <w:sz w:val="18"/>
                <w:szCs w:val="18"/>
                <w:u w:val="single"/>
                <w:rtl w:val="0"/>
                <w:lang w:val="en-US"/>
              </w:rPr>
              <w:t>is present only if it is requested  in the associated request.</w:t>
            </w:r>
            <w:r>
              <w:rPr>
                <w:rFonts w:ascii="Arial"/>
                <w:sz w:val="18"/>
                <w:szCs w:val="18"/>
                <w:u w:val="single"/>
                <w:rtl w:val="0"/>
                <w:lang w:val="en-US"/>
              </w:rPr>
              <w:t xml:space="preserve"> In that case </w:t>
            </w:r>
            <w:r>
              <w:rPr>
                <w:rFonts w:ascii="Arial"/>
                <w:sz w:val="18"/>
                <w:szCs w:val="18"/>
                <w:u w:val="single"/>
                <w:rtl w:val="0"/>
                <w:lang w:val="en-US"/>
              </w:rPr>
              <w:t>Cf. TS 36.213 [7.2.3].</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&gt;&gt;Wideband CQI For Codeword 0</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INTEGER (0..15,</w:t>
            </w:r>
            <w:r>
              <w:rPr>
                <w:rFonts w:hAnsi="Times New Roman" w:hint="default"/>
                <w:caps w:val="0"/>
                <w:smallCaps w:val="0"/>
                <w:strike w:val="0"/>
                <w:dstrike w:val="0"/>
                <w:outline w:val="0"/>
                <w:color w:val="000000"/>
                <w:spacing w:val="0"/>
                <w:kern w:val="0"/>
                <w:position w:val="0"/>
                <w:sz w:val="18"/>
                <w:szCs w:val="18"/>
                <w:u w:val="none" w:color="000000"/>
                <w:vertAlign w:val="baseline"/>
                <w:rtl w:val="0"/>
                <w:lang w:val="en-US"/>
              </w:rPr>
              <w:t>…</w:t>
            </w:r>
            <w:r>
              <w:rPr>
                <w:rFonts w:ascii="Arial"/>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&gt;&gt;Wideband CQI For Codeword 1</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pPr>
            <w:r>
              <w:rPr>
                <w:sz w:val="18"/>
                <w:szCs w:val="18"/>
              </w:rPr>
              <w:t>INTEGER (0..15,</w:t>
            </w:r>
            <w:r>
              <w:rPr>
                <w:sz w:val="18"/>
                <w:szCs w:val="18"/>
              </w:rPr>
              <w:t>…</w:t>
            </w:r>
            <w:r>
              <w:rPr>
                <w:sz w:val="18"/>
                <w:szCs w:val="18"/>
              </w:rPr>
              <w:t>)</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u w:val="single"/>
              </w:rPr>
              <w:t xml:space="preserve">     &gt;&gt; combinatorial index</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Times New Roman"/>
                <w:sz w:val="24"/>
                <w:szCs w:val="24"/>
                <w:u w:val="single"/>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Times New Roman"/>
                <w:sz w:val="24"/>
                <w:szCs w:val="24"/>
                <w:u w:val="single"/>
              </w:rPr>
              <w:t xml:space="preserve">Integer FFS </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sz w:val="18"/>
                <w:szCs w:val="18"/>
                <w:u w:val="single"/>
                <w:rtl w:val="0"/>
                <w:lang w:val="en-US"/>
              </w:rPr>
              <w:t>This IE is present only</w:t>
            </w:r>
            <w:r>
              <w:rPr>
                <w:rFonts w:ascii="Arial"/>
                <w:sz w:val="18"/>
                <w:szCs w:val="18"/>
                <w:u w:val="single"/>
                <w:rtl w:val="0"/>
                <w:lang w:val="en-US"/>
              </w:rPr>
              <w:t xml:space="preserve"> if associated request want</w:t>
            </w:r>
            <w:r>
              <w:rPr>
                <w:rFonts w:ascii="Arial"/>
                <w:sz w:val="18"/>
                <w:szCs w:val="18"/>
                <w:u w:val="single"/>
                <w:rtl w:val="0"/>
                <w:lang w:val="en-US"/>
              </w:rPr>
              <w:t>s</w:t>
            </w:r>
            <w:r>
              <w:rPr>
                <w:rFonts w:ascii="Arial"/>
                <w:sz w:val="18"/>
                <w:szCs w:val="18"/>
                <w:u w:val="single"/>
                <w:rtl w:val="0"/>
                <w:lang w:val="en-US"/>
              </w:rPr>
              <w:t xml:space="preserve"> subband CQI</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w:t>
            </w:r>
            <w:r>
              <w:rPr>
                <w:rFonts w:ascii="Arial"/>
                <w:caps w:val="0"/>
                <w:smallCaps w:val="0"/>
                <w:strike w:val="0"/>
                <w:dstrike w:val="0"/>
                <w:outline w:val="0"/>
                <w:color w:val="000000"/>
                <w:spacing w:val="0"/>
                <w:kern w:val="0"/>
                <w:position w:val="0"/>
                <w:sz w:val="18"/>
                <w:szCs w:val="18"/>
                <w:u w:val="none" w:color="000000"/>
                <w:vertAlign w:val="baseline"/>
                <w:rtl w:val="0"/>
                <w:lang w:val="en-US"/>
              </w:rPr>
              <w:t>&gt;</w:t>
            </w:r>
            <w:r>
              <w:rPr>
                <w:rFonts w:ascii="Arial"/>
                <w:caps w:val="0"/>
                <w:smallCaps w:val="0"/>
                <w:strike w:val="0"/>
                <w:dstrike w:val="0"/>
                <w:outline w:val="0"/>
                <w:color w:val="000000"/>
                <w:spacing w:val="0"/>
                <w:kern w:val="0"/>
                <w:position w:val="0"/>
                <w:sz w:val="18"/>
                <w:szCs w:val="18"/>
                <w:u w:val="none" w:color="000000"/>
                <w:vertAlign w:val="baseline"/>
                <w:rtl w:val="0"/>
                <w:lang w:val="en-US"/>
              </w:rPr>
              <w:t>Subband CQI List</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0..&lt;</w:t>
            </w:r>
            <w:r>
              <w:rPr>
                <w:rFonts w:ascii="Arial"/>
                <w:i w:val="1"/>
                <w:iCs w:val="1"/>
                <w:caps w:val="0"/>
                <w:smallCaps w:val="0"/>
                <w:strike w:val="0"/>
                <w:dstrike w:val="0"/>
                <w:outline w:val="0"/>
                <w:color w:val="000000"/>
                <w:spacing w:val="0"/>
                <w:kern w:val="0"/>
                <w:position w:val="0"/>
                <w:sz w:val="18"/>
                <w:szCs w:val="18"/>
                <w:u w:val="none" w:color="000000"/>
                <w:vertAlign w:val="baseline"/>
                <w:rtl w:val="0"/>
                <w:lang w:val="en-US"/>
              </w:rPr>
              <w:t>maxCQISubbands</w:t>
            </w: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&gt;</w:t>
            </w: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Times New Roman"/>
                <w:u w:val="single"/>
              </w:rPr>
              <w:t>The number of subbands in the list as well as their respective indices and sizes are deduced from the combinatorial index. Subband CQIs are sorted in the order of increasing frequency.</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460"/>
            </w:pPr>
            <w:r>
              <w:rPr>
                <w:rFonts w:ascii="Arial"/>
                <w:caps w:val="0"/>
                <w:smallCaps w:val="0"/>
                <w:strike w:val="0"/>
                <w:dstrike w:val="0"/>
                <w:outline w:val="0"/>
                <w:color w:val="000000"/>
                <w:spacing w:val="0"/>
                <w:kern w:val="0"/>
                <w:position w:val="0"/>
                <w:sz w:val="18"/>
                <w:szCs w:val="18"/>
                <w:u w:val="none" w:color="000000"/>
                <w:vertAlign w:val="baseline"/>
                <w:rtl w:val="0"/>
                <w:lang w:val="en-US"/>
              </w:rPr>
              <w:t>&gt;&gt;&gt;</w:t>
            </w:r>
            <w:r>
              <w:rPr>
                <w:rFonts w:ascii="Arial"/>
                <w:caps w:val="0"/>
                <w:smallCaps w:val="0"/>
                <w:strike w:val="0"/>
                <w:dstrike w:val="0"/>
                <w:outline w:val="0"/>
                <w:color w:val="000000"/>
                <w:spacing w:val="0"/>
                <w:kern w:val="0"/>
                <w:position w:val="0"/>
                <w:sz w:val="18"/>
                <w:szCs w:val="18"/>
                <w:u w:val="none" w:color="000000"/>
                <w:vertAlign w:val="baseline"/>
                <w:rtl w:val="0"/>
                <w:lang w:val="en-US"/>
              </w:rPr>
              <w:t>&gt;</w:t>
            </w:r>
            <w:r>
              <w:rPr>
                <w:rFonts w:ascii="Arial"/>
                <w:caps w:val="0"/>
                <w:smallCaps w:val="0"/>
                <w:strike w:val="0"/>
                <w:dstrike w:val="0"/>
                <w:outline w:val="0"/>
                <w:color w:val="000000"/>
                <w:spacing w:val="0"/>
                <w:kern w:val="0"/>
                <w:position w:val="0"/>
                <w:sz w:val="18"/>
                <w:szCs w:val="18"/>
                <w:u w:val="none" w:color="000000"/>
                <w:vertAlign w:val="baseline"/>
                <w:rtl w:val="0"/>
                <w:lang w:val="en-US"/>
              </w:rPr>
              <w:t>Subband CQI for codeword 0</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sz w:val="18"/>
                <w:szCs w:val="18"/>
                <w:u w:val="single"/>
                <w:rtl w:val="0"/>
                <w:lang w:val="en-US"/>
              </w:rPr>
              <w:t>INTEGER (0..15,</w:t>
            </w:r>
            <w:r>
              <w:rPr>
                <w:rFonts w:hAnsi="Times New Roman" w:hint="default"/>
                <w:sz w:val="18"/>
                <w:szCs w:val="18"/>
                <w:u w:val="single"/>
                <w:rtl w:val="0"/>
                <w:lang w:val="en-US"/>
              </w:rPr>
              <w:t>…</w:t>
            </w:r>
            <w:r>
              <w:rPr>
                <w:rFonts w:ascii="Arial"/>
                <w:sz w:val="18"/>
                <w:szCs w:val="18"/>
                <w:u w:val="single"/>
                <w:rtl w:val="0"/>
                <w:lang w:val="en-US"/>
              </w:rPr>
              <w:t>)</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460"/>
            </w:pPr>
            <w:r>
              <w:rPr>
                <w:rFonts w:ascii="Arial"/>
                <w:caps w:val="0"/>
                <w:smallCaps w:val="0"/>
                <w:strike w:val="0"/>
                <w:dstrike w:val="0"/>
                <w:outline w:val="0"/>
                <w:color w:val="000000"/>
                <w:spacing w:val="0"/>
                <w:kern w:val="0"/>
                <w:position w:val="0"/>
                <w:sz w:val="18"/>
                <w:szCs w:val="18"/>
                <w:u w:val="none" w:color="000000"/>
                <w:vertAlign w:val="baseline"/>
                <w:rtl w:val="0"/>
                <w:lang w:val="en-US"/>
              </w:rPr>
              <w:t>&gt;&gt;&gt;</w:t>
            </w:r>
            <w:r>
              <w:rPr>
                <w:rFonts w:ascii="Arial"/>
                <w:caps w:val="0"/>
                <w:smallCaps w:val="0"/>
                <w:strike w:val="0"/>
                <w:dstrike w:val="0"/>
                <w:outline w:val="0"/>
                <w:color w:val="000000"/>
                <w:spacing w:val="0"/>
                <w:kern w:val="0"/>
                <w:position w:val="0"/>
                <w:sz w:val="18"/>
                <w:szCs w:val="18"/>
                <w:u w:val="none" w:color="000000"/>
                <w:vertAlign w:val="baseline"/>
                <w:rtl w:val="0"/>
                <w:lang w:val="en-US"/>
              </w:rPr>
              <w:t>&gt;</w:t>
            </w:r>
            <w:r>
              <w:rPr>
                <w:rFonts w:ascii="Arial"/>
                <w:caps w:val="0"/>
                <w:smallCaps w:val="0"/>
                <w:strike w:val="0"/>
                <w:dstrike w:val="0"/>
                <w:outline w:val="0"/>
                <w:color w:val="000000"/>
                <w:spacing w:val="0"/>
                <w:kern w:val="0"/>
                <w:position w:val="0"/>
                <w:sz w:val="18"/>
                <w:szCs w:val="18"/>
                <w:u w:val="none" w:color="000000"/>
                <w:vertAlign w:val="baseline"/>
                <w:rtl w:val="0"/>
                <w:lang w:val="en-US"/>
              </w:rPr>
              <w:t>Subband CQI for codeword 1</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O</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sz w:val="18"/>
                <w:szCs w:val="18"/>
                <w:u w:val="single"/>
                <w:rtl w:val="0"/>
                <w:lang w:val="en-US"/>
              </w:rPr>
              <w:t>INTEGER (0..15,</w:t>
            </w:r>
            <w:r>
              <w:rPr>
                <w:rFonts w:hAnsi="Times New Roman" w:hint="default"/>
                <w:sz w:val="18"/>
                <w:szCs w:val="18"/>
                <w:u w:val="single"/>
                <w:rtl w:val="0"/>
                <w:lang w:val="en-US"/>
              </w:rPr>
              <w:t>…</w:t>
            </w:r>
            <w:r>
              <w:rPr>
                <w:rFonts w:ascii="Arial"/>
                <w:sz w:val="18"/>
                <w:szCs w:val="18"/>
                <w:u w:val="single"/>
                <w:rtl w:val="0"/>
                <w:lang w:val="en-US"/>
              </w:rPr>
              <w:t>)</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 xml:space="preserve"> </w:t>
            </w:r>
          </w:p>
        </w:tc>
      </w:tr>
      <w:tr>
        <w:tblPrEx>
          <w:shd w:val="clear" w:color="auto" w:fill="auto"/>
        </w:tblPrEx>
        <w:trPr>
          <w:trHeight w:val="150" w:hRule="atLeast"/>
        </w:trPr>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ind w:left="318"/>
            </w:pPr>
            <w:r>
              <w:rPr>
                <w:rFonts w:ascii="Arial"/>
                <w:caps w:val="0"/>
                <w:smallCaps w:val="0"/>
                <w:strike w:val="0"/>
                <w:dstrike w:val="0"/>
                <w:outline w:val="0"/>
                <w:color w:val="000000"/>
                <w:spacing w:val="0"/>
                <w:kern w:val="0"/>
                <w:position w:val="0"/>
                <w:sz w:val="18"/>
                <w:szCs w:val="18"/>
                <w:u w:val="none" w:color="000000"/>
                <w:vertAlign w:val="baseline"/>
                <w:rtl w:val="0"/>
                <w:lang w:val="en-US"/>
              </w:rPr>
              <w:t>&gt;&gt;UE-CSI process Configuration information</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5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FFS</w:t>
            </w:r>
          </w:p>
        </w:tc>
        <w:tc>
          <w:tcPr>
            <w:tcW w:type="dxa" w:w="24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CR Cover Page"/>
              <w:keepNext w:val="1"/>
              <w:keepLines w:val="1"/>
              <w:spacing w:after="0"/>
            </w:pPr>
            <w:r>
              <w:rPr>
                <w:rFonts w:ascii="Arial"/>
                <w:caps w:val="0"/>
                <w:smallCaps w:val="0"/>
                <w:strike w:val="0"/>
                <w:dstrike w:val="0"/>
                <w:outline w:val="0"/>
                <w:color w:val="000000"/>
                <w:spacing w:val="0"/>
                <w:kern w:val="0"/>
                <w:position w:val="0"/>
                <w:sz w:val="18"/>
                <w:szCs w:val="18"/>
                <w:u w:val="none" w:color="000000"/>
                <w:vertAlign w:val="baseline"/>
                <w:rtl w:val="0"/>
                <w:lang w:val="en-US"/>
              </w:rPr>
              <w:t>CSI process configuration information.</w:t>
            </w:r>
          </w:p>
        </w:tc>
      </w:tr>
    </w:tbl>
    <w:p>
      <w:pPr>
        <w:pStyle w:val="Body"/>
        <w:spacing w:after="180"/>
      </w:pPr>
      <w:r>
        <w:rPr>
          <w:sz w:val="20"/>
          <w:szCs w:val="20"/>
          <w:rtl w:val="0"/>
          <w:lang w:val="en-US"/>
        </w:rPr>
        <w:br w:type="textWrapping"/>
      </w:r>
      <w:r>
        <w:rPr>
          <w:sz w:val="20"/>
          <w:szCs w:val="20"/>
          <w:rtl w:val="0"/>
          <w:lang w:val="en-US"/>
        </w:rPr>
        <w:br w:type="page"/>
      </w:r>
    </w:p>
    <w:p>
      <w:pPr>
        <w:pStyle w:val="Body"/>
        <w:spacing w:after="180"/>
      </w:pPr>
    </w:p>
    <w:sectPr>
      <w:headerReference w:type="default" r:id="rId4"/>
      <w:footerReference w:type="default" r:id="rId5"/>
      <w:pgSz w:w="11900" w:h="16840" w:orient="portrait"/>
      <w:pgMar w:top="1418" w:right="1134" w:bottom="1134" w:left="1134" w:header="680"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rial Bold">
    <w:charset w:val="00"/>
    <w:family w:val="roman"/>
    <w:pitch w:val="default"/>
  </w:font>
  <w:font w:name="Times New Roman Bold">
    <w:charset w:val="00"/>
    <w:family w:val="roman"/>
    <w:pitch w:val="default"/>
  </w:font>
  <w:font w:name="Cambria">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r="http://schemas.openxmlformats.org/officeDocument/2006/relationships" xmlns:v="urn:schemas-microsoft-com:vml" xmlns:o="urn:schemas-microsoft-com:office:office">
  <w:abstractNum w:abstractNumId="0">
    <w:multiLevelType w:val="multilevel"/>
    <w:lvl w:ilvl="0">
      <w:start w:val="1"/>
      <w:numFmt w:val="lowerRoman"/>
      <w:suff w:val="tab"/>
      <w:lvlText w:val="(%1)"/>
      <w:lvlJc w:val="left"/>
      <w:pPr/>
      <w:rPr>
        <w:position w:val="0"/>
        <w:lang w:val="en-US"/>
      </w:rPr>
    </w:lvl>
    <w:lvl w:ilvl="1">
      <w:start w:val="1"/>
      <w:numFmt w:val="lowerLetter"/>
      <w:suff w:val="tab"/>
      <w:lvlText w:val="%2."/>
      <w:lvlJc w:val="left"/>
      <w:pPr/>
      <w:rPr>
        <w:position w:val="0"/>
        <w:lang w:val="en-US"/>
      </w:rPr>
    </w:lvl>
    <w:lvl w:ilvl="2">
      <w:start w:val="1"/>
      <w:numFmt w:val="lowerRoman"/>
      <w:suff w:val="tab"/>
      <w:lvlText w:val="%3."/>
      <w:lvlJc w:val="left"/>
      <w:pPr/>
      <w:rPr>
        <w:position w:val="0"/>
        <w:lang w:val="en-US"/>
      </w:rPr>
    </w:lvl>
    <w:lvl w:ilvl="3">
      <w:start w:val="1"/>
      <w:numFmt w:val="decimal"/>
      <w:suff w:val="tab"/>
      <w:lvlText w:val="%4."/>
      <w:lvlJc w:val="left"/>
      <w:pPr/>
      <w:rPr>
        <w:position w:val="0"/>
        <w:lang w:val="en-US"/>
      </w:rPr>
    </w:lvl>
    <w:lvl w:ilvl="4">
      <w:start w:val="1"/>
      <w:numFmt w:val="lowerLetter"/>
      <w:suff w:val="tab"/>
      <w:lvlText w:val="%5."/>
      <w:lvlJc w:val="left"/>
      <w:pPr/>
      <w:rPr>
        <w:position w:val="0"/>
        <w:lang w:val="en-US"/>
      </w:rPr>
    </w:lvl>
    <w:lvl w:ilvl="5">
      <w:start w:val="1"/>
      <w:numFmt w:val="lowerRoman"/>
      <w:suff w:val="tab"/>
      <w:lvlText w:val="%6."/>
      <w:lvlJc w:val="left"/>
      <w:pPr/>
      <w:rPr>
        <w:position w:val="0"/>
        <w:lang w:val="en-US"/>
      </w:rPr>
    </w:lvl>
    <w:lvl w:ilvl="6">
      <w:start w:val="1"/>
      <w:numFmt w:val="decimal"/>
      <w:suff w:val="tab"/>
      <w:lvlText w:val="%7."/>
      <w:lvlJc w:val="left"/>
      <w:pPr/>
      <w:rPr>
        <w:position w:val="0"/>
        <w:lang w:val="en-US"/>
      </w:rPr>
    </w:lvl>
    <w:lvl w:ilvl="7">
      <w:start w:val="1"/>
      <w:numFmt w:val="lowerLetter"/>
      <w:suff w:val="tab"/>
      <w:lvlText w:val="%8."/>
      <w:lvlJc w:val="left"/>
      <w:pPr/>
      <w:rPr>
        <w:position w:val="0"/>
        <w:lang w:val="en-US"/>
      </w:rPr>
    </w:lvl>
    <w:lvl w:ilvl="8">
      <w:start w:val="1"/>
      <w:numFmt w:val="lowerRoman"/>
      <w:suff w:val="tab"/>
      <w:lvlText w:val="%9."/>
      <w:lvlJc w:val="left"/>
      <w:pPr/>
      <w:rPr>
        <w:position w:val="0"/>
        <w:lang w:val="en-US"/>
      </w:rPr>
    </w:lvl>
  </w:abstractNum>
  <w:abstractNum w:abstractNumId="1">
    <w:multiLevelType w:val="multilevel"/>
    <w:lvl w:ilvl="0">
      <w:start w:val="1"/>
      <w:numFmt w:val="lowerRoman"/>
      <w:suff w:val="tab"/>
      <w:lvlText w:val="(%1)"/>
      <w:lvlJc w:val="left"/>
      <w:pPr/>
      <w:rPr>
        <w:position w:val="0"/>
      </w:rPr>
    </w:lvl>
    <w:lvl w:ilvl="1">
      <w:start w:val="1"/>
      <w:numFmt w:val="lowerLetter"/>
      <w:suff w:val="tab"/>
      <w:lvlText w:val="%2."/>
      <w:lvlJc w:val="left"/>
      <w:pPr/>
      <w:rPr>
        <w:position w:val="0"/>
      </w:rPr>
    </w:lvl>
    <w:lvl w:ilvl="2">
      <w:start w:val="1"/>
      <w:numFmt w:val="lowerRoman"/>
      <w:suff w:val="tab"/>
      <w:lvlText w:val="%3."/>
      <w:lvlJc w:val="left"/>
      <w:pPr/>
      <w:rPr>
        <w:position w:val="0"/>
      </w:rPr>
    </w:lvl>
    <w:lvl w:ilvl="3">
      <w:start w:val="1"/>
      <w:numFmt w:val="decimal"/>
      <w:suff w:val="tab"/>
      <w:lvlText w:val="%4."/>
      <w:lvlJc w:val="left"/>
      <w:pPr/>
      <w:rPr>
        <w:position w:val="0"/>
      </w:rPr>
    </w:lvl>
    <w:lvl w:ilvl="4">
      <w:start w:val="1"/>
      <w:numFmt w:val="lowerLetter"/>
      <w:suff w:val="tab"/>
      <w:lvlText w:val="%5."/>
      <w:lvlJc w:val="left"/>
      <w:pPr/>
      <w:rPr>
        <w:position w:val="0"/>
      </w:rPr>
    </w:lvl>
    <w:lvl w:ilvl="5">
      <w:start w:val="1"/>
      <w:numFmt w:val="lowerRoman"/>
      <w:suff w:val="tab"/>
      <w:lvlText w:val="%6."/>
      <w:lvlJc w:val="left"/>
      <w:pPr/>
      <w:rPr>
        <w:position w:val="0"/>
      </w:rPr>
    </w:lvl>
    <w:lvl w:ilvl="6">
      <w:start w:val="1"/>
      <w:numFmt w:val="decimal"/>
      <w:suff w:val="tab"/>
      <w:lvlText w:val="%7."/>
      <w:lvlJc w:val="left"/>
      <w:pPr/>
      <w:rPr>
        <w:position w:val="0"/>
      </w:rPr>
    </w:lvl>
    <w:lvl w:ilvl="7">
      <w:start w:val="1"/>
      <w:numFmt w:val="lowerLetter"/>
      <w:suff w:val="tab"/>
      <w:lvlText w:val="%8."/>
      <w:lvlJc w:val="left"/>
      <w:pPr/>
      <w:rPr>
        <w:position w:val="0"/>
      </w:rPr>
    </w:lvl>
    <w:lvl w:ilvl="8">
      <w:start w:val="1"/>
      <w:numFmt w:val="lowerRoman"/>
      <w:suff w:val="tab"/>
      <w:lvlText w:val="%9."/>
      <w:lvlJc w:val="left"/>
      <w:pPr/>
      <w:rPr>
        <w:position w:val="0"/>
      </w:rPr>
    </w:lvl>
  </w:abstractNum>
  <w:abstractNum w:abstractNumId="2">
    <w:multiLevelType w:val="multilevel"/>
    <w:styleLink w:val="List 0"/>
    <w:lvl w:ilvl="0">
      <w:start w:val="1"/>
      <w:numFmt w:val="lowerRoman"/>
      <w:suff w:val="tab"/>
      <w:lvlText w:val="(%1)"/>
      <w:lvlJc w:val="left"/>
      <w:pPr/>
      <w:rPr>
        <w:position w:val="0"/>
        <w:lang w:val="en-US"/>
      </w:rPr>
    </w:lvl>
    <w:lvl w:ilvl="1">
      <w:start w:val="1"/>
      <w:numFmt w:val="lowerLetter"/>
      <w:suff w:val="tab"/>
      <w:lvlText w:val="%2."/>
      <w:lvlJc w:val="left"/>
      <w:pPr/>
      <w:rPr>
        <w:position w:val="0"/>
        <w:lang w:val="en-US"/>
      </w:rPr>
    </w:lvl>
    <w:lvl w:ilvl="2">
      <w:start w:val="1"/>
      <w:numFmt w:val="lowerRoman"/>
      <w:suff w:val="tab"/>
      <w:lvlText w:val="%3."/>
      <w:lvlJc w:val="left"/>
      <w:pPr/>
      <w:rPr>
        <w:position w:val="0"/>
        <w:lang w:val="en-US"/>
      </w:rPr>
    </w:lvl>
    <w:lvl w:ilvl="3">
      <w:start w:val="1"/>
      <w:numFmt w:val="decimal"/>
      <w:suff w:val="tab"/>
      <w:lvlText w:val="%4."/>
      <w:lvlJc w:val="left"/>
      <w:pPr/>
      <w:rPr>
        <w:position w:val="0"/>
        <w:lang w:val="en-US"/>
      </w:rPr>
    </w:lvl>
    <w:lvl w:ilvl="4">
      <w:start w:val="1"/>
      <w:numFmt w:val="lowerLetter"/>
      <w:suff w:val="tab"/>
      <w:lvlText w:val="%5."/>
      <w:lvlJc w:val="left"/>
      <w:pPr/>
      <w:rPr>
        <w:position w:val="0"/>
        <w:lang w:val="en-US"/>
      </w:rPr>
    </w:lvl>
    <w:lvl w:ilvl="5">
      <w:start w:val="1"/>
      <w:numFmt w:val="lowerRoman"/>
      <w:suff w:val="tab"/>
      <w:lvlText w:val="%6."/>
      <w:lvlJc w:val="left"/>
      <w:pPr/>
      <w:rPr>
        <w:position w:val="0"/>
        <w:lang w:val="en-US"/>
      </w:rPr>
    </w:lvl>
    <w:lvl w:ilvl="6">
      <w:start w:val="1"/>
      <w:numFmt w:val="decimal"/>
      <w:suff w:val="tab"/>
      <w:lvlText w:val="%7."/>
      <w:lvlJc w:val="left"/>
      <w:pPr/>
      <w:rPr>
        <w:position w:val="0"/>
        <w:lang w:val="en-US"/>
      </w:rPr>
    </w:lvl>
    <w:lvl w:ilvl="7">
      <w:start w:val="1"/>
      <w:numFmt w:val="lowerLetter"/>
      <w:suff w:val="tab"/>
      <w:lvlText w:val="%8."/>
      <w:lvlJc w:val="left"/>
      <w:pPr/>
      <w:rPr>
        <w:position w:val="0"/>
        <w:lang w:val="en-US"/>
      </w:rPr>
    </w:lvl>
    <w:lvl w:ilvl="8">
      <w:start w:val="1"/>
      <w:numFmt w:val="lowerRoman"/>
      <w:suff w:val="tab"/>
      <w:lvlText w:val="%9."/>
      <w:lvlJc w:val="left"/>
      <w:pPr/>
      <w:rPr>
        <w:position w:val="0"/>
        <w:lang w:val="en-US"/>
      </w:rPr>
    </w:lvl>
  </w:abstractNum>
  <w:abstractNum w:abstractNumId="3">
    <w:multiLevelType w:val="multilevel"/>
    <w:lvl w:ilvl="0">
      <w:start w:val="1"/>
      <w:numFmt w:val="bullet"/>
      <w:suff w:val="tab"/>
      <w:lvlText w:val="-"/>
      <w:lvlJc w:val="left"/>
      <w:pPr>
        <w:tabs>
          <w:tab w:val="num" w:pos="760"/>
          <w:tab w:val="clear" w:pos="0"/>
        </w:tabs>
        <w:ind w:left="760" w:hanging="360"/>
      </w:pPr>
      <w:rPr>
        <w:position w:val="0"/>
        <w:sz w:val="24"/>
        <w:szCs w:val="24"/>
      </w:rPr>
    </w:lvl>
    <w:lvl w:ilvl="1">
      <w:start w:val="1"/>
      <w:numFmt w:val="bullet"/>
      <w:suff w:val="tab"/>
      <w:lvlText w:val="-"/>
      <w:lvlJc w:val="left"/>
      <w:pPr>
        <w:tabs>
          <w:tab w:val="num" w:pos="1305"/>
          <w:tab w:val="clear" w:pos="0"/>
        </w:tabs>
        <w:ind w:left="1305" w:hanging="505"/>
      </w:pPr>
      <w:rPr>
        <w:position w:val="0"/>
        <w:sz w:val="24"/>
        <w:szCs w:val="24"/>
      </w:rPr>
    </w:lvl>
    <w:lvl w:ilvl="2">
      <w:start w:val="1"/>
      <w:numFmt w:val="bullet"/>
      <w:suff w:val="tab"/>
      <w:lvlText w:val="◆"/>
      <w:lvlJc w:val="left"/>
      <w:pPr>
        <w:tabs>
          <w:tab w:val="num" w:pos="1600"/>
          <w:tab w:val="clear" w:pos="0"/>
        </w:tabs>
        <w:ind w:left="1600" w:hanging="400"/>
      </w:pPr>
      <w:rPr>
        <w:position w:val="0"/>
        <w:sz w:val="24"/>
        <w:szCs w:val="24"/>
      </w:rPr>
    </w:lvl>
    <w:lvl w:ilvl="3">
      <w:start w:val="1"/>
      <w:numFmt w:val="bullet"/>
      <w:suff w:val="tab"/>
      <w:lvlText w:val="●"/>
      <w:lvlJc w:val="left"/>
      <w:pPr>
        <w:tabs>
          <w:tab w:val="num" w:pos="2000"/>
          <w:tab w:val="clear" w:pos="0"/>
        </w:tabs>
        <w:ind w:left="2000" w:hanging="400"/>
      </w:pPr>
      <w:rPr>
        <w:position w:val="0"/>
        <w:sz w:val="24"/>
        <w:szCs w:val="24"/>
      </w:rPr>
    </w:lvl>
    <w:lvl w:ilvl="4">
      <w:start w:val="1"/>
      <w:numFmt w:val="bullet"/>
      <w:suff w:val="tab"/>
      <w:lvlText w:val="■"/>
      <w:lvlJc w:val="left"/>
      <w:pPr>
        <w:tabs>
          <w:tab w:val="num" w:pos="2400"/>
          <w:tab w:val="clear" w:pos="0"/>
        </w:tabs>
        <w:ind w:left="2400" w:hanging="400"/>
      </w:pPr>
      <w:rPr>
        <w:position w:val="0"/>
        <w:sz w:val="24"/>
        <w:szCs w:val="24"/>
      </w:rPr>
    </w:lvl>
    <w:lvl w:ilvl="5">
      <w:start w:val="1"/>
      <w:numFmt w:val="bullet"/>
      <w:suff w:val="tab"/>
      <w:lvlText w:val="◆"/>
      <w:lvlJc w:val="left"/>
      <w:pPr>
        <w:tabs>
          <w:tab w:val="num" w:pos="2800"/>
          <w:tab w:val="clear" w:pos="0"/>
        </w:tabs>
        <w:ind w:left="2800" w:hanging="400"/>
      </w:pPr>
      <w:rPr>
        <w:position w:val="0"/>
        <w:sz w:val="24"/>
        <w:szCs w:val="24"/>
      </w:rPr>
    </w:lvl>
    <w:lvl w:ilvl="6">
      <w:start w:val="1"/>
      <w:numFmt w:val="bullet"/>
      <w:suff w:val="tab"/>
      <w:lvlText w:val="●"/>
      <w:lvlJc w:val="left"/>
      <w:pPr>
        <w:tabs>
          <w:tab w:val="num" w:pos="3200"/>
          <w:tab w:val="clear" w:pos="0"/>
        </w:tabs>
        <w:ind w:left="3200" w:hanging="400"/>
      </w:pPr>
      <w:rPr>
        <w:position w:val="0"/>
        <w:sz w:val="24"/>
        <w:szCs w:val="24"/>
      </w:rPr>
    </w:lvl>
    <w:lvl w:ilvl="7">
      <w:start w:val="1"/>
      <w:numFmt w:val="bullet"/>
      <w:suff w:val="tab"/>
      <w:lvlText w:val="■"/>
      <w:lvlJc w:val="left"/>
      <w:pPr>
        <w:tabs>
          <w:tab w:val="num" w:pos="3600"/>
          <w:tab w:val="clear" w:pos="0"/>
        </w:tabs>
        <w:ind w:left="3600" w:hanging="400"/>
      </w:pPr>
      <w:rPr>
        <w:position w:val="0"/>
        <w:sz w:val="24"/>
        <w:szCs w:val="24"/>
      </w:rPr>
    </w:lvl>
    <w:lvl w:ilvl="8">
      <w:start w:val="1"/>
      <w:numFmt w:val="bullet"/>
      <w:suff w:val="tab"/>
      <w:lvlText w:val="◆"/>
      <w:lvlJc w:val="left"/>
      <w:pPr>
        <w:tabs>
          <w:tab w:val="num" w:pos="4000"/>
          <w:tab w:val="clear" w:pos="0"/>
        </w:tabs>
        <w:ind w:left="4000" w:hanging="400"/>
      </w:pPr>
      <w:rPr>
        <w:position w:val="0"/>
        <w:sz w:val="24"/>
        <w:szCs w:val="24"/>
      </w:rPr>
    </w:lvl>
  </w:abstractNum>
  <w:abstractNum w:abstractNumId="4">
    <w:multiLevelType w:val="multilevel"/>
    <w:lvl w:ilvl="0">
      <w:start w:val="1"/>
      <w:numFmt w:val="bullet"/>
      <w:suff w:val="tab"/>
      <w:lvlText w:val="-"/>
      <w:lvlJc w:val="left"/>
      <w:pPr/>
      <w:rPr>
        <w:position w:val="0"/>
      </w:rPr>
    </w:lvl>
    <w:lvl w:ilvl="1">
      <w:start w:val="1"/>
      <w:numFmt w:val="bullet"/>
      <w:suff w:val="tab"/>
      <w:lvlText w:val="-"/>
      <w:lvlJc w:val="left"/>
      <w:pPr/>
      <w:rPr>
        <w:position w:val="0"/>
      </w:rPr>
    </w:lvl>
    <w:lvl w:ilvl="2">
      <w:start w:val="1"/>
      <w:numFmt w:val="bullet"/>
      <w:suff w:val="tab"/>
      <w:lvlText w:val="◆"/>
      <w:lvlJc w:val="left"/>
      <w:pPr/>
      <w:rPr>
        <w:position w:val="0"/>
      </w:rPr>
    </w:lvl>
    <w:lvl w:ilvl="3">
      <w:start w:val="1"/>
      <w:numFmt w:val="bullet"/>
      <w:suff w:val="tab"/>
      <w:lvlText w:val="●"/>
      <w:lvlJc w:val="left"/>
      <w:pPr/>
      <w:rPr>
        <w:position w:val="0"/>
      </w:rPr>
    </w:lvl>
    <w:lvl w:ilvl="4">
      <w:start w:val="1"/>
      <w:numFmt w:val="bullet"/>
      <w:suff w:val="tab"/>
      <w:lvlText w:val="■"/>
      <w:lvlJc w:val="left"/>
      <w:pPr/>
      <w:rPr>
        <w:position w:val="0"/>
      </w:rPr>
    </w:lvl>
    <w:lvl w:ilvl="5">
      <w:start w:val="1"/>
      <w:numFmt w:val="bullet"/>
      <w:suff w:val="tab"/>
      <w:lvlText w:val="◆"/>
      <w:lvlJc w:val="left"/>
      <w:pPr/>
      <w:rPr>
        <w:position w:val="0"/>
      </w:rPr>
    </w:lvl>
    <w:lvl w:ilvl="6">
      <w:start w:val="1"/>
      <w:numFmt w:val="bullet"/>
      <w:suff w:val="tab"/>
      <w:lvlText w:val="●"/>
      <w:lvlJc w:val="left"/>
      <w:pPr/>
      <w:rPr>
        <w:position w:val="0"/>
      </w:rPr>
    </w:lvl>
    <w:lvl w:ilvl="7">
      <w:start w:val="1"/>
      <w:numFmt w:val="bullet"/>
      <w:suff w:val="tab"/>
      <w:lvlText w:val="■"/>
      <w:lvlJc w:val="left"/>
      <w:pPr/>
      <w:rPr>
        <w:position w:val="0"/>
      </w:rPr>
    </w:lvl>
    <w:lvl w:ilvl="8">
      <w:start w:val="1"/>
      <w:numFmt w:val="bullet"/>
      <w:suff w:val="tab"/>
      <w:lvlText w:val="◆"/>
      <w:lvlJc w:val="left"/>
      <w:pPr/>
      <w:rPr>
        <w:position w:val="0"/>
      </w:rPr>
    </w:lvl>
  </w:abstractNum>
  <w:abstractNum w:abstractNumId="5">
    <w:multiLevelType w:val="multilevel"/>
    <w:styleLink w:val="List 1"/>
    <w:lvl w:ilvl="0">
      <w:start w:val="1"/>
      <w:numFmt w:val="bullet"/>
      <w:suff w:val="tab"/>
      <w:lvlText w:val="-"/>
      <w:lvlJc w:val="left"/>
      <w:pPr>
        <w:tabs>
          <w:tab w:val="num" w:pos="760"/>
          <w:tab w:val="clear" w:pos="0"/>
        </w:tabs>
        <w:ind w:left="760" w:hanging="360"/>
      </w:pPr>
      <w:rPr>
        <w:position w:val="0"/>
        <w:sz w:val="24"/>
        <w:szCs w:val="24"/>
      </w:rPr>
    </w:lvl>
    <w:lvl w:ilvl="1">
      <w:start w:val="0"/>
      <w:numFmt w:val="bullet"/>
      <w:suff w:val="tab"/>
      <w:lvlText w:val="-"/>
      <w:lvlJc w:val="left"/>
      <w:pPr>
        <w:tabs>
          <w:tab w:val="num" w:pos="1305"/>
          <w:tab w:val="clear" w:pos="0"/>
        </w:tabs>
        <w:ind w:left="1305" w:hanging="505"/>
      </w:pPr>
      <w:rPr>
        <w:position w:val="0"/>
        <w:sz w:val="20"/>
        <w:szCs w:val="20"/>
      </w:rPr>
    </w:lvl>
    <w:lvl w:ilvl="2">
      <w:start w:val="1"/>
      <w:numFmt w:val="bullet"/>
      <w:suff w:val="tab"/>
      <w:lvlText w:val="◆"/>
      <w:lvlJc w:val="left"/>
      <w:pPr>
        <w:tabs>
          <w:tab w:val="num" w:pos="1600"/>
          <w:tab w:val="clear" w:pos="0"/>
        </w:tabs>
        <w:ind w:left="1600" w:hanging="400"/>
      </w:pPr>
      <w:rPr>
        <w:position w:val="0"/>
        <w:sz w:val="24"/>
        <w:szCs w:val="24"/>
      </w:rPr>
    </w:lvl>
    <w:lvl w:ilvl="3">
      <w:start w:val="1"/>
      <w:numFmt w:val="bullet"/>
      <w:suff w:val="tab"/>
      <w:lvlText w:val="●"/>
      <w:lvlJc w:val="left"/>
      <w:pPr>
        <w:tabs>
          <w:tab w:val="num" w:pos="2000"/>
          <w:tab w:val="clear" w:pos="0"/>
        </w:tabs>
        <w:ind w:left="2000" w:hanging="400"/>
      </w:pPr>
      <w:rPr>
        <w:position w:val="0"/>
        <w:sz w:val="24"/>
        <w:szCs w:val="24"/>
      </w:rPr>
    </w:lvl>
    <w:lvl w:ilvl="4">
      <w:start w:val="1"/>
      <w:numFmt w:val="bullet"/>
      <w:suff w:val="tab"/>
      <w:lvlText w:val="■"/>
      <w:lvlJc w:val="left"/>
      <w:pPr>
        <w:tabs>
          <w:tab w:val="num" w:pos="2400"/>
          <w:tab w:val="clear" w:pos="0"/>
        </w:tabs>
        <w:ind w:left="2400" w:hanging="400"/>
      </w:pPr>
      <w:rPr>
        <w:position w:val="0"/>
        <w:sz w:val="24"/>
        <w:szCs w:val="24"/>
      </w:rPr>
    </w:lvl>
    <w:lvl w:ilvl="5">
      <w:start w:val="1"/>
      <w:numFmt w:val="bullet"/>
      <w:suff w:val="tab"/>
      <w:lvlText w:val="◆"/>
      <w:lvlJc w:val="left"/>
      <w:pPr>
        <w:tabs>
          <w:tab w:val="num" w:pos="2800"/>
          <w:tab w:val="clear" w:pos="0"/>
        </w:tabs>
        <w:ind w:left="2800" w:hanging="400"/>
      </w:pPr>
      <w:rPr>
        <w:position w:val="0"/>
        <w:sz w:val="24"/>
        <w:szCs w:val="24"/>
      </w:rPr>
    </w:lvl>
    <w:lvl w:ilvl="6">
      <w:start w:val="1"/>
      <w:numFmt w:val="bullet"/>
      <w:suff w:val="tab"/>
      <w:lvlText w:val="●"/>
      <w:lvlJc w:val="left"/>
      <w:pPr>
        <w:tabs>
          <w:tab w:val="num" w:pos="3200"/>
          <w:tab w:val="clear" w:pos="0"/>
        </w:tabs>
        <w:ind w:left="3200" w:hanging="400"/>
      </w:pPr>
      <w:rPr>
        <w:position w:val="0"/>
        <w:sz w:val="24"/>
        <w:szCs w:val="24"/>
      </w:rPr>
    </w:lvl>
    <w:lvl w:ilvl="7">
      <w:start w:val="1"/>
      <w:numFmt w:val="bullet"/>
      <w:suff w:val="tab"/>
      <w:lvlText w:val="■"/>
      <w:lvlJc w:val="left"/>
      <w:pPr>
        <w:tabs>
          <w:tab w:val="num" w:pos="3600"/>
          <w:tab w:val="clear" w:pos="0"/>
        </w:tabs>
        <w:ind w:left="3600" w:hanging="400"/>
      </w:pPr>
      <w:rPr>
        <w:position w:val="0"/>
        <w:sz w:val="24"/>
        <w:szCs w:val="24"/>
      </w:rPr>
    </w:lvl>
    <w:lvl w:ilvl="8">
      <w:start w:val="1"/>
      <w:numFmt w:val="bullet"/>
      <w:suff w:val="tab"/>
      <w:lvlText w:val="◆"/>
      <w:lvlJc w:val="left"/>
      <w:pPr>
        <w:tabs>
          <w:tab w:val="num" w:pos="4000"/>
          <w:tab w:val="clear" w:pos="0"/>
        </w:tabs>
        <w:ind w:left="4000" w:hanging="400"/>
      </w:pPr>
      <w:rPr>
        <w:position w:val="0"/>
        <w:sz w:val="24"/>
        <w:szCs w:val="24"/>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er">
    <w:name w:val="header"/>
    <w:next w:val="header"/>
    <w:pPr>
      <w:keepNext w:val="0"/>
      <w:keepLines w:val="0"/>
      <w:pageBreakBefore w:val="0"/>
      <w:widowControl w:val="0"/>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Arial Bold"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CR Cover Page">
    <w:name w:val="CR Cover Page"/>
    <w:next w:val="CR Cover Page"/>
    <w:pPr>
      <w:keepNext w:val="0"/>
      <w:keepLines w:val="0"/>
      <w:pageBreakBefore w:val="0"/>
      <w:widowControl w:val="1"/>
      <w:pBdr>
        <w:top w:val="nil"/>
        <w:left w:val="nil"/>
        <w:bottom w:val="nil"/>
        <w:right w:val="nil"/>
      </w:pBdr>
      <w:shd w:val="clear" w:color="auto" w:fill="auto"/>
      <w:suppressAutoHyphens w:val="0"/>
      <w:bidi w:val="0"/>
      <w:spacing w:before="0" w:after="12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fr-FR"/>
    </w:rPr>
  </w:style>
  <w:style w:type="paragraph" w:styleId="Heading">
    <w:name w:val="Heading"/>
    <w:next w:val="Body A"/>
    <w:pPr>
      <w:keepNext w:val="1"/>
      <w:keepLines w:val="1"/>
      <w:pageBreakBefore w:val="0"/>
      <w:widowControl w:val="1"/>
      <w:pBdr>
        <w:top w:val="nil"/>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fr-FR"/>
    </w:rPr>
  </w:style>
  <w:style w:type="numbering" w:styleId="List 0">
    <w:name w:val="List 0"/>
    <w:basedOn w:val="Imported Style 1"/>
    <w:next w:val="List 0"/>
    <w:pPr>
      <w:numPr>
        <w:numId w:val="1"/>
      </w:numPr>
    </w:pPr>
  </w:style>
  <w:style w:type="numbering" w:styleId="Imported Style 1">
    <w:name w:val="Imported Style 1"/>
    <w:next w:val="Imported Style 1"/>
    <w:pPr>
      <w:numPr>
        <w:numId w:val="2"/>
      </w:numPr>
    </w:pPr>
  </w:style>
  <w:style w:type="paragraph" w:styleId="표준">
    <w:name w:val="표준"/>
    <w:next w:val="표준"/>
    <w:pPr>
      <w:keepNext w:val="0"/>
      <w:keepLines w:val="0"/>
      <w:pageBreakBefore w:val="0"/>
      <w:widowControl w:val="1"/>
      <w:shd w:val="clear" w:color="auto" w:fill="auto"/>
      <w:suppressAutoHyphens w:val="0"/>
      <w:bidi w:val="0"/>
      <w:spacing w:before="0" w:after="12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numbering" w:styleId="List 1">
    <w:name w:val="List 1"/>
    <w:basedOn w:val="Imported Style 2"/>
    <w:next w:val="List 1"/>
    <w:pPr>
      <w:numPr>
        <w:numId w:val="4"/>
      </w:numPr>
    </w:pPr>
  </w:style>
  <w:style w:type="numbering" w:styleId="Imported Style 2">
    <w:name w:val="Imported Style 2"/>
    <w:next w:val="Imported Style 2"/>
    <w:pPr>
      <w:numPr>
        <w:numId w:val="5"/>
      </w:numPr>
    </w:pPr>
  </w:style>
  <w:style w:type="paragraph" w:styleId="Body">
    <w:name w:val="Body"/>
    <w:next w:val="Body"/>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vertAlign w:val="baseline"/>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xml"/><Relationship Id="rId5" Type="http://schemas.openxmlformats.org/officeDocument/2006/relationships/footer" Target="footer.xml"/><Relationship Id="rId6"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