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54A49" w14:textId="4E2B6A89" w:rsidR="00CC5DE6" w:rsidRPr="00575E71" w:rsidRDefault="00CC5DE6" w:rsidP="00CC5DE6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eastAsia="x-none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R3-124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D80C4F" w:rsidRPr="00D80C4F">
        <w:rPr>
          <w:rFonts w:cs="Arial"/>
          <w:bCs/>
          <w:noProof w:val="0"/>
          <w:sz w:val="24"/>
          <w:szCs w:val="28"/>
          <w:lang w:eastAsia="x-none"/>
        </w:rPr>
        <w:t>R3-243293</w:t>
      </w:r>
    </w:p>
    <w:p w14:paraId="7E1F91FB" w14:textId="77777777" w:rsidR="00CC5DE6" w:rsidRPr="00575E71" w:rsidRDefault="00CC5DE6" w:rsidP="00CC5DE6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eastAsia="x-none"/>
        </w:rPr>
      </w:pPr>
      <w:r>
        <w:rPr>
          <w:rFonts w:cs="Arial"/>
          <w:bCs/>
          <w:sz w:val="24"/>
          <w:szCs w:val="28"/>
          <w:lang w:val="en-US" w:eastAsia="x-none"/>
        </w:rPr>
        <w:t>Fukuoka, Japan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>
        <w:rPr>
          <w:rFonts w:cs="Arial"/>
          <w:bCs/>
          <w:sz w:val="24"/>
          <w:szCs w:val="28"/>
          <w:lang w:val="en-US" w:eastAsia="x-none"/>
        </w:rPr>
        <w:t>May 20-24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>
        <w:rPr>
          <w:rFonts w:cs="Arial"/>
          <w:bCs/>
          <w:sz w:val="24"/>
          <w:szCs w:val="28"/>
          <w:lang w:val="en-US" w:eastAsia="x-none"/>
        </w:rPr>
        <w:t>4</w:t>
      </w:r>
      <w:r w:rsidRPr="00575E71">
        <w:rPr>
          <w:rFonts w:cs="Arial"/>
          <w:noProof w:val="0"/>
          <w:szCs w:val="24"/>
          <w:lang w:eastAsia="x-none"/>
        </w:rPr>
        <w:tab/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1FF7EF9B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C5DE6">
        <w:rPr>
          <w:rFonts w:ascii="Arial" w:hAnsi="Arial"/>
          <w:sz w:val="24"/>
        </w:rPr>
        <w:t xml:space="preserve">Radio </w:t>
      </w:r>
      <w:r w:rsidR="0098341C">
        <w:rPr>
          <w:rFonts w:ascii="Arial" w:hAnsi="Arial"/>
          <w:sz w:val="24"/>
        </w:rPr>
        <w:t xml:space="preserve">Resource management at </w:t>
      </w:r>
      <w:proofErr w:type="spellStart"/>
      <w:r w:rsidR="00E71070">
        <w:rPr>
          <w:rFonts w:ascii="Arial" w:hAnsi="Arial"/>
          <w:sz w:val="24"/>
        </w:rPr>
        <w:t>gNB</w:t>
      </w:r>
      <w:proofErr w:type="spellEnd"/>
      <w:r w:rsidR="00E71070">
        <w:rPr>
          <w:rFonts w:ascii="Arial" w:hAnsi="Arial"/>
          <w:sz w:val="24"/>
        </w:rPr>
        <w:t xml:space="preserve">-DU for </w:t>
      </w:r>
      <w:r w:rsidR="00CC5DE6">
        <w:rPr>
          <w:rFonts w:ascii="Arial" w:hAnsi="Arial"/>
          <w:sz w:val="24"/>
        </w:rPr>
        <w:t xml:space="preserve">Intra and Inter-CU </w:t>
      </w:r>
      <w:r w:rsidR="008D2312">
        <w:rPr>
          <w:rFonts w:ascii="Arial" w:hAnsi="Arial"/>
          <w:sz w:val="24"/>
        </w:rPr>
        <w:t>LTM</w:t>
      </w:r>
    </w:p>
    <w:p w14:paraId="7D9E5EE0" w14:textId="68AA858E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</w:t>
      </w:r>
    </w:p>
    <w:p w14:paraId="3FAABCD3" w14:textId="591CDBF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</w:t>
      </w:r>
      <w:r w:rsidR="00CC5DE6">
        <w:rPr>
          <w:rFonts w:ascii="Arial" w:hAnsi="Arial"/>
          <w:sz w:val="24"/>
        </w:rPr>
        <w:t>3</w:t>
      </w:r>
      <w:r w:rsidR="006F7795">
        <w:rPr>
          <w:rFonts w:ascii="Arial" w:hAnsi="Arial"/>
          <w:sz w:val="24"/>
        </w:rPr>
        <w:t>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proofErr w:type="gramStart"/>
      <w:r w:rsidR="00EC6F0F">
        <w:rPr>
          <w:rFonts w:ascii="Arial" w:hAnsi="Arial"/>
          <w:sz w:val="24"/>
        </w:rPr>
        <w:t>agreement</w:t>
      </w:r>
      <w:proofErr w:type="gramEnd"/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42F47ACD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(including PRACH preambles)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0BC6CDAE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016DA">
        <w:rPr>
          <w:rFonts w:ascii="Arial" w:hAnsi="Arial" w:cs="Arial"/>
        </w:rPr>
        <w:t>has agreed</w:t>
      </w:r>
      <w:r>
        <w:rPr>
          <w:rFonts w:ascii="Arial" w:hAnsi="Arial" w:cs="Arial"/>
        </w:rPr>
        <w:t xml:space="preserve"> solutions like </w:t>
      </w:r>
      <w:r w:rsidR="00783D53">
        <w:rPr>
          <w:rFonts w:ascii="Arial" w:hAnsi="Arial" w:cs="Arial"/>
        </w:rPr>
        <w:t xml:space="preserve">UE performing </w:t>
      </w:r>
      <w:r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24ACBE05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 can be considered to indicate a likelihood of UE undergoing LTM HO to the given target cell.</w:t>
      </w:r>
    </w:p>
    <w:p w14:paraId="4FA16E25" w14:textId="5523EDB9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>either perform UL sync</w:t>
      </w:r>
      <w:r w:rsidR="0070386F">
        <w:rPr>
          <w:rFonts w:ascii="Arial" w:hAnsi="Arial" w:cs="Arial"/>
        </w:rPr>
        <w:t xml:space="preserve"> (RACH procedure)</w:t>
      </w:r>
      <w:r w:rsidRPr="00052805">
        <w:rPr>
          <w:rFonts w:ascii="Arial" w:hAnsi="Arial" w:cs="Arial"/>
        </w:rPr>
        <w:t xml:space="preserve">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</w:t>
      </w:r>
    </w:p>
    <w:p w14:paraId="724C443B" w14:textId="70512E3C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introduces multiple </w:t>
      </w:r>
      <w:proofErr w:type="gramStart"/>
      <w:r w:rsidRPr="00052805">
        <w:rPr>
          <w:rFonts w:ascii="Arial" w:hAnsi="Arial" w:cs="Arial"/>
        </w:rPr>
        <w:t>benefits</w:t>
      </w:r>
      <w:proofErr w:type="gramEnd"/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1E587C31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1CD1583A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 xml:space="preserve">resulting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38E9664" w14:textId="30C5AD82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2E0F8DAA" w14:textId="34437A42" w:rsidR="00406067" w:rsidRDefault="00406067" w:rsidP="00CC10F4">
      <w:pPr>
        <w:pStyle w:val="Heading2"/>
        <w:ind w:left="0" w:firstLine="0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2B625BCC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>. These variants are being discussed in RAN1 and RAN2. Each of these variants need different kind of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64B87B90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</w:t>
      </w:r>
      <w:r w:rsidR="003C49CF">
        <w:rPr>
          <w:rFonts w:ascii="Arial" w:hAnsi="Arial" w:cs="Arial"/>
        </w:rPr>
        <w:t>NB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3C62696D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>Since LTM is applicable to both</w:t>
      </w:r>
      <w:r w:rsidRPr="005C22D5">
        <w:rPr>
          <w:rFonts w:ascii="Arial" w:hAnsi="Arial" w:cs="Arial"/>
        </w:rPr>
        <w:t xml:space="preserve"> intra- DU and intra-CU inter-DU scenarios</w:t>
      </w:r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71A5BE6C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target cell preparation</w:t>
      </w:r>
      <w:r w:rsidRPr="00052805">
        <w:rPr>
          <w:i/>
          <w:iCs/>
          <w:lang w:val="en-US"/>
        </w:rPr>
        <w:t>.</w:t>
      </w:r>
    </w:p>
    <w:p w14:paraId="366454C0" w14:textId="54EC9A0F" w:rsidR="00782F4F" w:rsidRPr="002C18D9" w:rsidRDefault="00782F4F" w:rsidP="00782F4F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CC10F4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solutions to </w:t>
      </w:r>
      <w:r w:rsidR="000A17AA">
        <w:rPr>
          <w:rFonts w:ascii="Arial" w:hAnsi="Arial" w:cs="Arial"/>
          <w:b/>
          <w:bCs/>
        </w:rPr>
        <w:t>select the appropriate variant of LTM for each UE.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BD17529" w14:textId="77777777" w:rsidR="007B0865" w:rsidRDefault="007B0865" w:rsidP="007B086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7E78441D" w14:textId="20EC6B80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75A5E75A" w14:textId="7119AC86" w:rsidR="000A17AA" w:rsidRPr="002C18D9" w:rsidRDefault="000A17AA" w:rsidP="000A17AA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CC10F4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solutions to select the appropriate variant of LTM for each UE.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6" w:name="_Ref162005699"/>
    <w:bookmarkEnd w:id="0"/>
    <w:p w14:paraId="0B6D3A03" w14:textId="77777777" w:rsidR="00EF4F8D" w:rsidRPr="003B1AE6" w:rsidRDefault="00EF4F8D" w:rsidP="00EF4F8D">
      <w:pPr>
        <w:pStyle w:val="Reference"/>
        <w:jc w:val="both"/>
        <w:rPr>
          <w:lang w:val="en-US"/>
        </w:rPr>
      </w:pPr>
      <w:r w:rsidRPr="003B1AE6">
        <w:rPr>
          <w:lang w:val="en-US"/>
        </w:rPr>
        <w:fldChar w:fldCharType="begin"/>
      </w:r>
      <w:r w:rsidRPr="003B1AE6">
        <w:rPr>
          <w:lang w:val="en-US"/>
        </w:rPr>
        <w:instrText>HYPERLINK "http://www.3gpp.org/ftp/tsg_ran/TSG_RAN/TSGR_103/Docs/RP-240299.zip"</w:instrText>
      </w:r>
      <w:r w:rsidRPr="003B1AE6">
        <w:rPr>
          <w:lang w:val="en-US"/>
        </w:rPr>
      </w:r>
      <w:r w:rsidRPr="003B1AE6">
        <w:rPr>
          <w:lang w:val="en-US"/>
        </w:rPr>
        <w:fldChar w:fldCharType="separate"/>
      </w:r>
      <w:r w:rsidRPr="003B1AE6">
        <w:rPr>
          <w:rStyle w:val="Hyperlink"/>
        </w:rPr>
        <w:t>RP-240299</w:t>
      </w:r>
      <w:r w:rsidRPr="003B1AE6">
        <w:rPr>
          <w:lang w:val="en-US"/>
        </w:rPr>
        <w:fldChar w:fldCharType="end"/>
      </w:r>
      <w:r w:rsidRPr="003B1AE6">
        <w:rPr>
          <w:lang w:val="en-US"/>
        </w:rPr>
        <w:t>, Revised Work Item: NR mobility enhancements Phase 4, Apple Inc, China Telecom, 3GPP TSG RAN #103, Maastricht, Netherlands, March 18-21, 2024</w:t>
      </w:r>
      <w:bookmarkEnd w:id="6"/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8C14" w14:textId="77777777" w:rsidR="00C91995" w:rsidRDefault="00C91995">
      <w:r>
        <w:separator/>
      </w:r>
    </w:p>
  </w:endnote>
  <w:endnote w:type="continuationSeparator" w:id="0">
    <w:p w14:paraId="1B0A52CA" w14:textId="77777777" w:rsidR="00C91995" w:rsidRDefault="00C9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79F02" w14:textId="77777777" w:rsidR="00C91995" w:rsidRDefault="00C91995">
      <w:r>
        <w:separator/>
      </w:r>
    </w:p>
  </w:footnote>
  <w:footnote w:type="continuationSeparator" w:id="0">
    <w:p w14:paraId="559B74A7" w14:textId="77777777" w:rsidR="00C91995" w:rsidRDefault="00C9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3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7554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Symphony (Subramanya)</cp:lastModifiedBy>
  <cp:revision>124</cp:revision>
  <cp:lastPrinted>2009-04-22T07:01:00Z</cp:lastPrinted>
  <dcterms:created xsi:type="dcterms:W3CDTF">2022-09-27T06:54:00Z</dcterms:created>
  <dcterms:modified xsi:type="dcterms:W3CDTF">2024-05-09T08:42:00Z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