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tabs>
          <w:tab w:val="right" w:pos="9639"/>
        </w:tabs>
        <w:spacing w:after="0"/>
        <w:rPr>
          <w:b/>
          <w:i/>
          <w:sz w:val="28"/>
        </w:rPr>
      </w:pPr>
      <w:r>
        <w:rPr>
          <w:b/>
          <w:sz w:val="24"/>
        </w:rPr>
        <w:t>3GPP TSG WG 3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R3-24xxxx</w:t>
      </w:r>
      <w:r>
        <w:rPr>
          <w:b/>
          <w:i/>
          <w:sz w:val="28"/>
        </w:rPr>
        <w:fldChar w:fldCharType="end"/>
      </w:r>
    </w:p>
    <w:p>
      <w:pPr>
        <w:pStyle w:val="71"/>
        <w:outlineLvl w:val="0"/>
        <w:rPr>
          <w:b/>
          <w:sz w:val="24"/>
        </w:rPr>
      </w:pPr>
      <w:bookmarkStart w:id="0" w:name="_Hlk124761912"/>
      <w:r>
        <w:rPr>
          <w:rFonts w:cs="Arial"/>
          <w:b/>
          <w:color w:val="000000"/>
          <w:kern w:val="2"/>
          <w:sz w:val="24"/>
        </w:rPr>
        <w:t>Athens, Greece, February 26 – March 1, 2024</w:t>
      </w:r>
      <w:bookmarkEnd w:id="0"/>
      <w:r>
        <w:rPr>
          <w:b/>
          <w:sz w:val="24"/>
        </w:rPr>
        <w:t xml:space="preserve">     </w:t>
      </w:r>
    </w:p>
    <w:p>
      <w:pPr>
        <w:pStyle w:val="71"/>
        <w:spacing w:after="180"/>
        <w:rPr>
          <w:sz w:val="24"/>
          <w:lang w:val="pt-PT" w:eastAsia="zh-CN"/>
        </w:rPr>
      </w:pPr>
      <w:r>
        <w:rPr>
          <w:rFonts w:eastAsia="Times New Roman"/>
          <w:b/>
          <w:sz w:val="24"/>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bs3Zs8AAAD/AAAADwAAAAAAAAABACAAAAAiAAAAZHJz&#10;L2Rvd25yZXYueG1sUEsBAhQAFAAAAAgAh07iQP4YZ7idBQAAlBYAAA4AAAAAAAAAAQAgAAAAHgEA&#10;AGRycy9lMm9Eb2MueG1sUEsFBgAAAAAGAAYAWQEAAC0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r>
      <w:r>
        <w:rPr>
          <w:sz w:val="24"/>
          <w:lang w:val="pt-PT"/>
        </w:rPr>
        <w:t>13.1</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 xml:space="preserve">         </w:t>
      </w:r>
    </w:p>
    <w:p>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pPr>
        <w:tabs>
          <w:tab w:val="left" w:pos="1985"/>
        </w:tabs>
        <w:spacing w:after="240" w:afterLines="10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mobile IAB offline discussion</w:t>
      </w:r>
    </w:p>
    <w:p>
      <w:pPr>
        <w:spacing w:before="120" w:after="120"/>
        <w:rPr>
          <w:rFonts w:ascii="Arial" w:hAnsi="Arial"/>
          <w:sz w:val="24"/>
        </w:rPr>
      </w:pPr>
      <w:r>
        <w:rPr>
          <w:rFonts w:ascii="Arial" w:hAnsi="Arial"/>
          <w:b/>
          <w:sz w:val="24"/>
        </w:rPr>
        <w:t>Document for:</w:t>
      </w:r>
      <w:r>
        <w:rPr>
          <w:rFonts w:ascii="Arial" w:hAnsi="Arial"/>
          <w:sz w:val="24"/>
        </w:rPr>
        <w:tab/>
      </w:r>
      <w:r>
        <w:rPr>
          <w:rFonts w:ascii="Arial" w:hAnsi="Arial"/>
          <w:sz w:val="24"/>
        </w:rPr>
        <w:t>Discussion</w:t>
      </w:r>
    </w:p>
    <w:p>
      <w:pPr>
        <w:spacing w:before="120" w:after="120"/>
      </w:pPr>
    </w:p>
    <w:p>
      <w:pPr>
        <w:pStyle w:val="2"/>
      </w:pPr>
      <w:r>
        <w:t>1</w:t>
      </w:r>
      <w:r>
        <w:tab/>
      </w:r>
      <w:r>
        <w:t>Introduction</w:t>
      </w:r>
    </w:p>
    <w:p>
      <w:pPr>
        <w:spacing w:after="120"/>
      </w:pPr>
      <w:r>
        <w:t>This document includes the mobile IAB offline discussion.</w:t>
      </w:r>
    </w:p>
    <w:p>
      <w:pPr>
        <w:pStyle w:val="2"/>
      </w:pPr>
      <w:r>
        <w:t>2</w:t>
      </w:r>
      <w:r>
        <w:tab/>
      </w:r>
      <w:r>
        <w:t>Proposals</w:t>
      </w:r>
    </w:p>
    <w:p>
      <w:pPr>
        <w:spacing w:before="120" w:after="120"/>
        <w:rPr>
          <w:b/>
          <w:bCs/>
        </w:rPr>
      </w:pPr>
      <w:r>
        <w:rPr>
          <w:b/>
          <w:bCs/>
        </w:rPr>
        <w:t>The following is proposed:</w:t>
      </w:r>
    </w:p>
    <w:p>
      <w:pPr>
        <w:spacing w:before="120" w:after="120"/>
        <w:rPr>
          <w:b/>
          <w:bCs/>
        </w:rPr>
      </w:pPr>
      <w:r>
        <w:rPr>
          <w:b/>
          <w:bCs/>
        </w:rPr>
        <w:t>…</w:t>
      </w:r>
    </w:p>
    <w:p>
      <w:pPr>
        <w:pStyle w:val="2"/>
      </w:pPr>
      <w:r>
        <w:t>3</w:t>
      </w:r>
      <w:r>
        <w:tab/>
      </w:r>
      <w:r>
        <w:t>Discussion</w:t>
      </w:r>
    </w:p>
    <w:p>
      <w:pPr>
        <w:pStyle w:val="3"/>
      </w:pPr>
      <w:r>
        <w:t>3.1</w:t>
      </w:r>
      <w:r>
        <w:tab/>
      </w:r>
      <w:r>
        <w:t>High level issues and stage 2</w:t>
      </w:r>
    </w:p>
    <w:p>
      <w:pPr>
        <w:pStyle w:val="4"/>
        <w:rPr>
          <w:highlight w:val="yellow"/>
          <w:lang w:val="en-US"/>
        </w:rPr>
      </w:pPr>
      <w:r>
        <w:rPr>
          <w:highlight w:val="green"/>
          <w:lang w:val="en-US"/>
        </w:rPr>
        <w:t>Issue 0:</w:t>
      </w:r>
      <w:r>
        <w:rPr>
          <w:lang w:val="en-US"/>
        </w:rPr>
        <w:t xml:space="preserve"> Allocation of CBs</w:t>
      </w:r>
    </w:p>
    <w:p>
      <w:pPr>
        <w:snapToGrid w:val="0"/>
        <w:spacing w:before="120" w:after="120"/>
        <w:rPr>
          <w:lang w:val="en-US"/>
        </w:rPr>
      </w:pPr>
      <w:r>
        <w:rPr>
          <w:b/>
          <w:bCs/>
          <w:highlight w:val="yellow"/>
          <w:lang w:val="en-US"/>
        </w:rPr>
        <w:t>Proposal 0</w:t>
      </w:r>
      <w:r>
        <w:rPr>
          <w:b/>
          <w:bCs/>
          <w:lang w:val="en-US"/>
        </w:rPr>
        <w:t xml:space="preserve">: </w:t>
      </w:r>
      <w:r>
        <w:rPr>
          <w:lang w:val="en-US"/>
        </w:rPr>
        <w:t xml:space="preserve"> Allocate one CB discussion for each of 38.401, 38. 420, 38.413, 38.423, 38.473, 38.455 (to be led by former BL CR Rapporteur) to discuss all aspects of contributions including discussion of online session.</w:t>
      </w:r>
    </w:p>
    <w:p>
      <w:pPr>
        <w:snapToGrid w:val="0"/>
        <w:spacing w:before="120" w:after="120"/>
        <w:rPr>
          <w:bCs/>
          <w:color w:val="C55A11" w:themeColor="accent2" w:themeShade="BF"/>
          <w:lang w:val="en-US" w:eastAsia="zh-CN"/>
        </w:rPr>
      </w:pPr>
      <w:r>
        <w:rPr>
          <w:rFonts w:hint="eastAsia"/>
          <w:bCs/>
          <w:color w:val="C55A11" w:themeColor="accent2" w:themeShade="BF"/>
          <w:lang w:val="en-US" w:eastAsia="zh-CN"/>
        </w:rPr>
        <w:t>[</w:t>
      </w:r>
      <w:r>
        <w:rPr>
          <w:bCs/>
          <w:color w:val="C55A11" w:themeColor="accent2" w:themeShade="BF"/>
          <w:lang w:val="en-US" w:eastAsia="zh-CN"/>
        </w:rPr>
        <w:t>Huawei]: For AI 9.1.9.2, Can we try to agree some simple pure ASN.1 CRs directly rather than merge them?</w:t>
      </w:r>
    </w:p>
    <w:p>
      <w:pPr>
        <w:snapToGrid w:val="0"/>
        <w:spacing w:before="120" w:after="120"/>
        <w:rPr>
          <w:b/>
          <w:bCs/>
          <w:highlight w:val="green"/>
          <w:lang w:val="en-US"/>
        </w:rPr>
      </w:pPr>
    </w:p>
    <w:p>
      <w:pPr>
        <w:snapToGrid w:val="0"/>
        <w:spacing w:before="120" w:after="120"/>
        <w:rPr>
          <w:b/>
          <w:bCs/>
          <w:highlight w:val="green"/>
          <w:lang w:val="en-US"/>
        </w:rPr>
      </w:pPr>
    </w:p>
    <w:p>
      <w:pPr>
        <w:pStyle w:val="4"/>
        <w:rPr>
          <w:lang w:val="en-US"/>
        </w:rPr>
      </w:pPr>
      <w:r>
        <w:rPr>
          <w:highlight w:val="green"/>
          <w:lang w:val="en-US"/>
        </w:rPr>
        <w:t>Issue 1:</w:t>
      </w:r>
      <w:r>
        <w:rPr>
          <w:lang w:val="en-US"/>
        </w:rPr>
        <w:t xml:space="preserve"> In 38.413, add mIAB authorization status to DL NAS Transport </w:t>
      </w:r>
    </w:p>
    <w:p>
      <w:pPr>
        <w:numPr>
          <w:ilvl w:val="0"/>
          <w:numId w:val="3"/>
        </w:numPr>
        <w:snapToGrid w:val="0"/>
        <w:spacing w:after="120"/>
        <w:rPr>
          <w:lang w:val="en-US"/>
        </w:rPr>
      </w:pPr>
      <w:r>
        <w:rPr>
          <w:u w:val="single"/>
          <w:lang w:val="en-US"/>
        </w:rPr>
        <w:t>R3-240289</w:t>
      </w:r>
      <w:r>
        <w:rPr>
          <w:lang w:val="en-US"/>
        </w:rPr>
        <w:t xml:space="preserve"> - ZTE, Lenovo, Samsung, CATT, Nokia, Nokia Shanghai Bell, Fujitsu</w:t>
      </w:r>
    </w:p>
    <w:p>
      <w:pPr>
        <w:snapToGrid w:val="0"/>
        <w:spacing w:after="120"/>
        <w:rPr>
          <w:lang w:val="en-US"/>
        </w:rPr>
      </w:pPr>
      <w:r>
        <w:rPr>
          <w:lang w:val="en-US"/>
        </w:rPr>
        <w:t xml:space="preserve">This was already agreed in last meeting but not captured in chair notes. </w:t>
      </w:r>
    </w:p>
    <w:p>
      <w:pPr>
        <w:snapToGrid w:val="0"/>
        <w:spacing w:after="120"/>
        <w:rPr>
          <w:b/>
          <w:bCs/>
          <w:lang w:val="en-US"/>
        </w:rPr>
      </w:pPr>
      <w:r>
        <w:rPr>
          <w:b/>
          <w:bCs/>
          <w:highlight w:val="yellow"/>
          <w:lang w:val="en-US"/>
        </w:rPr>
        <w:t>Proposal 1:</w:t>
      </w:r>
      <w:r>
        <w:rPr>
          <w:b/>
          <w:bCs/>
          <w:lang w:val="en-US"/>
        </w:rPr>
        <w:t xml:space="preserve"> Agree revision of R3-240289 with updated revision number and CN ticked on cover page.</w:t>
      </w:r>
    </w:p>
    <w:p>
      <w:pPr>
        <w:snapToGrid w:val="0"/>
        <w:spacing w:after="120"/>
        <w:rPr>
          <w:b/>
          <w:bCs/>
          <w:lang w:val="en-US"/>
        </w:rPr>
      </w:pPr>
    </w:p>
    <w:p>
      <w:pPr>
        <w:snapToGrid w:val="0"/>
        <w:spacing w:after="120"/>
        <w:rPr>
          <w:b/>
          <w:bCs/>
          <w:lang w:val="en-US"/>
        </w:rPr>
      </w:pPr>
    </w:p>
    <w:p>
      <w:pPr>
        <w:pStyle w:val="4"/>
        <w:rPr>
          <w:lang w:val="en-US"/>
        </w:rPr>
      </w:pPr>
      <w:r>
        <w:rPr>
          <w:highlight w:val="green"/>
          <w:lang w:val="en-US"/>
        </w:rPr>
        <w:t>Issue 2:</w:t>
      </w:r>
      <w:r>
        <w:rPr>
          <w:lang w:val="en-US"/>
        </w:rPr>
        <w:t xml:space="preserve"> CU can request from mIAB-DU to change cell barring via gNB-CU Configuration Update Request (equivalent to Rel-16 IAB)</w:t>
      </w:r>
    </w:p>
    <w:p>
      <w:pPr>
        <w:numPr>
          <w:ilvl w:val="0"/>
          <w:numId w:val="3"/>
        </w:numPr>
        <w:snapToGrid w:val="0"/>
        <w:spacing w:after="120"/>
        <w:rPr>
          <w:lang w:val="en-US"/>
        </w:rPr>
      </w:pPr>
      <w:r>
        <w:rPr>
          <w:b/>
          <w:bCs/>
          <w:lang w:val="en-US"/>
        </w:rPr>
        <w:t xml:space="preserve"> </w:t>
      </w:r>
      <w:r>
        <w:rPr>
          <w:u w:val="single"/>
          <w:lang w:val="en-US"/>
        </w:rPr>
        <w:t>R3-240205</w:t>
      </w:r>
      <w:r>
        <w:rPr>
          <w:lang w:val="en-US"/>
        </w:rPr>
        <w:t xml:space="preserve"> - Lenovo</w:t>
      </w:r>
    </w:p>
    <w:p>
      <w:pPr>
        <w:numPr>
          <w:ilvl w:val="0"/>
          <w:numId w:val="3"/>
        </w:numPr>
        <w:snapToGrid w:val="0"/>
        <w:spacing w:after="120"/>
        <w:rPr>
          <w:lang w:val="en-US"/>
        </w:rPr>
      </w:pPr>
      <w:r>
        <w:rPr>
          <w:u w:val="single"/>
          <w:lang w:val="en-US"/>
        </w:rPr>
        <w:t>R3-240288</w:t>
      </w:r>
      <w:r>
        <w:rPr>
          <w:lang w:val="en-US"/>
        </w:rPr>
        <w:t xml:space="preserve"> - ZTE</w:t>
      </w:r>
    </w:p>
    <w:p>
      <w:pPr>
        <w:snapToGrid w:val="0"/>
        <w:spacing w:after="120"/>
        <w:rPr>
          <w:lang w:val="en-US"/>
        </w:rPr>
      </w:pPr>
      <w:r>
        <w:rPr>
          <w:lang w:val="en-US"/>
        </w:rPr>
        <w:t>For Rel-16/17 IAB, the CU can request from the parent node to change the “IAB supported” indicator in SIB1 via gNB-CU Configuration Update Request. For IAB, the CU can dynamically reconfigure the IAB topology, and it may want to limit the hop count by deactivating the “IAB supported” indicator on some but not all parent nodes. OAM, which usually configures this parameter, does not know about the IAB topology.</w:t>
      </w:r>
    </w:p>
    <w:p>
      <w:pPr>
        <w:snapToGrid w:val="0"/>
        <w:spacing w:after="120"/>
        <w:rPr>
          <w:lang w:val="en-US"/>
        </w:rPr>
      </w:pPr>
      <w:r>
        <w:rPr>
          <w:lang w:val="en-US"/>
        </w:rPr>
        <w:t>For Rel-18 mIAB, the mIAB-node may connect to an Rel-16/17 IAB-topology. In analogy to Rel-16/17 IAB, the CU may want to limit the hop count to individual parent nodes.</w:t>
      </w:r>
    </w:p>
    <w:p>
      <w:pPr>
        <w:snapToGrid w:val="0"/>
        <w:spacing w:after="120"/>
        <w:rPr>
          <w:lang w:val="en-US"/>
        </w:rPr>
      </w:pPr>
      <w:r>
        <w:rPr>
          <w:lang w:val="en-US"/>
        </w:rPr>
        <w:t xml:space="preserve">There was some controversy if this enhancement is needed. </w:t>
      </w:r>
    </w:p>
    <w:p>
      <w:pPr>
        <w:snapToGrid w:val="0"/>
        <w:spacing w:after="120"/>
        <w:rPr>
          <w:b/>
          <w:bCs/>
          <w:lang w:val="en-US"/>
        </w:rPr>
      </w:pPr>
      <w:r>
        <w:rPr>
          <w:b/>
          <w:bCs/>
          <w:highlight w:val="yellow"/>
          <w:lang w:val="en-US"/>
        </w:rPr>
        <w:t>Proposal 2:</w:t>
      </w:r>
      <w:r>
        <w:rPr>
          <w:b/>
          <w:bCs/>
          <w:lang w:val="en-US"/>
        </w:rPr>
        <w:t xml:space="preserve"> Agree that CU can request from mIAB-DU to change cell barring via gNB-CU Configuration Update Request (equivalent to Rel-16 IAB).</w:t>
      </w:r>
    </w:p>
    <w:p>
      <w:pPr>
        <w:snapToGrid w:val="0"/>
        <w:spacing w:after="120"/>
        <w:rPr>
          <w:b/>
          <w:bCs/>
          <w:lang w:val="en-US"/>
        </w:rPr>
      </w:pPr>
      <w:r>
        <w:rPr>
          <w:b/>
          <w:bCs/>
          <w:color w:val="FF0000"/>
          <w:lang w:val="en-US"/>
        </w:rPr>
        <w:t xml:space="preserve">[E///]: </w:t>
      </w:r>
      <w:r>
        <w:rPr>
          <w:color w:val="FF0000"/>
          <w:lang w:val="en-US"/>
        </w:rPr>
        <w:t>Can we wait for RAN2 to conclude?</w:t>
      </w:r>
    </w:p>
    <w:p>
      <w:pPr>
        <w:pStyle w:val="4"/>
        <w:rPr>
          <w:lang w:val="en-US"/>
        </w:rPr>
      </w:pPr>
      <w:r>
        <w:rPr>
          <w:highlight w:val="green"/>
          <w:lang w:val="en-US"/>
        </w:rPr>
        <w:t>Issue 3:</w:t>
      </w:r>
      <w:r>
        <w:rPr>
          <w:lang w:val="en-US"/>
        </w:rPr>
        <w:t xml:space="preserve"> Passing mIAB authorization status indication via TMModification request without prior TMManagememt exchange</w:t>
      </w:r>
    </w:p>
    <w:p>
      <w:pPr>
        <w:numPr>
          <w:ilvl w:val="0"/>
          <w:numId w:val="4"/>
        </w:numPr>
        <w:snapToGrid w:val="0"/>
        <w:spacing w:after="120"/>
        <w:rPr>
          <w:lang w:val="en-US"/>
        </w:rPr>
      </w:pPr>
      <w:r>
        <w:rPr>
          <w:u w:val="single"/>
          <w:lang w:val="en-US"/>
        </w:rPr>
        <w:t>R3-240073</w:t>
      </w:r>
      <w:r>
        <w:rPr>
          <w:lang w:val="en-US"/>
        </w:rPr>
        <w:t xml:space="preserve"> - Qualcomm: Add to 38.401, that F1-terminating CU should always initiate the TMManagement procedure at least once after F1 setup. Need to add: “or when the RRC-terminating CU has changed”.</w:t>
      </w:r>
    </w:p>
    <w:p>
      <w:pPr>
        <w:numPr>
          <w:ilvl w:val="0"/>
          <w:numId w:val="4"/>
        </w:numPr>
        <w:snapToGrid w:val="0"/>
        <w:spacing w:after="120"/>
        <w:rPr>
          <w:lang w:val="en-US"/>
        </w:rPr>
      </w:pPr>
      <w:r>
        <w:rPr>
          <w:u w:val="single"/>
          <w:lang w:val="en-US"/>
        </w:rPr>
        <w:t>R3-240177</w:t>
      </w:r>
      <w:r>
        <w:rPr>
          <w:lang w:val="en-US"/>
        </w:rPr>
        <w:t xml:space="preserve"> - CATT: Add to 38.401, that the RRC-terminating CU only uses the TMModification Request in case it has received a TMManagement Request before, otherwise it should use the TMManagement Response. Not clear why this is any better.</w:t>
      </w:r>
    </w:p>
    <w:p>
      <w:pPr>
        <w:numPr>
          <w:ilvl w:val="0"/>
          <w:numId w:val="4"/>
        </w:numPr>
        <w:snapToGrid w:val="0"/>
        <w:spacing w:after="120"/>
        <w:rPr>
          <w:lang w:val="en-US"/>
        </w:rPr>
      </w:pPr>
      <w:r>
        <w:rPr>
          <w:u w:val="single"/>
          <w:lang w:val="en-US"/>
        </w:rPr>
        <w:t>R3-240486</w:t>
      </w:r>
      <w:r>
        <w:rPr>
          <w:lang w:val="en-US"/>
        </w:rPr>
        <w:t xml:space="preserve"> - Huawei: Add to 38.401 mobile IAB-node integration, that the TMM procedure SHOULD be initiated for context related to F1-C/non-F1 traffic. Similar as QC.</w:t>
      </w:r>
    </w:p>
    <w:p>
      <w:pPr>
        <w:snapToGrid w:val="0"/>
        <w:spacing w:after="120"/>
        <w:rPr>
          <w:lang w:val="en-US"/>
        </w:rPr>
      </w:pPr>
      <w:r>
        <w:rPr>
          <w:lang w:val="en-US"/>
        </w:rPr>
        <w:t xml:space="preserve">The offline discussion identified the following issue: </w:t>
      </w:r>
    </w:p>
    <w:p>
      <w:pPr>
        <w:pStyle w:val="72"/>
        <w:numPr>
          <w:ilvl w:val="0"/>
          <w:numId w:val="5"/>
        </w:numPr>
        <w:snapToGrid w:val="0"/>
        <w:spacing w:after="120"/>
        <w:rPr>
          <w:lang w:val="en-US"/>
        </w:rPr>
      </w:pPr>
      <w:r>
        <w:rPr>
          <w:lang w:val="en-US"/>
        </w:rPr>
        <w:t>When an mIAB-node is initially authorized, the MT’s CU establishes BH and the DU’s CU establishes F1. Without UE traffic, there may not send a TMManagement Request. When the mIAB-node is then deauthorized, the MT’s CU cannot send forward the authorization status to the DU’s CU in the TMModification Request since it does not have the XnAP UE ID allocated by the DU’s CU.</w:t>
      </w:r>
    </w:p>
    <w:p>
      <w:pPr>
        <w:snapToGrid w:val="0"/>
        <w:spacing w:after="120"/>
        <w:rPr>
          <w:lang w:val="en-US"/>
        </w:rPr>
      </w:pPr>
      <w:r>
        <w:rPr>
          <w:lang w:val="en-US"/>
        </w:rPr>
        <w:t>The offline discussion identified the following options:</w:t>
      </w:r>
    </w:p>
    <w:p>
      <w:pPr>
        <w:snapToGrid w:val="0"/>
        <w:spacing w:after="120"/>
        <w:rPr>
          <w:lang w:val="en-US"/>
        </w:rPr>
      </w:pPr>
      <w:r>
        <w:rPr>
          <w:b/>
          <w:bCs/>
          <w:lang w:val="en-US"/>
        </w:rPr>
        <w:t>Option 1:</w:t>
      </w:r>
      <w:r>
        <w:rPr>
          <w:lang w:val="en-US"/>
        </w:rPr>
        <w:t xml:space="preserve"> The MT’s CU does remove BH without sending the authorization status to the DU’s CU. This would not follow present procedure. This would lead to F1 hanging without TNL connectivity.</w:t>
      </w:r>
    </w:p>
    <w:p>
      <w:pPr>
        <w:snapToGrid w:val="0"/>
        <w:spacing w:after="120"/>
        <w:rPr>
          <w:lang w:val="en-US"/>
        </w:rPr>
      </w:pPr>
      <w:r>
        <w:rPr>
          <w:b/>
          <w:bCs/>
          <w:lang w:val="en-US"/>
        </w:rPr>
        <w:t>Option 2:</w:t>
      </w:r>
      <w:r>
        <w:rPr>
          <w:lang w:val="en-US"/>
        </w:rPr>
        <w:t xml:space="preserve"> The MT’s CU does not send the authorization status to the DU’s CU until the DU’s CU has traffic, initiates the TMManagement procedures, upon which the MT’s CU can send the authorization status = “not authorized” in return. This follows present procedure, but it keeps an unauthorized mIAB-DU available on the air for UE access.</w:t>
      </w:r>
    </w:p>
    <w:p>
      <w:pPr>
        <w:snapToGrid w:val="0"/>
        <w:spacing w:after="120"/>
        <w:rPr>
          <w:u w:val="single"/>
          <w:lang w:val="en-US"/>
        </w:rPr>
      </w:pPr>
      <w:r>
        <w:rPr>
          <w:b/>
          <w:bCs/>
          <w:lang w:val="en-US"/>
        </w:rPr>
        <w:t>Option 3:</w:t>
      </w:r>
      <w:r>
        <w:rPr>
          <w:lang w:val="en-US"/>
        </w:rPr>
        <w:t xml:space="preserve"> The DU’s CU always sends the TMManagement procedure after F1 Setup (i.e., during integration and DU migration) or after MT migration. This allows the MT’s CU to always forward the authorization status to the DU’s CU.</w:t>
      </w:r>
    </w:p>
    <w:p>
      <w:pPr>
        <w:snapToGrid w:val="0"/>
        <w:spacing w:after="120"/>
        <w:rPr>
          <w:lang w:val="en-US"/>
        </w:rPr>
      </w:pPr>
      <w:r>
        <w:rPr>
          <w:lang w:val="en-US"/>
        </w:rPr>
        <w:t>During the discussion, there was the feeling that Option 3 would be a “reasonable” implementation. However, there was controversy whether Option 3 should be captured in chair notes as agreement or as common understanding.</w:t>
      </w:r>
    </w:p>
    <w:p>
      <w:pPr>
        <w:snapToGrid w:val="0"/>
        <w:spacing w:after="120"/>
        <w:rPr>
          <w:b/>
          <w:bCs/>
          <w:lang w:val="en-US"/>
        </w:rPr>
      </w:pPr>
      <w:r>
        <w:rPr>
          <w:b/>
          <w:bCs/>
          <w:highlight w:val="yellow"/>
          <w:lang w:val="en-US"/>
        </w:rPr>
        <w:t xml:space="preserve">Proposal 3: </w:t>
      </w:r>
      <w:r>
        <w:rPr>
          <w:b/>
          <w:bCs/>
          <w:lang w:val="en-US"/>
        </w:rPr>
        <w:t xml:space="preserve">Discuss whether the following statement should be captured in chair notes as </w:t>
      </w:r>
      <w:r>
        <w:rPr>
          <w:b/>
          <w:bCs/>
          <w:i/>
          <w:iCs/>
          <w:lang w:val="en-US"/>
        </w:rPr>
        <w:t>agreement</w:t>
      </w:r>
      <w:r>
        <w:rPr>
          <w:b/>
          <w:bCs/>
          <w:lang w:val="en-US"/>
        </w:rPr>
        <w:t xml:space="preserve"> or as </w:t>
      </w:r>
      <w:r>
        <w:rPr>
          <w:b/>
          <w:bCs/>
          <w:i/>
          <w:iCs/>
          <w:lang w:val="en-US"/>
        </w:rPr>
        <w:t>common understanding</w:t>
      </w:r>
      <w:r>
        <w:rPr>
          <w:b/>
          <w:bCs/>
          <w:lang w:val="en-US"/>
        </w:rPr>
        <w:t xml:space="preserve">: After F1 Setup and MT migration, the DU’s CU should always initiate the TM Management procedure toward the MT’s CU. </w:t>
      </w:r>
    </w:p>
    <w:p>
      <w:pPr>
        <w:snapToGrid w:val="0"/>
        <w:spacing w:after="120"/>
        <w:rPr>
          <w:ins w:id="0" w:author="Lenovo" w:date="2024-02-27T22:52:00Z"/>
          <w:bCs/>
          <w:color w:val="C55A11" w:themeColor="accent2" w:themeShade="BF"/>
          <w:lang w:val="en-US" w:eastAsia="zh-CN"/>
        </w:rPr>
      </w:pPr>
      <w:r>
        <w:rPr>
          <w:rFonts w:hint="eastAsia"/>
          <w:bCs/>
          <w:color w:val="C55A11" w:themeColor="accent2" w:themeShade="BF"/>
          <w:lang w:val="en-US" w:eastAsia="zh-CN"/>
        </w:rPr>
        <w:t>[</w:t>
      </w:r>
      <w:r>
        <w:rPr>
          <w:bCs/>
          <w:color w:val="C55A11" w:themeColor="accent2" w:themeShade="BF"/>
          <w:lang w:val="en-US" w:eastAsia="zh-CN"/>
        </w:rPr>
        <w:t>Huawei]: Agree option 3, should be captured as agreement and be reflected in the procedure design in stage 2 specification.</w:t>
      </w:r>
    </w:p>
    <w:p>
      <w:pPr>
        <w:snapToGrid w:val="0"/>
        <w:spacing w:after="120"/>
        <w:rPr>
          <w:ins w:id="1" w:author="Fujitsu" w:date="2024-02-28T00:02:00Z"/>
          <w:bCs/>
          <w:color w:val="C55A11" w:themeColor="accent2" w:themeShade="BF"/>
          <w:lang w:val="en-US" w:eastAsia="zh-CN"/>
        </w:rPr>
      </w:pPr>
      <w:ins w:id="2" w:author="Lenovo" w:date="2024-02-27T22:52:00Z">
        <w:r>
          <w:rPr>
            <w:bCs/>
            <w:color w:val="C55A11" w:themeColor="accent2" w:themeShade="BF"/>
            <w:lang w:val="en-US" w:eastAsia="zh-CN"/>
          </w:rPr>
          <w:t xml:space="preserve">[Lenovo]: </w:t>
        </w:r>
      </w:ins>
      <w:ins w:id="3" w:author="Lenovo" w:date="2024-02-27T22:53:00Z">
        <w:r>
          <w:rPr>
            <w:bCs/>
            <w:color w:val="C55A11" w:themeColor="accent2" w:themeShade="BF"/>
            <w:lang w:val="en-US" w:eastAsia="zh-CN"/>
          </w:rPr>
          <w:t xml:space="preserve">Prefer Option 3, and agree to capture the stage 2 </w:t>
        </w:r>
      </w:ins>
      <w:ins w:id="4" w:author="Lenovo" w:date="2024-02-27T22:54:00Z">
        <w:r>
          <w:rPr>
            <w:bCs/>
            <w:color w:val="C55A11" w:themeColor="accent2" w:themeShade="BF"/>
            <w:lang w:val="en-US" w:eastAsia="zh-CN"/>
          </w:rPr>
          <w:t>statement as an agreement.</w:t>
        </w:r>
      </w:ins>
    </w:p>
    <w:p>
      <w:pPr>
        <w:snapToGrid w:val="0"/>
        <w:spacing w:after="120"/>
        <w:rPr>
          <w:bCs/>
          <w:color w:val="C55A11" w:themeColor="accent2" w:themeShade="BF"/>
          <w:lang w:val="en-US" w:eastAsia="zh-CN"/>
        </w:rPr>
      </w:pPr>
      <w:ins w:id="5" w:author="Fujitsu" w:date="2024-02-28T00:02:00Z">
        <w:r>
          <w:rPr>
            <w:rFonts w:hint="eastAsia"/>
            <w:bCs/>
            <w:color w:val="C55A11" w:themeColor="accent2" w:themeShade="BF"/>
            <w:lang w:val="en-US" w:eastAsia="zh-CN"/>
          </w:rPr>
          <w:t>[</w:t>
        </w:r>
      </w:ins>
      <w:ins w:id="6" w:author="Fujitsu" w:date="2024-02-28T00:02:00Z">
        <w:r>
          <w:rPr>
            <w:bCs/>
            <w:color w:val="C55A11" w:themeColor="accent2" w:themeShade="BF"/>
            <w:lang w:val="en-US" w:eastAsia="zh-CN"/>
          </w:rPr>
          <w:t xml:space="preserve">Fujitsu]: Agree Option 3, and </w:t>
        </w:r>
      </w:ins>
      <w:ins w:id="7" w:author="Fujitsu" w:date="2024-02-28T00:03:00Z">
        <w:r>
          <w:rPr>
            <w:bCs/>
            <w:color w:val="C55A11" w:themeColor="accent2" w:themeShade="BF"/>
            <w:lang w:val="en-US" w:eastAsia="zh-CN"/>
          </w:rPr>
          <w:t xml:space="preserve">it </w:t>
        </w:r>
      </w:ins>
      <w:ins w:id="8" w:author="Fujitsu" w:date="2024-02-28T00:02:00Z">
        <w:r>
          <w:rPr>
            <w:bCs/>
            <w:color w:val="C55A11" w:themeColor="accent2" w:themeShade="BF"/>
            <w:lang w:val="en-US" w:eastAsia="zh-CN"/>
          </w:rPr>
          <w:t xml:space="preserve">should be </w:t>
        </w:r>
      </w:ins>
      <w:ins w:id="9" w:author="Fujitsu" w:date="2024-02-28T00:03:00Z">
        <w:r>
          <w:rPr>
            <w:bCs/>
            <w:color w:val="C55A11" w:themeColor="accent2" w:themeShade="BF"/>
            <w:lang w:val="en-US" w:eastAsia="zh-CN"/>
          </w:rPr>
          <w:t>captured in stage 2 specification</w:t>
        </w:r>
      </w:ins>
      <w:ins w:id="10" w:author="Fujitsu" w:date="2024-02-28T00:02:00Z">
        <w:r>
          <w:rPr>
            <w:bCs/>
            <w:color w:val="C55A11" w:themeColor="accent2" w:themeShade="BF"/>
            <w:lang w:val="en-US" w:eastAsia="zh-CN"/>
          </w:rPr>
          <w:t>.</w:t>
        </w:r>
      </w:ins>
    </w:p>
    <w:p>
      <w:pPr>
        <w:snapToGrid w:val="0"/>
        <w:spacing w:after="120"/>
        <w:rPr>
          <w:ins w:id="11" w:author="ZTE" w:date="2024-02-28T05:19:52Z"/>
          <w:color w:val="FF0000"/>
          <w:lang w:val="en-US"/>
        </w:rPr>
      </w:pPr>
      <w:r>
        <w:rPr>
          <w:b/>
          <w:bCs/>
          <w:color w:val="FF0000"/>
          <w:lang w:val="en-US"/>
        </w:rPr>
        <w:t>[E///]:</w:t>
      </w:r>
      <w:r>
        <w:rPr>
          <w:color w:val="FF0000"/>
          <w:lang w:val="en-US"/>
        </w:rPr>
        <w:t xml:space="preserve"> Opt3 is obvious, but we think there is no need to capture it as an agreement. In any case, TMM must be started first </w:t>
      </w:r>
      <w:r>
        <w:rPr>
          <w:b/>
          <w:bCs/>
          <w:color w:val="FF0000"/>
          <w:u w:val="single"/>
          <w:lang w:val="en-US"/>
        </w:rPr>
        <w:t>from the F1TD side</w:t>
      </w:r>
      <w:r>
        <w:rPr>
          <w:color w:val="FF0000"/>
          <w:lang w:val="en-US"/>
        </w:rPr>
        <w:t xml:space="preserve">, but it does not feel right to mandate </w:t>
      </w:r>
      <w:r>
        <w:rPr>
          <w:color w:val="FF0000"/>
          <w:u w:val="single"/>
          <w:lang w:val="en-US"/>
        </w:rPr>
        <w:t>when</w:t>
      </w:r>
      <w:r>
        <w:rPr>
          <w:color w:val="FF0000"/>
          <w:lang w:val="en-US"/>
        </w:rPr>
        <w:t xml:space="preserve"> to run the TMM for the first time. Maybe it can be done immediately, maybe it can be done later – what/how should we capture? A meaningful implementation of F1TD will indeed trigger TMM even if no UEs are connected – waiting for the UEs to connect to trigger the TMM for the first time does not seem meaningful.</w:t>
      </w:r>
    </w:p>
    <w:p>
      <w:pPr>
        <w:snapToGrid w:val="0"/>
        <w:spacing w:after="120"/>
        <w:rPr>
          <w:ins w:id="12" w:author="ZTE" w:date="2024-02-28T05:19:52Z"/>
          <w:rFonts w:hint="eastAsia"/>
          <w:b w:val="0"/>
          <w:bCs w:val="0"/>
          <w:u w:val="single"/>
          <w:lang w:val="en-US" w:eastAsia="zh-CN"/>
        </w:rPr>
      </w:pPr>
      <w:ins w:id="13" w:author="ZTE" w:date="2024-02-28T05:19:52Z">
        <w:r>
          <w:rPr>
            <w:rFonts w:hint="eastAsia"/>
            <w:b w:val="0"/>
            <w:bCs w:val="0"/>
            <w:u w:val="single"/>
            <w:lang w:val="en-US" w:eastAsia="zh-CN"/>
          </w:rPr>
          <w:t>[ZTE] option 3 is ok, and it</w:t>
        </w:r>
      </w:ins>
      <w:ins w:id="14" w:author="ZTE" w:date="2024-02-28T05:19:52Z">
        <w:r>
          <w:rPr>
            <w:rFonts w:hint="default"/>
            <w:b w:val="0"/>
            <w:bCs w:val="0"/>
            <w:u w:val="single"/>
            <w:lang w:val="en-US" w:eastAsia="zh-CN"/>
          </w:rPr>
          <w:t>’</w:t>
        </w:r>
      </w:ins>
      <w:ins w:id="15" w:author="ZTE" w:date="2024-02-28T05:19:52Z">
        <w:r>
          <w:rPr>
            <w:rFonts w:hint="eastAsia"/>
            <w:b w:val="0"/>
            <w:bCs w:val="0"/>
            <w:u w:val="single"/>
            <w:lang w:val="en-US" w:eastAsia="zh-CN"/>
          </w:rPr>
          <w:t>s also applicable to DU migration case. And suggest to clarify that TMM procedure is needed only when the F1 terminating donor is different from the target MT</w:t>
        </w:r>
      </w:ins>
      <w:ins w:id="16" w:author="ZTE" w:date="2024-02-28T05:19:52Z">
        <w:r>
          <w:rPr>
            <w:rFonts w:hint="default"/>
            <w:b w:val="0"/>
            <w:bCs w:val="0"/>
            <w:u w:val="single"/>
            <w:lang w:val="en-US" w:eastAsia="zh-CN"/>
          </w:rPr>
          <w:t>’</w:t>
        </w:r>
      </w:ins>
      <w:ins w:id="17" w:author="ZTE" w:date="2024-02-28T05:19:52Z">
        <w:r>
          <w:rPr>
            <w:rFonts w:hint="eastAsia"/>
            <w:b w:val="0"/>
            <w:bCs w:val="0"/>
            <w:u w:val="single"/>
            <w:lang w:val="en-US" w:eastAsia="zh-CN"/>
          </w:rPr>
          <w:t xml:space="preserve">s donor. </w:t>
        </w:r>
      </w:ins>
    </w:p>
    <w:p>
      <w:pPr>
        <w:snapToGrid w:val="0"/>
        <w:spacing w:after="120"/>
        <w:rPr>
          <w:color w:val="FF0000"/>
          <w:lang w:val="en-US"/>
        </w:rPr>
      </w:pPr>
    </w:p>
    <w:p>
      <w:pPr>
        <w:pStyle w:val="4"/>
        <w:rPr>
          <w:lang w:val="en-US"/>
        </w:rPr>
      </w:pPr>
      <w:r>
        <w:rPr>
          <w:highlight w:val="green"/>
          <w:lang w:val="en-US"/>
        </w:rPr>
        <w:t>Issue 4:</w:t>
      </w:r>
      <w:r>
        <w:rPr>
          <w:lang w:val="en-US"/>
        </w:rPr>
        <w:t xml:space="preserve"> Triggering DU migration by OAM vs. by CU</w:t>
      </w:r>
    </w:p>
    <w:p>
      <w:pPr>
        <w:numPr>
          <w:ilvl w:val="0"/>
          <w:numId w:val="3"/>
        </w:numPr>
        <w:snapToGrid w:val="0"/>
        <w:spacing w:after="120"/>
        <w:rPr>
          <w:lang w:val="en-US"/>
        </w:rPr>
      </w:pPr>
      <w:r>
        <w:rPr>
          <w:lang w:val="en-US"/>
        </w:rPr>
        <w:t>R3-240179 – CATT: Add to 38.401 (and equivalently to 38.423) “</w:t>
      </w:r>
      <w:r>
        <w:rPr>
          <w:i/>
          <w:iCs/>
          <w:lang w:val="en-US"/>
        </w:rPr>
        <w:t>In case the OAM provides the information of mobile IAB-DU migration, the mobile IAB-node always ignores the trigger from the source F1-terminating IAB-donor-CU for mobile IAB-DU migration</w:t>
      </w:r>
      <w:r>
        <w:rPr>
          <w:lang w:val="en-US"/>
        </w:rPr>
        <w:t>.”</w:t>
      </w:r>
    </w:p>
    <w:p>
      <w:pPr>
        <w:numPr>
          <w:ilvl w:val="0"/>
          <w:numId w:val="3"/>
        </w:numPr>
        <w:snapToGrid w:val="0"/>
        <w:spacing w:after="120"/>
        <w:rPr>
          <w:lang w:val="en-US"/>
        </w:rPr>
      </w:pPr>
      <w:r>
        <w:rPr>
          <w:lang w:val="en-US"/>
        </w:rPr>
        <w:t>R3-240204 - Lenovo: Explicit signaling in F1 Setup response: “</w:t>
      </w:r>
      <w:r>
        <w:rPr>
          <w:i/>
          <w:iCs/>
          <w:lang w:val="en-US"/>
        </w:rPr>
        <w:t>If the F1 SETUP RESPONSE message contains the F1 DU Migration Triggering Info IE, the gNB-DU shall, if supported, take into account for mobile IAB-DU migration triggering</w:t>
      </w:r>
      <w:r>
        <w:rPr>
          <w:lang w:val="en-US"/>
        </w:rPr>
        <w:t>”.</w:t>
      </w:r>
    </w:p>
    <w:p>
      <w:pPr>
        <w:snapToGrid w:val="0"/>
        <w:spacing w:after="120"/>
        <w:rPr>
          <w:lang w:val="en-US"/>
        </w:rPr>
      </w:pPr>
      <w:r>
        <w:rPr>
          <w:lang w:val="en-US"/>
        </w:rPr>
        <w:t>During the discussion, the was the feeling that in a properly configured network, such a conflict should not arise.</w:t>
      </w:r>
    </w:p>
    <w:p>
      <w:pPr>
        <w:snapToGrid w:val="0"/>
        <w:spacing w:after="120"/>
        <w:rPr>
          <w:b/>
          <w:bCs/>
          <w:lang w:val="en-US"/>
        </w:rPr>
      </w:pPr>
      <w:r>
        <w:rPr>
          <w:b/>
          <w:bCs/>
          <w:highlight w:val="yellow"/>
          <w:lang w:val="en-US"/>
        </w:rPr>
        <w:t>No Proposal.</w:t>
      </w:r>
    </w:p>
    <w:p>
      <w:pPr>
        <w:snapToGrid w:val="0"/>
        <w:spacing w:after="120"/>
        <w:rPr>
          <w:b/>
          <w:bCs/>
          <w:u w:val="single"/>
          <w:lang w:val="en-US"/>
        </w:rPr>
      </w:pPr>
    </w:p>
    <w:p>
      <w:pPr>
        <w:pStyle w:val="4"/>
        <w:rPr>
          <w:lang w:val="en-US"/>
        </w:rPr>
      </w:pPr>
      <w:r>
        <w:rPr>
          <w:highlight w:val="green"/>
          <w:lang w:val="en-US"/>
        </w:rPr>
        <w:t>Issue 5:</w:t>
      </w:r>
      <w:r>
        <w:rPr>
          <w:lang w:val="en-US"/>
        </w:rPr>
        <w:t xml:space="preserve"> In 38.401, Correct Figure 8.23.2-1: Procedure for NG-based migration of mobile IAB-MT. The old figure includes “8.YY.1”</w:t>
      </w:r>
    </w:p>
    <w:p>
      <w:pPr>
        <w:numPr>
          <w:ilvl w:val="0"/>
          <w:numId w:val="4"/>
        </w:numPr>
        <w:snapToGrid w:val="0"/>
        <w:spacing w:before="120" w:after="120"/>
        <w:rPr>
          <w:lang w:val="en-US"/>
        </w:rPr>
      </w:pPr>
      <w:r>
        <w:rPr>
          <w:u w:val="single"/>
          <w:lang w:val="en-US"/>
        </w:rPr>
        <w:t>R3-240177</w:t>
      </w:r>
      <w:r>
        <w:rPr>
          <w:lang w:val="en-US"/>
        </w:rPr>
        <w:t xml:space="preserve"> - CATT </w:t>
      </w:r>
    </w:p>
    <w:p>
      <w:pPr>
        <w:numPr>
          <w:ilvl w:val="0"/>
          <w:numId w:val="4"/>
        </w:numPr>
        <w:snapToGrid w:val="0"/>
        <w:spacing w:before="120" w:after="120"/>
        <w:rPr>
          <w:lang w:val="en-US"/>
        </w:rPr>
      </w:pPr>
      <w:r>
        <w:rPr>
          <w:u w:val="single"/>
          <w:lang w:val="en-US"/>
        </w:rPr>
        <w:t>R3-240272</w:t>
      </w:r>
      <w:r>
        <w:rPr>
          <w:lang w:val="en-US"/>
        </w:rPr>
        <w:t xml:space="preserve"> - Samsung</w:t>
      </w:r>
    </w:p>
    <w:p>
      <w:pPr>
        <w:snapToGrid w:val="0"/>
        <w:spacing w:before="120" w:after="120"/>
        <w:rPr>
          <w:b/>
          <w:bCs/>
          <w:lang w:val="en-US"/>
        </w:rPr>
      </w:pPr>
      <w:r>
        <w:rPr>
          <w:lang w:val="en-US"/>
        </w:rPr>
        <w:t>Based on discussion, this should be done by spec rapporteur.</w:t>
      </w:r>
    </w:p>
    <w:p>
      <w:pPr>
        <w:snapToGrid w:val="0"/>
        <w:spacing w:before="120" w:after="120"/>
        <w:rPr>
          <w:b/>
          <w:bCs/>
          <w:lang w:val="en-US"/>
        </w:rPr>
      </w:pPr>
      <w:r>
        <w:rPr>
          <w:b/>
          <w:bCs/>
          <w:highlight w:val="yellow"/>
          <w:lang w:val="en-US"/>
        </w:rPr>
        <w:t>Proposal 5:</w:t>
      </w:r>
      <w:r>
        <w:rPr>
          <w:b/>
          <w:bCs/>
          <w:lang w:val="en-US"/>
        </w:rPr>
        <w:t xml:space="preserve"> Include in chair notes that reference to section “8.YY.1” in Figure 8.23.2-1 of 38.401 needs to be fixed (to be done by spec rapporteur).</w:t>
      </w:r>
    </w:p>
    <w:p>
      <w:pPr>
        <w:snapToGrid w:val="0"/>
        <w:spacing w:before="120" w:after="120"/>
        <w:rPr>
          <w:b/>
          <w:bCs/>
          <w:lang w:val="en-US"/>
        </w:rPr>
      </w:pPr>
    </w:p>
    <w:p>
      <w:pPr>
        <w:pStyle w:val="4"/>
        <w:rPr>
          <w:lang w:val="en-US"/>
        </w:rPr>
      </w:pPr>
      <w:r>
        <w:rPr>
          <w:highlight w:val="green"/>
          <w:lang w:val="en-US"/>
        </w:rPr>
        <w:t>Issue 6:</w:t>
      </w:r>
      <w:r>
        <w:rPr>
          <w:lang w:val="en-US"/>
        </w:rPr>
        <w:t xml:space="preserve"> In 38.401, update description of RLF recovery procedure</w:t>
      </w:r>
    </w:p>
    <w:p>
      <w:pPr>
        <w:numPr>
          <w:ilvl w:val="0"/>
          <w:numId w:val="4"/>
        </w:numPr>
        <w:snapToGrid w:val="0"/>
        <w:spacing w:before="120" w:after="120"/>
        <w:rPr>
          <w:lang w:val="en-US"/>
        </w:rPr>
      </w:pPr>
      <w:r>
        <w:rPr>
          <w:u w:val="single"/>
          <w:lang w:val="en-US"/>
        </w:rPr>
        <w:t>R3-240177</w:t>
      </w:r>
      <w:r>
        <w:rPr>
          <w:lang w:val="en-US"/>
        </w:rPr>
        <w:t xml:space="preserve"> - CATT</w:t>
      </w:r>
    </w:p>
    <w:p>
      <w:pPr>
        <w:numPr>
          <w:ilvl w:val="0"/>
          <w:numId w:val="4"/>
        </w:numPr>
        <w:snapToGrid w:val="0"/>
        <w:spacing w:before="120" w:after="120"/>
        <w:rPr>
          <w:lang w:val="en-US"/>
        </w:rPr>
      </w:pPr>
      <w:r>
        <w:rPr>
          <w:u w:val="single"/>
          <w:lang w:val="en-US"/>
        </w:rPr>
        <w:t>R3-240487</w:t>
      </w:r>
      <w:r>
        <w:rPr>
          <w:lang w:val="en-US"/>
        </w:rPr>
        <w:t xml:space="preserve"> - Huawei</w:t>
      </w:r>
    </w:p>
    <w:p>
      <w:pPr>
        <w:snapToGrid w:val="0"/>
        <w:spacing w:before="120" w:after="120"/>
        <w:rPr>
          <w:lang w:val="en-US"/>
        </w:rPr>
      </w:pPr>
      <w:r>
        <w:rPr>
          <w:lang w:val="en-US"/>
        </w:rPr>
        <w:t>Present description on RLF Recovery procedure in TS 38.401for mIAB is lacking detail. It does not handle the scenario where the MT’s initial CU and recovery CU are different from the DU’s CU. The above contributions can be used as baseline for a revision.</w:t>
      </w:r>
    </w:p>
    <w:p>
      <w:pPr>
        <w:snapToGrid w:val="0"/>
        <w:spacing w:before="120" w:after="120"/>
        <w:rPr>
          <w:lang w:val="en-US"/>
        </w:rPr>
      </w:pPr>
      <w:r>
        <w:rPr>
          <w:b/>
          <w:bCs/>
          <w:highlight w:val="yellow"/>
          <w:lang w:val="en-US"/>
        </w:rPr>
        <w:t>Proposal 6</w:t>
      </w:r>
      <w:r>
        <w:rPr>
          <w:b/>
          <w:bCs/>
          <w:lang w:val="en-US"/>
        </w:rPr>
        <w:t>: In 38.401, revise mIAB RLF recovery procedure to include the scenario where the F1-terminating donor is different from the RRC-terminating donors. Use R3-240177 and R3-240487 as the baseline.</w:t>
      </w:r>
    </w:p>
    <w:p>
      <w:pPr>
        <w:snapToGrid w:val="0"/>
        <w:spacing w:after="120"/>
        <w:rPr>
          <w:b/>
          <w:bCs/>
          <w:lang w:val="en-US" w:eastAsia="zh-CN"/>
        </w:rPr>
      </w:pPr>
    </w:p>
    <w:p>
      <w:pPr>
        <w:pStyle w:val="4"/>
        <w:rPr>
          <w:lang w:val="en-US"/>
        </w:rPr>
      </w:pPr>
      <w:r>
        <w:rPr>
          <w:highlight w:val="green"/>
          <w:lang w:val="en-US"/>
        </w:rPr>
        <w:t>Issue 7:</w:t>
      </w:r>
      <w:r>
        <w:rPr>
          <w:lang w:val="en-US"/>
        </w:rPr>
        <w:t xml:space="preserve"> Clarification on “non-F1-terminating IAB-donor” for mobile IAB </w:t>
      </w:r>
    </w:p>
    <w:p>
      <w:pPr>
        <w:numPr>
          <w:ilvl w:val="0"/>
          <w:numId w:val="4"/>
        </w:numPr>
        <w:snapToGrid w:val="0"/>
        <w:spacing w:after="120"/>
        <w:rPr>
          <w:lang w:val="en-US"/>
        </w:rPr>
      </w:pPr>
      <w:r>
        <w:rPr>
          <w:u w:val="single"/>
          <w:lang w:val="en-US"/>
        </w:rPr>
        <w:t>R3-240074</w:t>
      </w:r>
      <w:r>
        <w:rPr>
          <w:lang w:val="en-US"/>
        </w:rPr>
        <w:t xml:space="preserve"> - Qualcomm: Clarify in 38.423 for procedure description for TMM, that for mIAB, the non-F1-terminating IAB-donor refers to the RRC-terminating IAB-donor in.</w:t>
      </w:r>
    </w:p>
    <w:p>
      <w:pPr>
        <w:numPr>
          <w:ilvl w:val="0"/>
          <w:numId w:val="4"/>
        </w:numPr>
        <w:snapToGrid w:val="0"/>
        <w:spacing w:after="120"/>
        <w:rPr>
          <w:lang w:val="en-US"/>
        </w:rPr>
      </w:pPr>
      <w:r>
        <w:rPr>
          <w:u w:val="single"/>
          <w:lang w:val="en-US"/>
        </w:rPr>
        <w:t>R3-240075/R3-240076</w:t>
      </w:r>
      <w:r>
        <w:rPr>
          <w:lang w:val="en-US"/>
        </w:rPr>
        <w:t xml:space="preserve"> - Fujitsu: Include in 38.401, update definition of non-F1-terminating IAB-donor: “</w:t>
      </w:r>
      <w:r>
        <w:rPr>
          <w:i/>
          <w:iCs/>
          <w:lang w:val="en-US"/>
        </w:rPr>
        <w:t xml:space="preserve">Non-F1-terminating IAB-donor of boundary IAB-node: Refers to the IAB-donor that has an RRC connection with the boundary node </w:t>
      </w:r>
      <w:r>
        <w:rPr>
          <w:i/>
          <w:iCs/>
          <w:u w:val="single"/>
          <w:lang w:val="en-US"/>
        </w:rPr>
        <w:t xml:space="preserve">or a mobile IAB-node </w:t>
      </w:r>
      <w:r>
        <w:rPr>
          <w:i/>
          <w:iCs/>
          <w:lang w:val="en-US"/>
        </w:rPr>
        <w:t xml:space="preserve">but does not terminate F1 with this boundary node </w:t>
      </w:r>
      <w:r>
        <w:rPr>
          <w:i/>
          <w:iCs/>
          <w:u w:val="single"/>
          <w:lang w:val="en-US"/>
        </w:rPr>
        <w:t>or the mobile IAB-node</w:t>
      </w:r>
      <w:r>
        <w:rPr>
          <w:lang w:val="en-US"/>
        </w:rPr>
        <w:t xml:space="preserve">”. They are proposing the same for 38.423 (R3-240076). May lead to confusion since for mIAB node may have two F1-terminating IAB-donors, where one is equal to the RRC-terminating IAB-donor but the other one is not.  </w:t>
      </w:r>
    </w:p>
    <w:p>
      <w:pPr>
        <w:numPr>
          <w:ilvl w:val="0"/>
          <w:numId w:val="4"/>
        </w:numPr>
        <w:snapToGrid w:val="0"/>
        <w:spacing w:after="120"/>
        <w:rPr>
          <w:lang w:val="en-US"/>
        </w:rPr>
      </w:pPr>
      <w:r>
        <w:rPr>
          <w:u w:val="single"/>
          <w:lang w:val="en-US"/>
        </w:rPr>
        <w:t>R3-240442</w:t>
      </w:r>
      <w:r>
        <w:rPr>
          <w:lang w:val="en-US"/>
        </w:rPr>
        <w:t xml:space="preserve"> - ZTE: Add in 38.423 for every occurrence of non-F1-terminating IAB-donor  an “or RRC-terminating IAB-donor in case of mIAB. Quite a lot of revision.</w:t>
      </w:r>
    </w:p>
    <w:p>
      <w:pPr>
        <w:numPr>
          <w:ilvl w:val="0"/>
          <w:numId w:val="4"/>
        </w:numPr>
        <w:snapToGrid w:val="0"/>
        <w:spacing w:after="120"/>
        <w:rPr>
          <w:lang w:val="en-US"/>
        </w:rPr>
      </w:pPr>
      <w:r>
        <w:rPr>
          <w:u w:val="single"/>
          <w:lang w:val="en-US"/>
        </w:rPr>
        <w:t>R3-240203</w:t>
      </w:r>
      <w:r>
        <w:rPr>
          <w:lang w:val="en-US"/>
        </w:rPr>
        <w:t xml:space="preserve"> - Lenovo: Add in 38.423 TMM procedures: “</w:t>
      </w:r>
      <w:r>
        <w:rPr>
          <w:i/>
          <w:iCs/>
          <w:lang w:val="en-US"/>
        </w:rPr>
        <w:t>the procedure is also applied to the mobile IAB-node, where the non-F1-terminating IAB-donor is referred to as the RRC-terminating IAB-donor of the mobile IAB-node</w:t>
      </w:r>
      <w:r>
        <w:rPr>
          <w:lang w:val="en-US"/>
        </w:rPr>
        <w:t>.”</w:t>
      </w:r>
    </w:p>
    <w:p>
      <w:pPr>
        <w:snapToGrid w:val="0"/>
        <w:spacing w:after="120"/>
        <w:rPr>
          <w:ins w:id="18" w:author="Fujitsu" w:date="2024-02-28T00:03:00Z"/>
          <w:lang w:val="en-US"/>
        </w:rPr>
      </w:pPr>
      <w:r>
        <w:rPr>
          <w:b/>
          <w:bCs/>
          <w:lang w:val="en-US"/>
        </w:rPr>
        <w:t>Problem 1: the</w:t>
      </w:r>
      <w:r>
        <w:rPr>
          <w:lang w:val="en-US"/>
        </w:rPr>
        <w:t xml:space="preserve"> mIAB-node can have two F1-terminating donors, where one F1-terminating donor is the same as the non-F1-terminating donor. The differentiation “F1-terminating donor” vs. “non-F1-terminating donor” used in Rel-16/17 TMM procedures therefore is not appropriate.</w:t>
      </w:r>
    </w:p>
    <w:p>
      <w:pPr>
        <w:snapToGrid w:val="0"/>
        <w:spacing w:after="120"/>
        <w:rPr>
          <w:lang w:val="en-US" w:eastAsia="zh-CN"/>
        </w:rPr>
      </w:pPr>
      <w:ins w:id="19" w:author="Fujitsu" w:date="2024-02-28T00:03:00Z">
        <w:r>
          <w:rPr>
            <w:rFonts w:hint="eastAsia"/>
            <w:lang w:val="en-US" w:eastAsia="zh-CN"/>
          </w:rPr>
          <w:t>[</w:t>
        </w:r>
      </w:ins>
      <w:ins w:id="20" w:author="Fujitsu" w:date="2024-02-28T00:03:00Z">
        <w:r>
          <w:rPr>
            <w:lang w:val="en-US" w:eastAsia="zh-CN"/>
          </w:rPr>
          <w:t xml:space="preserve">Fujitsu]: Do not agree that </w:t>
        </w:r>
      </w:ins>
      <w:ins w:id="21" w:author="Fujitsu" w:date="2024-02-28T00:04:00Z">
        <w:r>
          <w:rPr>
            <w:rFonts w:hint="eastAsia"/>
            <w:lang w:val="en-US" w:eastAsia="zh-CN"/>
          </w:rPr>
          <w:t>o</w:t>
        </w:r>
      </w:ins>
      <w:ins w:id="22" w:author="Fujitsu" w:date="2024-02-28T00:04:00Z">
        <w:r>
          <w:rPr>
            <w:lang w:val="en-US" w:eastAsia="zh-CN"/>
          </w:rPr>
          <w:t xml:space="preserve">ne F1-terminating donor is the same as the non-F1-terminating donor. An F1-terminating donor cannot be a non-F1-terminating donor </w:t>
        </w:r>
      </w:ins>
      <w:ins w:id="23" w:author="Fujitsu" w:date="2024-02-28T00:05:00Z">
        <w:r>
          <w:rPr>
            <w:lang w:val="en-US" w:eastAsia="zh-CN"/>
          </w:rPr>
          <w:t xml:space="preserve">by definition: </w:t>
        </w:r>
      </w:ins>
      <w:ins w:id="24" w:author="Fujitsu" w:date="2024-02-28T00:05:00Z">
        <w:r>
          <w:rPr>
            <w:i/>
            <w:iCs/>
            <w:lang w:val="en-US"/>
          </w:rPr>
          <w:t xml:space="preserve">Non-F1-terminating IAB-donor of boundary IAB-node: Refers to the IAB-donor that has an RRC connection with the boundary node but </w:t>
        </w:r>
      </w:ins>
      <w:ins w:id="25" w:author="Fujitsu" w:date="2024-02-28T00:05:00Z">
        <w:r>
          <w:rPr>
            <w:i/>
            <w:iCs/>
            <w:highlight w:val="yellow"/>
            <w:lang w:val="en-US"/>
            <w:rPrChange w:id="26" w:author="Fujitsu" w:date="2024-02-28T00:05:00Z">
              <w:rPr>
                <w:i/>
                <w:iCs/>
                <w:lang w:val="en-US"/>
              </w:rPr>
            </w:rPrChange>
          </w:rPr>
          <w:t>does not terminate F1</w:t>
        </w:r>
      </w:ins>
      <w:ins w:id="27" w:author="Fujitsu" w:date="2024-02-28T00:05:00Z">
        <w:r>
          <w:rPr>
            <w:i/>
            <w:iCs/>
            <w:lang w:val="en-US"/>
          </w:rPr>
          <w:t xml:space="preserve"> with this boundary node</w:t>
        </w:r>
      </w:ins>
      <w:ins w:id="28" w:author="Fujitsu" w:date="2024-02-28T00:04:00Z">
        <w:r>
          <w:rPr>
            <w:lang w:val="en-US" w:eastAsia="zh-CN"/>
          </w:rPr>
          <w:t xml:space="preserve">. </w:t>
        </w:r>
      </w:ins>
      <w:ins w:id="29" w:author="Fujitsu" w:date="2024-02-28T00:05:00Z">
        <w:r>
          <w:rPr>
            <w:lang w:val="en-US" w:eastAsia="zh-CN"/>
          </w:rPr>
          <w:t xml:space="preserve">An F1-terminating donor </w:t>
        </w:r>
      </w:ins>
      <w:ins w:id="30" w:author="Fujitsu" w:date="2024-02-28T00:06:00Z">
        <w:r>
          <w:rPr>
            <w:lang w:val="en-US" w:eastAsia="zh-CN"/>
          </w:rPr>
          <w:t xml:space="preserve">can be an RRC-terminating donor. </w:t>
        </w:r>
      </w:ins>
      <w:ins w:id="31" w:author="Fujitsu" w:date="2024-02-28T00:07:00Z">
        <w:r>
          <w:rPr>
            <w:lang w:val="en-US" w:eastAsia="zh-CN"/>
          </w:rPr>
          <w:t>An RRC-terminating donor can be an F1-terminating donor or a non-F1-terminating donor. The TMM procedures will only be used when the RRC-terminating donor is a non-F1-terminating donor.</w:t>
        </w:r>
      </w:ins>
      <w:ins w:id="32" w:author="Fujitsu" w:date="2024-02-28T00:08:00Z">
        <w:r>
          <w:rPr>
            <w:lang w:val="en-US" w:eastAsia="zh-CN"/>
          </w:rPr>
          <w:t xml:space="preserve"> The use</w:t>
        </w:r>
      </w:ins>
      <w:ins w:id="33" w:author="Fujitsu" w:date="2024-02-28T00:09:00Z">
        <w:r>
          <w:rPr>
            <w:lang w:val="en-US" w:eastAsia="zh-CN"/>
          </w:rPr>
          <w:t xml:space="preserve"> of non-F1-terminating donor</w:t>
        </w:r>
      </w:ins>
      <w:ins w:id="34" w:author="Fujitsu" w:date="2024-02-28T00:10:00Z">
        <w:r>
          <w:rPr>
            <w:lang w:val="en-US" w:eastAsia="zh-CN"/>
          </w:rPr>
          <w:t xml:space="preserve"> (and also RRC-terminating donor)</w:t>
        </w:r>
      </w:ins>
      <w:ins w:id="35" w:author="Fujitsu" w:date="2024-02-28T00:09:00Z">
        <w:r>
          <w:rPr>
            <w:lang w:val="en-US" w:eastAsia="zh-CN"/>
          </w:rPr>
          <w:t xml:space="preserve"> is </w:t>
        </w:r>
      </w:ins>
      <w:ins w:id="36" w:author="Fujitsu" w:date="2024-02-28T00:10:00Z">
        <w:r>
          <w:rPr>
            <w:lang w:val="en-US" w:eastAsia="zh-CN"/>
          </w:rPr>
          <w:t xml:space="preserve">actually </w:t>
        </w:r>
      </w:ins>
      <w:ins w:id="37" w:author="Fujitsu" w:date="2024-02-28T00:09:00Z">
        <w:r>
          <w:rPr>
            <w:lang w:val="en-US" w:eastAsia="zh-CN"/>
          </w:rPr>
          <w:t>correct if we extend the definition</w:t>
        </w:r>
      </w:ins>
      <w:ins w:id="38" w:author="Fujitsu" w:date="2024-02-28T00:15:00Z">
        <w:r>
          <w:rPr>
            <w:lang w:val="en-US" w:eastAsia="zh-CN"/>
          </w:rPr>
          <w:t xml:space="preserve"> of non-F1-terminating donor</w:t>
        </w:r>
      </w:ins>
      <w:ins w:id="39" w:author="Fujitsu" w:date="2024-02-28T00:09:00Z">
        <w:r>
          <w:rPr>
            <w:lang w:val="en-US" w:eastAsia="zh-CN"/>
          </w:rPr>
          <w:t xml:space="preserve"> to be applicable to a mobile IAB node.</w:t>
        </w:r>
      </w:ins>
    </w:p>
    <w:p>
      <w:pPr>
        <w:snapToGrid w:val="0"/>
        <w:spacing w:after="120"/>
        <w:rPr>
          <w:b/>
          <w:bCs/>
          <w:lang w:val="en-US"/>
        </w:rPr>
      </w:pPr>
    </w:p>
    <w:p>
      <w:pPr>
        <w:snapToGrid w:val="0"/>
        <w:spacing w:after="120"/>
        <w:rPr>
          <w:lang w:val="en-US"/>
        </w:rPr>
      </w:pPr>
      <w:r>
        <w:rPr>
          <w:b/>
          <w:bCs/>
          <w:lang w:val="en-US"/>
        </w:rPr>
        <w:t>Problem 2:</w:t>
      </w:r>
      <w:r>
        <w:rPr>
          <w:lang w:val="en-US"/>
        </w:rPr>
        <w:t xml:space="preserve"> Reference to “boundary node” used for Rel-17 IAB in this context does not apply to mobile IAB. </w:t>
      </w:r>
    </w:p>
    <w:p>
      <w:pPr>
        <w:snapToGrid w:val="0"/>
        <w:spacing w:after="120"/>
        <w:rPr>
          <w:lang w:val="en-US"/>
        </w:rPr>
      </w:pPr>
      <w:r>
        <w:rPr>
          <w:lang w:val="en-US"/>
        </w:rPr>
        <w:t xml:space="preserve">Based on offline discussion, some clarification needs to be added related to TMM and IAB Resource Coordination procedures in 38.423 that for mIAB, the non-F1-terminating donor of the boundary node refers to the RRC-terminating donor. The attempt should be made to minimize the number of changes. The above contributions can be used as baseline. </w:t>
      </w:r>
    </w:p>
    <w:p>
      <w:pPr>
        <w:snapToGrid w:val="0"/>
        <w:spacing w:after="120"/>
        <w:rPr>
          <w:b/>
          <w:bCs/>
          <w:lang w:val="en-US"/>
        </w:rPr>
      </w:pPr>
    </w:p>
    <w:p>
      <w:pPr>
        <w:snapToGrid w:val="0"/>
        <w:spacing w:after="120"/>
        <w:rPr>
          <w:ins w:id="40" w:author="Fujitsu" w:date="2024-02-28T00:11:00Z"/>
          <w:b/>
          <w:bCs/>
          <w:lang w:val="en-US"/>
        </w:rPr>
      </w:pPr>
      <w:r>
        <w:rPr>
          <w:b/>
          <w:bCs/>
          <w:highlight w:val="yellow"/>
          <w:lang w:val="en-US"/>
        </w:rPr>
        <w:t>Proposal 7:</w:t>
      </w:r>
      <w:r>
        <w:rPr>
          <w:b/>
          <w:bCs/>
          <w:lang w:val="en-US"/>
        </w:rPr>
        <w:t xml:space="preserve"> Add clarification to 38.423 that for mobile IAB, the “non-F1-terminating IAB-donor” in the TMM procedures and IAB Resource Coordination procedures refers to the “RRC-terminating IAB-donor”. Clarify that the term “boundary node” used in the context of these procedures does not apply for mobile IAB. Attempt to minimize the number of changes. Use R3-240074, R3-240075, R3-240076, R3-240442, R3-240203 as baseline.</w:t>
      </w:r>
    </w:p>
    <w:p>
      <w:pPr>
        <w:snapToGrid w:val="0"/>
        <w:spacing w:after="120"/>
        <w:rPr>
          <w:lang w:val="en-US" w:eastAsia="zh-CN"/>
        </w:rPr>
      </w:pPr>
      <w:ins w:id="41" w:author="Fujitsu" w:date="2024-02-28T00:11:00Z">
        <w:r>
          <w:rPr>
            <w:b w:val="0"/>
            <w:bCs w:val="0"/>
            <w:lang w:val="en-US" w:eastAsia="zh-CN"/>
            <w:rPrChange w:id="42" w:author="Fujitsu" w:date="2024-02-28T00:12:00Z">
              <w:rPr>
                <w:b/>
                <w:bCs/>
                <w:lang w:val="en-US" w:eastAsia="zh-CN"/>
              </w:rPr>
            </w:rPrChange>
          </w:rPr>
          <w:t xml:space="preserve">[Fujitsu]: </w:t>
        </w:r>
      </w:ins>
      <w:ins w:id="43" w:author="Fujitsu" w:date="2024-02-28T00:12:00Z">
        <w:r>
          <w:rPr>
            <w:lang w:val="en-US" w:eastAsia="zh-CN"/>
          </w:rPr>
          <w:t xml:space="preserve">Agree that clarification to 38.423 is needed. Not sure about the second sentence. </w:t>
        </w:r>
      </w:ins>
      <w:ins w:id="44" w:author="Fujitsu" w:date="2024-02-28T00:13:00Z">
        <w:r>
          <w:rPr>
            <w:lang w:val="en-US" w:eastAsia="zh-CN"/>
          </w:rPr>
          <w:t xml:space="preserve">All TMM procedures/messages </w:t>
        </w:r>
      </w:ins>
      <w:ins w:id="45" w:author="Fujitsu" w:date="2024-02-28T00:15:00Z">
        <w:r>
          <w:rPr>
            <w:lang w:val="en-US" w:eastAsia="zh-CN"/>
          </w:rPr>
          <w:t xml:space="preserve">will </w:t>
        </w:r>
      </w:ins>
      <w:ins w:id="46" w:author="Fujitsu" w:date="2024-02-28T00:16:00Z">
        <w:r>
          <w:rPr>
            <w:lang w:val="en-US" w:eastAsia="zh-CN"/>
          </w:rPr>
          <w:t xml:space="preserve">be </w:t>
        </w:r>
      </w:ins>
      <w:ins w:id="47" w:author="Fujitsu" w:date="2024-02-28T00:17:00Z">
        <w:r>
          <w:rPr>
            <w:lang w:val="en-US" w:eastAsia="zh-CN"/>
          </w:rPr>
          <w:t>re</w:t>
        </w:r>
      </w:ins>
      <w:ins w:id="48" w:author="Fujitsu" w:date="2024-02-28T00:16:00Z">
        <w:r>
          <w:rPr>
            <w:lang w:val="en-US" w:eastAsia="zh-CN"/>
          </w:rPr>
          <w:t>used by mobile IAB nodes. If anything, the term “boundary node” used in the context of these procedures should apply for for mobile IAB</w:t>
        </w:r>
      </w:ins>
      <w:ins w:id="49" w:author="Fujitsu" w:date="2024-02-28T00:17:00Z">
        <w:r>
          <w:rPr>
            <w:lang w:val="en-US" w:eastAsia="zh-CN"/>
          </w:rPr>
          <w:t>.</w:t>
        </w:r>
      </w:ins>
    </w:p>
    <w:p>
      <w:pPr>
        <w:snapToGrid w:val="0"/>
        <w:spacing w:after="120"/>
        <w:rPr>
          <w:ins w:id="50" w:author="ZTE" w:date="2024-02-28T05:15:36Z"/>
          <w:rFonts w:hint="eastAsia"/>
          <w:lang w:val="en-US" w:eastAsia="zh-CN"/>
        </w:rPr>
      </w:pPr>
      <w:ins w:id="51" w:author="ZTE" w:date="2024-02-28T05:14:04Z">
        <w:bookmarkStart w:id="10" w:name="_GoBack"/>
        <w:r>
          <w:rPr>
            <w:rFonts w:hint="eastAsia"/>
            <w:lang w:val="en-US" w:eastAsia="zh-CN"/>
          </w:rPr>
          <w:t>[</w:t>
        </w:r>
      </w:ins>
      <w:ins w:id="52" w:author="ZTE" w:date="2024-02-28T05:14:06Z">
        <w:r>
          <w:rPr>
            <w:rFonts w:hint="eastAsia"/>
            <w:lang w:val="en-US" w:eastAsia="zh-CN"/>
          </w:rPr>
          <w:t>ZTE</w:t>
        </w:r>
        <w:bookmarkEnd w:id="10"/>
      </w:ins>
      <w:ins w:id="53" w:author="ZTE" w:date="2024-02-28T05:14:04Z">
        <w:r>
          <w:rPr>
            <w:rFonts w:hint="eastAsia"/>
            <w:lang w:val="en-US" w:eastAsia="zh-CN"/>
          </w:rPr>
          <w:t>]</w:t>
        </w:r>
      </w:ins>
      <w:r>
        <w:rPr>
          <w:rFonts w:hint="eastAsia"/>
          <w:lang w:val="en-US" w:eastAsia="zh-CN"/>
        </w:rPr>
        <w:t xml:space="preserve"> </w:t>
      </w:r>
      <w:ins w:id="54" w:author="ZTE" w:date="2024-02-28T05:14:23Z">
        <w:r>
          <w:rPr>
            <w:rFonts w:hint="eastAsia"/>
            <w:lang w:val="en-US" w:eastAsia="zh-CN"/>
          </w:rPr>
          <w:t>w</w:t>
        </w:r>
      </w:ins>
      <w:ins w:id="55" w:author="ZTE" w:date="2024-02-28T05:14:24Z">
        <w:r>
          <w:rPr>
            <w:rFonts w:hint="eastAsia"/>
            <w:lang w:val="en-US" w:eastAsia="zh-CN"/>
          </w:rPr>
          <w:t xml:space="preserve">e </w:t>
        </w:r>
      </w:ins>
      <w:ins w:id="56" w:author="ZTE" w:date="2024-02-28T05:14:29Z">
        <w:r>
          <w:rPr>
            <w:rFonts w:hint="eastAsia"/>
            <w:lang w:val="en-US" w:eastAsia="zh-CN"/>
          </w:rPr>
          <w:t>n</w:t>
        </w:r>
      </w:ins>
      <w:ins w:id="57" w:author="ZTE" w:date="2024-02-28T05:14:30Z">
        <w:r>
          <w:rPr>
            <w:rFonts w:hint="eastAsia"/>
            <w:lang w:val="en-US" w:eastAsia="zh-CN"/>
          </w:rPr>
          <w:t>eed al</w:t>
        </w:r>
      </w:ins>
      <w:ins w:id="58" w:author="ZTE" w:date="2024-02-28T05:14:31Z">
        <w:r>
          <w:rPr>
            <w:rFonts w:hint="eastAsia"/>
            <w:lang w:val="en-US" w:eastAsia="zh-CN"/>
          </w:rPr>
          <w:t xml:space="preserve">so </w:t>
        </w:r>
      </w:ins>
      <w:ins w:id="59" w:author="ZTE" w:date="2024-02-28T05:14:32Z">
        <w:r>
          <w:rPr>
            <w:rFonts w:hint="eastAsia"/>
            <w:lang w:val="en-US" w:eastAsia="zh-CN"/>
          </w:rPr>
          <w:t>exte</w:t>
        </w:r>
      </w:ins>
      <w:ins w:id="60" w:author="ZTE" w:date="2024-02-28T05:14:33Z">
        <w:r>
          <w:rPr>
            <w:rFonts w:hint="eastAsia"/>
            <w:lang w:val="en-US" w:eastAsia="zh-CN"/>
          </w:rPr>
          <w:t>nd the</w:t>
        </w:r>
      </w:ins>
      <w:ins w:id="61" w:author="ZTE" w:date="2024-02-28T05:14:34Z">
        <w:r>
          <w:rPr>
            <w:rFonts w:hint="eastAsia"/>
            <w:lang w:val="en-US" w:eastAsia="zh-CN"/>
          </w:rPr>
          <w:t xml:space="preserve"> </w:t>
        </w:r>
      </w:ins>
      <w:ins w:id="62" w:author="ZTE" w:date="2024-02-28T05:14:40Z">
        <w:r>
          <w:rPr>
            <w:rFonts w:hint="eastAsia"/>
            <w:lang w:val="en-US" w:eastAsia="zh-CN"/>
          </w:rPr>
          <w:t>ap</w:t>
        </w:r>
      </w:ins>
      <w:ins w:id="63" w:author="ZTE" w:date="2024-02-28T05:14:41Z">
        <w:r>
          <w:rPr>
            <w:rFonts w:hint="eastAsia"/>
            <w:lang w:val="en-US" w:eastAsia="zh-CN"/>
          </w:rPr>
          <w:t>plic</w:t>
        </w:r>
      </w:ins>
      <w:ins w:id="64" w:author="ZTE" w:date="2024-02-28T05:14:42Z">
        <w:r>
          <w:rPr>
            <w:rFonts w:hint="eastAsia"/>
            <w:lang w:val="en-US" w:eastAsia="zh-CN"/>
          </w:rPr>
          <w:t xml:space="preserve">able </w:t>
        </w:r>
      </w:ins>
      <w:ins w:id="65" w:author="ZTE" w:date="2024-02-28T05:14:34Z">
        <w:r>
          <w:rPr>
            <w:rFonts w:hint="eastAsia"/>
            <w:lang w:val="en-US" w:eastAsia="zh-CN"/>
          </w:rPr>
          <w:t>sce</w:t>
        </w:r>
      </w:ins>
      <w:ins w:id="66" w:author="ZTE" w:date="2024-02-28T05:14:35Z">
        <w:r>
          <w:rPr>
            <w:rFonts w:hint="eastAsia"/>
            <w:lang w:val="en-US" w:eastAsia="zh-CN"/>
          </w:rPr>
          <w:t xml:space="preserve">narios </w:t>
        </w:r>
      </w:ins>
      <w:ins w:id="67" w:author="ZTE" w:date="2024-02-28T05:15:14Z">
        <w:r>
          <w:rPr>
            <w:rFonts w:hint="eastAsia"/>
            <w:lang w:val="en-US" w:eastAsia="zh-CN"/>
          </w:rPr>
          <w:t>of</w:t>
        </w:r>
      </w:ins>
      <w:ins w:id="68" w:author="ZTE" w:date="2024-02-28T05:14:44Z">
        <w:r>
          <w:rPr>
            <w:rFonts w:hint="eastAsia"/>
            <w:lang w:val="en-US" w:eastAsia="zh-CN"/>
          </w:rPr>
          <w:t xml:space="preserve"> </w:t>
        </w:r>
      </w:ins>
      <w:ins w:id="69" w:author="ZTE" w:date="2024-02-28T05:14:45Z">
        <w:r>
          <w:rPr>
            <w:rFonts w:hint="eastAsia"/>
            <w:lang w:val="en-US" w:eastAsia="zh-CN"/>
          </w:rPr>
          <w:t>TMM</w:t>
        </w:r>
      </w:ins>
      <w:ins w:id="70" w:author="ZTE" w:date="2024-02-28T05:14:56Z">
        <w:r>
          <w:rPr>
            <w:rFonts w:hint="eastAsia"/>
            <w:lang w:val="en-US" w:eastAsia="zh-CN"/>
          </w:rPr>
          <w:t>/</w:t>
        </w:r>
      </w:ins>
      <w:ins w:id="71" w:author="ZTE" w:date="2024-02-28T05:14:50Z">
        <w:r>
          <w:rPr>
            <w:rFonts w:hint="eastAsia"/>
            <w:lang w:val="en-US" w:eastAsia="zh-CN"/>
          </w:rPr>
          <w:t>I</w:t>
        </w:r>
      </w:ins>
      <w:ins w:id="72" w:author="ZTE" w:date="2024-02-28T05:14:51Z">
        <w:r>
          <w:rPr>
            <w:rFonts w:hint="eastAsia"/>
            <w:lang w:val="en-US" w:eastAsia="zh-CN"/>
          </w:rPr>
          <w:t>AB reso</w:t>
        </w:r>
      </w:ins>
      <w:ins w:id="73" w:author="ZTE" w:date="2024-02-28T05:14:52Z">
        <w:r>
          <w:rPr>
            <w:rFonts w:hint="eastAsia"/>
            <w:lang w:val="en-US" w:eastAsia="zh-CN"/>
          </w:rPr>
          <w:t>ur</w:t>
        </w:r>
      </w:ins>
      <w:ins w:id="74" w:author="ZTE" w:date="2024-02-28T05:14:53Z">
        <w:r>
          <w:rPr>
            <w:rFonts w:hint="eastAsia"/>
            <w:lang w:val="en-US" w:eastAsia="zh-CN"/>
          </w:rPr>
          <w:t xml:space="preserve">ce </w:t>
        </w:r>
      </w:ins>
      <w:ins w:id="75" w:author="ZTE" w:date="2024-02-28T05:14:59Z">
        <w:r>
          <w:rPr>
            <w:rFonts w:hint="eastAsia"/>
            <w:lang w:val="en-US" w:eastAsia="zh-CN"/>
          </w:rPr>
          <w:t>c</w:t>
        </w:r>
      </w:ins>
      <w:ins w:id="76" w:author="ZTE" w:date="2024-02-28T05:15:00Z">
        <w:r>
          <w:rPr>
            <w:rFonts w:hint="eastAsia"/>
            <w:lang w:val="en-US" w:eastAsia="zh-CN"/>
          </w:rPr>
          <w:t>oo</w:t>
        </w:r>
      </w:ins>
      <w:ins w:id="77" w:author="ZTE" w:date="2024-02-28T05:15:01Z">
        <w:r>
          <w:rPr>
            <w:rFonts w:hint="eastAsia"/>
            <w:lang w:val="en-US" w:eastAsia="zh-CN"/>
          </w:rPr>
          <w:t>rdinati</w:t>
        </w:r>
      </w:ins>
      <w:ins w:id="78" w:author="ZTE" w:date="2024-02-28T05:15:02Z">
        <w:r>
          <w:rPr>
            <w:rFonts w:hint="eastAsia"/>
            <w:lang w:val="en-US" w:eastAsia="zh-CN"/>
          </w:rPr>
          <w:t xml:space="preserve">on </w:t>
        </w:r>
      </w:ins>
      <w:ins w:id="79" w:author="ZTE" w:date="2024-02-28T05:14:46Z">
        <w:r>
          <w:rPr>
            <w:rFonts w:hint="eastAsia"/>
            <w:lang w:val="en-US" w:eastAsia="zh-CN"/>
          </w:rPr>
          <w:t>proc</w:t>
        </w:r>
      </w:ins>
      <w:ins w:id="80" w:author="ZTE" w:date="2024-02-28T05:14:47Z">
        <w:r>
          <w:rPr>
            <w:rFonts w:hint="eastAsia"/>
            <w:lang w:val="en-US" w:eastAsia="zh-CN"/>
          </w:rPr>
          <w:t>edure</w:t>
        </w:r>
      </w:ins>
      <w:ins w:id="81" w:author="ZTE" w:date="2024-02-28T05:15:08Z">
        <w:r>
          <w:rPr>
            <w:rFonts w:hint="eastAsia"/>
            <w:lang w:val="en-US" w:eastAsia="zh-CN"/>
          </w:rPr>
          <w:t xml:space="preserve"> </w:t>
        </w:r>
      </w:ins>
      <w:ins w:id="82" w:author="ZTE" w:date="2024-02-28T05:15:16Z">
        <w:r>
          <w:rPr>
            <w:rFonts w:hint="eastAsia"/>
            <w:lang w:val="en-US" w:eastAsia="zh-CN"/>
          </w:rPr>
          <w:t>to m</w:t>
        </w:r>
      </w:ins>
      <w:ins w:id="83" w:author="ZTE" w:date="2024-02-28T05:15:17Z">
        <w:r>
          <w:rPr>
            <w:rFonts w:hint="eastAsia"/>
            <w:lang w:val="en-US" w:eastAsia="zh-CN"/>
          </w:rPr>
          <w:t>o</w:t>
        </w:r>
      </w:ins>
      <w:ins w:id="84" w:author="ZTE" w:date="2024-02-28T05:15:18Z">
        <w:r>
          <w:rPr>
            <w:rFonts w:hint="eastAsia"/>
            <w:lang w:val="en-US" w:eastAsia="zh-CN"/>
          </w:rPr>
          <w:t>bil</w:t>
        </w:r>
      </w:ins>
      <w:ins w:id="85" w:author="ZTE" w:date="2024-02-28T05:15:19Z">
        <w:r>
          <w:rPr>
            <w:rFonts w:hint="eastAsia"/>
            <w:lang w:val="en-US" w:eastAsia="zh-CN"/>
          </w:rPr>
          <w:t>e IAB a</w:t>
        </w:r>
      </w:ins>
      <w:ins w:id="86" w:author="ZTE" w:date="2024-02-28T05:15:20Z">
        <w:r>
          <w:rPr>
            <w:rFonts w:hint="eastAsia"/>
            <w:lang w:val="en-US" w:eastAsia="zh-CN"/>
          </w:rPr>
          <w:t xml:space="preserve">s </w:t>
        </w:r>
      </w:ins>
      <w:ins w:id="87" w:author="ZTE" w:date="2024-02-28T05:15:24Z">
        <w:r>
          <w:rPr>
            <w:rFonts w:hint="eastAsia"/>
            <w:lang w:val="en-US" w:eastAsia="zh-CN"/>
          </w:rPr>
          <w:t>i</w:t>
        </w:r>
      </w:ins>
      <w:ins w:id="88" w:author="ZTE" w:date="2024-02-28T05:15:25Z">
        <w:r>
          <w:rPr>
            <w:rFonts w:hint="eastAsia"/>
            <w:lang w:val="en-US" w:eastAsia="zh-CN"/>
          </w:rPr>
          <w:t xml:space="preserve">n the </w:t>
        </w:r>
      </w:ins>
      <w:ins w:id="89" w:author="ZTE" w:date="2024-02-28T05:15:30Z">
        <w:r>
          <w:rPr>
            <w:rFonts w:hint="eastAsia"/>
            <w:lang w:val="en-US" w:eastAsia="zh-CN"/>
          </w:rPr>
          <w:t>be</w:t>
        </w:r>
      </w:ins>
      <w:ins w:id="90" w:author="ZTE" w:date="2024-02-28T05:15:31Z">
        <w:r>
          <w:rPr>
            <w:rFonts w:hint="eastAsia"/>
            <w:lang w:val="en-US" w:eastAsia="zh-CN"/>
          </w:rPr>
          <w:t>l</w:t>
        </w:r>
      </w:ins>
      <w:ins w:id="91" w:author="ZTE" w:date="2024-02-28T05:15:32Z">
        <w:r>
          <w:rPr>
            <w:rFonts w:hint="eastAsia"/>
            <w:lang w:val="en-US" w:eastAsia="zh-CN"/>
          </w:rPr>
          <w:t>ow:</w:t>
        </w:r>
      </w:ins>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ZTE" w:date="2024-02-28T05:15:40Z"/>
        </w:trPr>
        <w:tc>
          <w:tcPr>
            <w:tcW w:w="9857" w:type="dxa"/>
          </w:tcPr>
          <w:p>
            <w:pPr>
              <w:snapToGrid w:val="0"/>
              <w:spacing w:after="120"/>
              <w:rPr>
                <w:ins w:id="93" w:author="ZTE" w:date="2024-02-28T05:15:40Z"/>
                <w:rFonts w:hint="default"/>
                <w:vertAlign w:val="baseline"/>
                <w:lang w:val="en-US" w:eastAsia="zh-CN"/>
              </w:rPr>
            </w:pPr>
            <w:r>
              <w:rPr>
                <w:lang w:eastAsia="en-US"/>
              </w:rPr>
              <w:t>The procedure is applicable to inter-donor partial migration, inter-donor RLF recovery</w:t>
            </w:r>
            <w:ins w:id="94" w:author="ZTE" w:date="2024-02-19T16:33:58Z">
              <w:r>
                <w:rPr>
                  <w:rFonts w:hint="eastAsia" w:eastAsia="宋体"/>
                  <w:lang w:val="en-US" w:eastAsia="zh-CN"/>
                </w:rPr>
                <w:t xml:space="preserve">, </w:t>
              </w:r>
            </w:ins>
            <w:del w:id="95" w:author="ZTE" w:date="2024-02-19T16:33:57Z">
              <w:r>
                <w:rPr>
                  <w:lang w:eastAsia="en-US"/>
                </w:rPr>
                <w:delText xml:space="preserve"> and </w:delText>
              </w:r>
            </w:del>
            <w:r>
              <w:rPr>
                <w:lang w:eastAsia="en-US"/>
              </w:rPr>
              <w:t xml:space="preserve">inter-donor topology redundancy </w:t>
            </w:r>
            <w:ins w:id="96" w:author="ZTE" w:date="2024-02-19T16:34:05Z">
              <w:r>
                <w:rPr>
                  <w:rFonts w:hint="eastAsia" w:eastAsia="宋体"/>
                  <w:lang w:val="en-US" w:eastAsia="zh-CN"/>
                </w:rPr>
                <w:t xml:space="preserve">and </w:t>
              </w:r>
            </w:ins>
            <w:ins w:id="97" w:author="ZTE" w:date="2024-02-19T16:34:21Z">
              <w:r>
                <w:rPr>
                  <w:rFonts w:hint="eastAsia" w:eastAsia="宋体"/>
                  <w:lang w:val="en-US" w:eastAsia="zh-CN"/>
                </w:rPr>
                <w:t>m</w:t>
              </w:r>
            </w:ins>
            <w:ins w:id="98" w:author="ZTE" w:date="2024-02-19T16:34:17Z">
              <w:r>
                <w:rPr/>
                <w:t>igration of mobile IAB-MT</w:t>
              </w:r>
            </w:ins>
            <w:ins w:id="99" w:author="ZTE" w:date="2024-02-19T16:34:24Z">
              <w:r>
                <w:rPr>
                  <w:rFonts w:hint="eastAsia" w:eastAsia="宋体"/>
                  <w:lang w:val="en-US" w:eastAsia="zh-CN"/>
                </w:rPr>
                <w:t xml:space="preserve">, </w:t>
              </w:r>
            </w:ins>
            <w:ins w:id="100" w:author="ZTE" w:date="2024-02-19T16:34:37Z">
              <w:r>
                <w:rPr>
                  <w:rFonts w:hint="eastAsia" w:eastAsia="宋体"/>
                  <w:lang w:val="en-US" w:eastAsia="zh-CN"/>
                </w:rPr>
                <w:t>m</w:t>
              </w:r>
            </w:ins>
            <w:ins w:id="101" w:author="ZTE" w:date="2024-02-19T16:34:34Z">
              <w:r>
                <w:rPr/>
                <w:t>obile IAB-DU migration</w:t>
              </w:r>
            </w:ins>
            <w:ins w:id="102" w:author="ZTE" w:date="2024-02-19T16:34:39Z">
              <w:r>
                <w:rPr>
                  <w:rFonts w:hint="eastAsia" w:eastAsia="宋体"/>
                  <w:lang w:val="en-US" w:eastAsia="zh-CN"/>
                </w:rPr>
                <w:t xml:space="preserve"> </w:t>
              </w:r>
            </w:ins>
            <w:r>
              <w:rPr>
                <w:lang w:eastAsia="en-US"/>
              </w:rPr>
              <w:t>cases.</w:t>
            </w:r>
          </w:p>
        </w:tc>
      </w:tr>
    </w:tbl>
    <w:p>
      <w:pPr>
        <w:snapToGrid w:val="0"/>
        <w:spacing w:after="120"/>
        <w:rPr>
          <w:ins w:id="103" w:author="ZTE" w:date="2024-02-28T05:15:54Z"/>
          <w:rFonts w:hint="default"/>
          <w:lang w:val="en-US" w:eastAsia="zh-CN"/>
        </w:rPr>
      </w:pPr>
    </w:p>
    <w:p>
      <w:pPr>
        <w:snapToGrid w:val="0"/>
        <w:spacing w:after="120"/>
        <w:rPr>
          <w:ins w:id="104" w:author="ZTE" w:date="2024-02-28T05:14:09Z"/>
          <w:rFonts w:hint="default"/>
          <w:lang w:val="en-US" w:eastAsia="zh-CN"/>
        </w:rPr>
      </w:pPr>
      <w:ins w:id="105" w:author="ZTE" w:date="2024-02-28T05:16:00Z">
        <w:r>
          <w:rPr>
            <w:rFonts w:hint="eastAsia"/>
            <w:lang w:val="en-US" w:eastAsia="zh-CN"/>
          </w:rPr>
          <w:t>A</w:t>
        </w:r>
      </w:ins>
      <w:ins w:id="106" w:author="ZTE" w:date="2024-02-28T05:15:54Z">
        <w:r>
          <w:rPr>
            <w:rFonts w:hint="eastAsia"/>
            <w:lang w:val="en-US" w:eastAsia="zh-CN"/>
          </w:rPr>
          <w:t>nd</w:t>
        </w:r>
      </w:ins>
      <w:ins w:id="107" w:author="ZTE" w:date="2024-02-28T05:15:55Z">
        <w:r>
          <w:rPr>
            <w:rFonts w:hint="eastAsia"/>
            <w:lang w:val="en-US" w:eastAsia="zh-CN"/>
          </w:rPr>
          <w:t xml:space="preserve"> </w:t>
        </w:r>
      </w:ins>
      <w:ins w:id="108" w:author="ZTE" w:date="2024-02-28T05:17:12Z">
        <w:r>
          <w:rPr>
            <w:rFonts w:hint="eastAsia"/>
            <w:lang w:val="en-US" w:eastAsia="zh-CN"/>
          </w:rPr>
          <w:t>for t</w:t>
        </w:r>
      </w:ins>
      <w:ins w:id="109" w:author="ZTE" w:date="2024-02-28T05:17:13Z">
        <w:r>
          <w:rPr>
            <w:rFonts w:hint="eastAsia"/>
            <w:lang w:val="en-US" w:eastAsia="zh-CN"/>
          </w:rPr>
          <w:t>he te</w:t>
        </w:r>
      </w:ins>
      <w:ins w:id="110" w:author="ZTE" w:date="2024-02-28T05:17:14Z">
        <w:r>
          <w:rPr>
            <w:rFonts w:hint="eastAsia"/>
            <w:lang w:val="en-US" w:eastAsia="zh-CN"/>
          </w:rPr>
          <w:t>r</w:t>
        </w:r>
      </w:ins>
      <w:ins w:id="111" w:author="ZTE" w:date="2024-02-28T05:17:15Z">
        <w:r>
          <w:rPr>
            <w:rFonts w:hint="eastAsia"/>
            <w:lang w:val="en-US" w:eastAsia="zh-CN"/>
          </w:rPr>
          <w:t>m</w:t>
        </w:r>
      </w:ins>
      <w:ins w:id="112" w:author="ZTE" w:date="2024-02-28T05:17:16Z">
        <w:r>
          <w:rPr>
            <w:rFonts w:hint="eastAsia"/>
            <w:lang w:val="en-US" w:eastAsia="zh-CN"/>
          </w:rPr>
          <w:t xml:space="preserve"> </w:t>
        </w:r>
      </w:ins>
      <w:ins w:id="113" w:author="ZTE" w:date="2024-02-28T05:17:16Z">
        <w:r>
          <w:rPr>
            <w:rFonts w:hint="default"/>
            <w:lang w:val="en-US" w:eastAsia="zh-CN"/>
          </w:rPr>
          <w:t>“</w:t>
        </w:r>
      </w:ins>
      <w:ins w:id="114" w:author="ZTE" w:date="2024-02-28T05:17:19Z">
        <w:r>
          <w:rPr>
            <w:rFonts w:hint="eastAsia"/>
            <w:lang w:val="en-US" w:eastAsia="zh-CN"/>
          </w:rPr>
          <w:t>bou</w:t>
        </w:r>
      </w:ins>
      <w:ins w:id="115" w:author="ZTE" w:date="2024-02-28T05:17:22Z">
        <w:r>
          <w:rPr>
            <w:rFonts w:hint="eastAsia"/>
            <w:lang w:val="en-US" w:eastAsia="zh-CN"/>
          </w:rPr>
          <w:t>ndary</w:t>
        </w:r>
      </w:ins>
      <w:ins w:id="116" w:author="ZTE" w:date="2024-02-28T05:17:23Z">
        <w:r>
          <w:rPr>
            <w:rFonts w:hint="eastAsia"/>
            <w:lang w:val="en-US" w:eastAsia="zh-CN"/>
          </w:rPr>
          <w:t xml:space="preserve"> node</w:t>
        </w:r>
      </w:ins>
      <w:ins w:id="117" w:author="ZTE" w:date="2024-02-28T05:17:17Z">
        <w:r>
          <w:rPr>
            <w:rFonts w:hint="default"/>
            <w:lang w:val="en-US" w:eastAsia="zh-CN"/>
          </w:rPr>
          <w:t>”</w:t>
        </w:r>
      </w:ins>
      <w:ins w:id="118" w:author="ZTE" w:date="2024-02-28T05:17:25Z">
        <w:r>
          <w:rPr>
            <w:rFonts w:hint="eastAsia"/>
            <w:lang w:val="en-US" w:eastAsia="zh-CN"/>
          </w:rPr>
          <w:t xml:space="preserve">, </w:t>
        </w:r>
      </w:ins>
      <w:ins w:id="119" w:author="ZTE" w:date="2024-02-28T05:17:31Z">
        <w:r>
          <w:rPr>
            <w:rFonts w:hint="eastAsia"/>
            <w:lang w:val="en-US" w:eastAsia="zh-CN"/>
          </w:rPr>
          <w:t>we</w:t>
        </w:r>
      </w:ins>
      <w:ins w:id="120" w:author="ZTE" w:date="2024-02-28T05:17:32Z">
        <w:r>
          <w:rPr>
            <w:rFonts w:hint="eastAsia"/>
            <w:lang w:val="en-US" w:eastAsia="zh-CN"/>
          </w:rPr>
          <w:t xml:space="preserve"> </w:t>
        </w:r>
      </w:ins>
      <w:ins w:id="121" w:author="ZTE" w:date="2024-02-28T05:17:34Z">
        <w:r>
          <w:rPr>
            <w:rFonts w:hint="eastAsia"/>
            <w:lang w:val="en-US" w:eastAsia="zh-CN"/>
          </w:rPr>
          <w:t>als</w:t>
        </w:r>
      </w:ins>
      <w:ins w:id="122" w:author="ZTE" w:date="2024-02-28T05:17:35Z">
        <w:r>
          <w:rPr>
            <w:rFonts w:hint="eastAsia"/>
            <w:lang w:val="en-US" w:eastAsia="zh-CN"/>
          </w:rPr>
          <w:t>o ne</w:t>
        </w:r>
      </w:ins>
      <w:ins w:id="123" w:author="ZTE" w:date="2024-02-28T05:17:36Z">
        <w:r>
          <w:rPr>
            <w:rFonts w:hint="eastAsia"/>
            <w:lang w:val="en-US" w:eastAsia="zh-CN"/>
          </w:rPr>
          <w:t xml:space="preserve">ed to </w:t>
        </w:r>
      </w:ins>
      <w:ins w:id="124" w:author="ZTE" w:date="2024-02-28T05:17:43Z">
        <w:r>
          <w:rPr>
            <w:rFonts w:hint="eastAsia"/>
            <w:lang w:val="en-US" w:eastAsia="zh-CN"/>
          </w:rPr>
          <w:t>stat</w:t>
        </w:r>
      </w:ins>
      <w:ins w:id="125" w:author="ZTE" w:date="2024-02-28T05:17:44Z">
        <w:r>
          <w:rPr>
            <w:rFonts w:hint="eastAsia"/>
            <w:lang w:val="en-US" w:eastAsia="zh-CN"/>
          </w:rPr>
          <w:t>e tha</w:t>
        </w:r>
      </w:ins>
      <w:ins w:id="126" w:author="ZTE" w:date="2024-02-28T05:17:45Z">
        <w:r>
          <w:rPr>
            <w:rFonts w:hint="eastAsia"/>
            <w:lang w:val="en-US" w:eastAsia="zh-CN"/>
          </w:rPr>
          <w:t>t i</w:t>
        </w:r>
      </w:ins>
      <w:ins w:id="127" w:author="ZTE" w:date="2024-02-28T05:17:46Z">
        <w:r>
          <w:rPr>
            <w:rFonts w:hint="eastAsia"/>
            <w:lang w:val="en-US" w:eastAsia="zh-CN"/>
          </w:rPr>
          <w:t>t re</w:t>
        </w:r>
      </w:ins>
      <w:ins w:id="128" w:author="ZTE" w:date="2024-02-28T05:17:47Z">
        <w:r>
          <w:rPr>
            <w:rFonts w:hint="eastAsia"/>
            <w:lang w:val="en-US" w:eastAsia="zh-CN"/>
          </w:rPr>
          <w:t>fer</w:t>
        </w:r>
      </w:ins>
      <w:ins w:id="129" w:author="ZTE" w:date="2024-02-28T05:17:48Z">
        <w:r>
          <w:rPr>
            <w:rFonts w:hint="eastAsia"/>
            <w:lang w:val="en-US" w:eastAsia="zh-CN"/>
          </w:rPr>
          <w:t>s t</w:t>
        </w:r>
      </w:ins>
      <w:ins w:id="130" w:author="ZTE" w:date="2024-02-28T05:17:49Z">
        <w:r>
          <w:rPr>
            <w:rFonts w:hint="eastAsia"/>
            <w:lang w:val="en-US" w:eastAsia="zh-CN"/>
          </w:rPr>
          <w:t>o mobi</w:t>
        </w:r>
      </w:ins>
      <w:ins w:id="131" w:author="ZTE" w:date="2024-02-28T05:17:50Z">
        <w:r>
          <w:rPr>
            <w:rFonts w:hint="eastAsia"/>
            <w:lang w:val="en-US" w:eastAsia="zh-CN"/>
          </w:rPr>
          <w:t>le IAB</w:t>
        </w:r>
      </w:ins>
      <w:ins w:id="132" w:author="ZTE" w:date="2024-02-28T05:17:51Z">
        <w:r>
          <w:rPr>
            <w:rFonts w:hint="eastAsia"/>
            <w:lang w:val="en-US" w:eastAsia="zh-CN"/>
          </w:rPr>
          <w:t xml:space="preserve"> </w:t>
        </w:r>
      </w:ins>
      <w:ins w:id="133" w:author="ZTE" w:date="2024-02-28T05:17:52Z">
        <w:r>
          <w:rPr>
            <w:rFonts w:hint="eastAsia"/>
            <w:lang w:val="en-US" w:eastAsia="zh-CN"/>
          </w:rPr>
          <w:t>nod</w:t>
        </w:r>
      </w:ins>
      <w:ins w:id="134" w:author="ZTE" w:date="2024-02-28T05:17:54Z">
        <w:r>
          <w:rPr>
            <w:rFonts w:hint="eastAsia"/>
            <w:lang w:val="en-US" w:eastAsia="zh-CN"/>
          </w:rPr>
          <w:t xml:space="preserve">e </w:t>
        </w:r>
      </w:ins>
      <w:ins w:id="135" w:author="ZTE" w:date="2024-02-28T05:17:56Z">
        <w:r>
          <w:rPr>
            <w:rFonts w:hint="eastAsia"/>
            <w:lang w:val="en-US" w:eastAsia="zh-CN"/>
          </w:rPr>
          <w:t xml:space="preserve">for </w:t>
        </w:r>
      </w:ins>
      <w:ins w:id="136" w:author="ZTE" w:date="2024-02-28T05:17:57Z">
        <w:r>
          <w:rPr>
            <w:rFonts w:hint="eastAsia"/>
            <w:lang w:val="en-US" w:eastAsia="zh-CN"/>
          </w:rPr>
          <w:t>mobile</w:t>
        </w:r>
      </w:ins>
      <w:ins w:id="137" w:author="ZTE" w:date="2024-02-28T05:17:58Z">
        <w:r>
          <w:rPr>
            <w:rFonts w:hint="eastAsia"/>
            <w:lang w:val="en-US" w:eastAsia="zh-CN"/>
          </w:rPr>
          <w:t xml:space="preserve"> IAB </w:t>
        </w:r>
      </w:ins>
      <w:ins w:id="138" w:author="ZTE" w:date="2024-02-28T05:18:42Z">
        <w:r>
          <w:rPr>
            <w:rFonts w:hint="eastAsia"/>
            <w:lang w:val="en-US" w:eastAsia="zh-CN"/>
          </w:rPr>
          <w:t>c</w:t>
        </w:r>
      </w:ins>
      <w:ins w:id="139" w:author="ZTE" w:date="2024-02-28T05:18:43Z">
        <w:r>
          <w:rPr>
            <w:rFonts w:hint="eastAsia"/>
            <w:lang w:val="en-US" w:eastAsia="zh-CN"/>
          </w:rPr>
          <w:t>ase</w:t>
        </w:r>
      </w:ins>
      <w:ins w:id="140" w:author="ZTE" w:date="2024-02-28T05:18:03Z">
        <w:r>
          <w:rPr>
            <w:rFonts w:hint="eastAsia"/>
            <w:lang w:val="en-US" w:eastAsia="zh-CN"/>
          </w:rPr>
          <w:t xml:space="preserve"> </w:t>
        </w:r>
      </w:ins>
      <w:ins w:id="141" w:author="ZTE" w:date="2024-02-28T05:18:04Z">
        <w:r>
          <w:rPr>
            <w:rFonts w:hint="eastAsia"/>
            <w:lang w:val="en-US" w:eastAsia="zh-CN"/>
          </w:rPr>
          <w:t>si</w:t>
        </w:r>
      </w:ins>
      <w:ins w:id="142" w:author="ZTE" w:date="2024-02-28T05:18:05Z">
        <w:r>
          <w:rPr>
            <w:rFonts w:hint="eastAsia"/>
            <w:lang w:val="en-US" w:eastAsia="zh-CN"/>
          </w:rPr>
          <w:t xml:space="preserve">nce </w:t>
        </w:r>
      </w:ins>
      <w:ins w:id="143" w:author="ZTE" w:date="2024-02-28T05:18:13Z">
        <w:r>
          <w:rPr>
            <w:rFonts w:hint="default"/>
            <w:lang w:val="en-US" w:eastAsia="zh-CN"/>
          </w:rPr>
          <w:t>“</w:t>
        </w:r>
      </w:ins>
      <w:ins w:id="144" w:author="ZTE" w:date="2024-02-28T05:18:06Z">
        <w:r>
          <w:rPr>
            <w:rFonts w:hint="eastAsia"/>
            <w:lang w:val="en-US" w:eastAsia="zh-CN"/>
          </w:rPr>
          <w:t>boun</w:t>
        </w:r>
      </w:ins>
      <w:ins w:id="145" w:author="ZTE" w:date="2024-02-28T05:18:07Z">
        <w:r>
          <w:rPr>
            <w:rFonts w:hint="eastAsia"/>
            <w:lang w:val="en-US" w:eastAsia="zh-CN"/>
          </w:rPr>
          <w:t xml:space="preserve">dary </w:t>
        </w:r>
      </w:ins>
      <w:ins w:id="146" w:author="ZTE" w:date="2024-02-28T05:18:08Z">
        <w:r>
          <w:rPr>
            <w:rFonts w:hint="eastAsia"/>
            <w:lang w:val="en-US" w:eastAsia="zh-CN"/>
          </w:rPr>
          <w:t>no</w:t>
        </w:r>
      </w:ins>
      <w:ins w:id="147" w:author="ZTE" w:date="2024-02-28T05:18:09Z">
        <w:r>
          <w:rPr>
            <w:rFonts w:hint="eastAsia"/>
            <w:lang w:val="en-US" w:eastAsia="zh-CN"/>
          </w:rPr>
          <w:t>de</w:t>
        </w:r>
      </w:ins>
      <w:ins w:id="148" w:author="ZTE" w:date="2024-02-28T05:18:16Z">
        <w:r>
          <w:rPr>
            <w:rFonts w:hint="default"/>
            <w:lang w:val="en-US" w:eastAsia="zh-CN"/>
          </w:rPr>
          <w:t>”</w:t>
        </w:r>
      </w:ins>
      <w:ins w:id="149" w:author="ZTE" w:date="2024-02-28T05:18:24Z">
        <w:r>
          <w:rPr>
            <w:rFonts w:hint="eastAsia"/>
            <w:lang w:val="en-US" w:eastAsia="zh-CN"/>
          </w:rPr>
          <w:t xml:space="preserve"> is</w:t>
        </w:r>
      </w:ins>
      <w:ins w:id="150" w:author="ZTE" w:date="2024-02-28T05:18:25Z">
        <w:r>
          <w:rPr>
            <w:rFonts w:hint="eastAsia"/>
            <w:lang w:val="en-US" w:eastAsia="zh-CN"/>
          </w:rPr>
          <w:t xml:space="preserve"> not a</w:t>
        </w:r>
      </w:ins>
      <w:ins w:id="151" w:author="ZTE" w:date="2024-02-28T05:18:26Z">
        <w:r>
          <w:rPr>
            <w:rFonts w:hint="eastAsia"/>
            <w:lang w:val="en-US" w:eastAsia="zh-CN"/>
          </w:rPr>
          <w:t>ppli</w:t>
        </w:r>
      </w:ins>
      <w:ins w:id="152" w:author="ZTE" w:date="2024-02-28T05:18:27Z">
        <w:r>
          <w:rPr>
            <w:rFonts w:hint="eastAsia"/>
            <w:lang w:val="en-US" w:eastAsia="zh-CN"/>
          </w:rPr>
          <w:t>ca</w:t>
        </w:r>
      </w:ins>
      <w:ins w:id="153" w:author="ZTE" w:date="2024-02-28T05:18:28Z">
        <w:r>
          <w:rPr>
            <w:rFonts w:hint="eastAsia"/>
            <w:lang w:val="en-US" w:eastAsia="zh-CN"/>
          </w:rPr>
          <w:t>b</w:t>
        </w:r>
      </w:ins>
      <w:ins w:id="154" w:author="ZTE" w:date="2024-02-28T05:18:29Z">
        <w:r>
          <w:rPr>
            <w:rFonts w:hint="eastAsia"/>
            <w:lang w:val="en-US" w:eastAsia="zh-CN"/>
          </w:rPr>
          <w:t xml:space="preserve">le to </w:t>
        </w:r>
      </w:ins>
      <w:ins w:id="155" w:author="ZTE" w:date="2024-02-28T05:18:30Z">
        <w:r>
          <w:rPr>
            <w:rFonts w:hint="eastAsia"/>
            <w:lang w:val="en-US" w:eastAsia="zh-CN"/>
          </w:rPr>
          <w:t>mobile</w:t>
        </w:r>
      </w:ins>
      <w:ins w:id="156" w:author="ZTE" w:date="2024-02-28T05:18:31Z">
        <w:r>
          <w:rPr>
            <w:rFonts w:hint="eastAsia"/>
            <w:lang w:val="en-US" w:eastAsia="zh-CN"/>
          </w:rPr>
          <w:t xml:space="preserve"> IAB</w:t>
        </w:r>
      </w:ins>
      <w:ins w:id="157" w:author="ZTE" w:date="2024-02-28T05:18:32Z">
        <w:r>
          <w:rPr>
            <w:rFonts w:hint="eastAsia"/>
            <w:lang w:val="en-US" w:eastAsia="zh-CN"/>
          </w:rPr>
          <w:t>.</w:t>
        </w:r>
      </w:ins>
    </w:p>
    <w:p>
      <w:pPr>
        <w:snapToGrid w:val="0"/>
        <w:spacing w:after="120"/>
        <w:rPr>
          <w:b w:val="0"/>
          <w:bCs w:val="0"/>
          <w:lang w:val="en-US" w:eastAsia="zh-CN"/>
          <w:rPrChange w:id="158" w:author="Fujitsu" w:date="2024-02-28T00:12:00Z">
            <w:rPr>
              <w:b/>
              <w:bCs/>
              <w:lang w:val="en-US" w:eastAsia="zh-CN"/>
            </w:rPr>
          </w:rPrChange>
        </w:rPr>
      </w:pPr>
    </w:p>
    <w:p>
      <w:pPr>
        <w:snapToGrid w:val="0"/>
        <w:spacing w:after="120"/>
        <w:rPr>
          <w:b/>
          <w:bCs/>
          <w:lang w:val="en-US"/>
        </w:rPr>
      </w:pPr>
    </w:p>
    <w:p>
      <w:pPr>
        <w:pStyle w:val="4"/>
        <w:rPr>
          <w:i/>
          <w:iCs/>
          <w:lang w:val="en-US"/>
        </w:rPr>
      </w:pPr>
      <w:r>
        <w:rPr>
          <w:highlight w:val="green"/>
          <w:lang w:val="en-US"/>
        </w:rPr>
        <w:t>Issue 8:</w:t>
      </w:r>
      <w:r>
        <w:rPr>
          <w:lang w:val="en-US"/>
        </w:rPr>
        <w:t xml:space="preserve"> NCGI to be Updated List IE should be in F1 Setup Request rather than gNB-DU Configuration Update Request </w:t>
      </w:r>
    </w:p>
    <w:p>
      <w:pPr>
        <w:numPr>
          <w:ilvl w:val="0"/>
          <w:numId w:val="3"/>
        </w:numPr>
        <w:snapToGrid w:val="0"/>
        <w:spacing w:after="120"/>
        <w:rPr>
          <w:lang w:val="de-DE"/>
        </w:rPr>
      </w:pPr>
      <w:r>
        <w:rPr>
          <w:lang w:val="de-DE"/>
        </w:rPr>
        <w:t>R3-240273</w:t>
      </w:r>
      <w:r>
        <w:rPr>
          <w:b/>
          <w:bCs/>
          <w:lang w:val="de-DE"/>
        </w:rPr>
        <w:t xml:space="preserve"> - </w:t>
      </w:r>
      <w:r>
        <w:rPr>
          <w:lang w:val="de-DE"/>
        </w:rPr>
        <w:t xml:space="preserve">Samsung </w:t>
      </w:r>
    </w:p>
    <w:p>
      <w:pPr>
        <w:numPr>
          <w:ilvl w:val="0"/>
          <w:numId w:val="3"/>
        </w:numPr>
        <w:snapToGrid w:val="0"/>
        <w:spacing w:after="120"/>
        <w:rPr>
          <w:lang w:val="de-DE"/>
        </w:rPr>
      </w:pPr>
      <w:r>
        <w:rPr>
          <w:lang w:val="de-DE"/>
        </w:rPr>
        <w:t>R3-240288 - ZTE</w:t>
      </w:r>
    </w:p>
    <w:p>
      <w:pPr>
        <w:numPr>
          <w:ilvl w:val="0"/>
          <w:numId w:val="3"/>
        </w:numPr>
        <w:snapToGrid w:val="0"/>
        <w:spacing w:after="120"/>
        <w:rPr>
          <w:lang w:val="de-DE"/>
        </w:rPr>
      </w:pPr>
      <w:r>
        <w:rPr>
          <w:lang w:val="de-DE"/>
        </w:rPr>
        <w:t xml:space="preserve">R3-240473 - Xiaomi </w:t>
      </w:r>
    </w:p>
    <w:p>
      <w:pPr>
        <w:numPr>
          <w:ilvl w:val="0"/>
          <w:numId w:val="3"/>
        </w:numPr>
        <w:snapToGrid w:val="0"/>
        <w:spacing w:after="120"/>
        <w:rPr>
          <w:lang w:val="de-DE"/>
        </w:rPr>
      </w:pPr>
      <w:r>
        <w:rPr>
          <w:lang w:val="de-DE"/>
        </w:rPr>
        <w:t>R3-240632 - Ericsson</w:t>
      </w:r>
    </w:p>
    <w:p>
      <w:pPr>
        <w:snapToGrid w:val="0"/>
        <w:spacing w:after="120"/>
        <w:rPr>
          <w:lang w:val="en-US"/>
        </w:rPr>
      </w:pPr>
      <w:r>
        <w:rPr>
          <w:lang w:val="en-US"/>
        </w:rPr>
        <w:t>Already captured in rapporteur’s CR.</w:t>
      </w:r>
    </w:p>
    <w:p>
      <w:pPr>
        <w:snapToGrid w:val="0"/>
        <w:spacing w:after="120"/>
        <w:rPr>
          <w:b/>
          <w:bCs/>
          <w:lang w:val="en-US"/>
        </w:rPr>
      </w:pPr>
      <w:r>
        <w:rPr>
          <w:b/>
          <w:bCs/>
          <w:highlight w:val="yellow"/>
          <w:lang w:val="en-US"/>
        </w:rPr>
        <w:t>No proposal</w:t>
      </w:r>
    </w:p>
    <w:p>
      <w:pPr>
        <w:snapToGrid w:val="0"/>
        <w:spacing w:after="120"/>
        <w:rPr>
          <w:b/>
          <w:bCs/>
          <w:lang w:val="en-US"/>
        </w:rPr>
      </w:pPr>
    </w:p>
    <w:p>
      <w:pPr>
        <w:pStyle w:val="4"/>
        <w:rPr>
          <w:lang w:val="en-US"/>
        </w:rPr>
      </w:pPr>
      <w:r>
        <w:rPr>
          <w:highlight w:val="green"/>
          <w:lang w:val="en-US"/>
        </w:rPr>
        <w:t>Issue 9:</w:t>
      </w:r>
      <w:r>
        <w:rPr>
          <w:lang w:val="en-US"/>
        </w:rPr>
        <w:t xml:space="preserve"> Add to 38.401, section 8.9.14 on mIAB authorization, a paragraph on the behavior of CU(s) when authorization status is received during Xn and NG HO.</w:t>
      </w:r>
    </w:p>
    <w:p>
      <w:pPr>
        <w:numPr>
          <w:ilvl w:val="0"/>
          <w:numId w:val="3"/>
        </w:numPr>
        <w:snapToGrid w:val="0"/>
        <w:spacing w:after="120"/>
        <w:rPr>
          <w:lang w:val="en-US"/>
        </w:rPr>
      </w:pPr>
      <w:r>
        <w:rPr>
          <w:lang w:val="en-US"/>
        </w:rPr>
        <w:t xml:space="preserve">R3-240286 - ZTE </w:t>
      </w:r>
    </w:p>
    <w:p>
      <w:pPr>
        <w:snapToGrid w:val="0"/>
        <w:spacing w:after="120"/>
        <w:rPr>
          <w:lang w:val="en-US"/>
        </w:rPr>
      </w:pPr>
      <w:r>
        <w:rPr>
          <w:lang w:val="en-US"/>
        </w:rPr>
        <w:t>While R3-240286 proposes to add a lengthy description, several companies felt that a minor change to section 8.9.14 may be sufficient to clarify the behavior when the mIAB authorization status = “non-authorized” is passed during MT HO. Further, this may be added to the MT migration section rather than the mIAB-authorization section.</w:t>
      </w:r>
    </w:p>
    <w:p>
      <w:pPr>
        <w:snapToGrid w:val="0"/>
        <w:spacing w:after="120"/>
        <w:rPr>
          <w:lang w:val="en-US"/>
        </w:rPr>
      </w:pPr>
      <w:r>
        <w:rPr>
          <w:lang w:val="en-US"/>
        </w:rPr>
        <w:t>The equivalent topic for RLF Recovery is discussed under Issue 14 and merged into proposal 9.</w:t>
      </w:r>
    </w:p>
    <w:p>
      <w:pPr>
        <w:snapToGrid w:val="0"/>
        <w:spacing w:after="120"/>
        <w:rPr>
          <w:b/>
          <w:bCs/>
          <w:lang w:val="en-US"/>
        </w:rPr>
      </w:pPr>
      <w:r>
        <w:rPr>
          <w:b/>
          <w:bCs/>
          <w:highlight w:val="yellow"/>
          <w:lang w:val="en-US"/>
        </w:rPr>
        <w:t>Proposal 9:</w:t>
      </w:r>
      <w:r>
        <w:rPr>
          <w:b/>
          <w:bCs/>
          <w:lang w:val="en-US"/>
        </w:rPr>
        <w:t xml:space="preserve"> 38.401 to capture the behavior of the MT’s target IAB-donor when the mIAB authorization status = “non-authorized” is received during MT migration and RLF recovery. </w:t>
      </w:r>
    </w:p>
    <w:p>
      <w:pPr>
        <w:snapToGrid w:val="0"/>
        <w:spacing w:after="120"/>
        <w:rPr>
          <w:bCs/>
          <w:color w:val="C55A11" w:themeColor="accent2" w:themeShade="BF"/>
          <w:lang w:val="en-US" w:eastAsia="zh-CN"/>
        </w:rPr>
      </w:pPr>
      <w:r>
        <w:rPr>
          <w:rFonts w:hint="eastAsia"/>
          <w:bCs/>
          <w:color w:val="C55A11" w:themeColor="accent2" w:themeShade="BF"/>
          <w:lang w:val="en-US" w:eastAsia="zh-CN"/>
        </w:rPr>
        <w:t>[</w:t>
      </w:r>
      <w:r>
        <w:rPr>
          <w:bCs/>
          <w:color w:val="C55A11" w:themeColor="accent2" w:themeShade="BF"/>
          <w:lang w:val="en-US" w:eastAsia="zh-CN"/>
        </w:rPr>
        <w:t>Huawei] For Issue 14, the change for TS 38.423 is needed, but not mentioned in P9 here. So, we suggest Proposal 9b as below:</w:t>
      </w:r>
    </w:p>
    <w:p>
      <w:pPr>
        <w:snapToGrid w:val="0"/>
        <w:spacing w:after="120"/>
        <w:rPr>
          <w:bCs/>
          <w:color w:val="C55A11" w:themeColor="accent2" w:themeShade="BF"/>
          <w:u w:val="single"/>
          <w:lang w:val="en-US" w:eastAsia="zh-CN"/>
        </w:rPr>
      </w:pPr>
      <w:r>
        <w:rPr>
          <w:bCs/>
          <w:color w:val="C55A11" w:themeColor="accent2" w:themeShade="BF"/>
          <w:u w:val="single"/>
          <w:lang w:val="en-US" w:eastAsia="zh-CN"/>
        </w:rPr>
        <w:t xml:space="preserve">Proposal 9b: 38.423 to capture the behavior of the MT’s new IAB-donor for the mIAB authorization status IE during RLF recovery. </w:t>
      </w:r>
      <w:del w:id="159" w:author="CATT" w:date="2024-02-27T19:02:00Z">
        <w:r>
          <w:rPr>
            <w:bCs/>
            <w:color w:val="C55A11" w:themeColor="accent2" w:themeShade="BF"/>
            <w:u w:val="single"/>
            <w:lang w:val="en-US" w:eastAsia="zh-CN"/>
          </w:rPr>
          <w:delText>The behavior if the authorization status is “not authorized” can be linked to 38.401.</w:delText>
        </w:r>
      </w:del>
    </w:p>
    <w:p>
      <w:pPr>
        <w:snapToGrid w:val="0"/>
        <w:spacing w:after="120"/>
        <w:rPr>
          <w:ins w:id="160" w:author="CATT" w:date="2024-02-27T19:02:00Z"/>
          <w:bCs/>
          <w:color w:val="C55A11" w:themeColor="accent2" w:themeShade="BF"/>
          <w:lang w:val="en-US" w:eastAsia="zh-CN"/>
        </w:rPr>
      </w:pPr>
      <w:ins w:id="161" w:author="Lenovo" w:date="2024-02-27T22:55:00Z">
        <w:r>
          <w:rPr>
            <w:bCs/>
            <w:color w:val="C55A11" w:themeColor="accent2" w:themeShade="BF"/>
            <w:lang w:val="en-US" w:eastAsia="zh-CN"/>
          </w:rPr>
          <w:t>[Lenovo]: Agree with P9b.</w:t>
        </w:r>
      </w:ins>
    </w:p>
    <w:p>
      <w:pPr>
        <w:snapToGrid w:val="0"/>
        <w:spacing w:after="120"/>
        <w:rPr>
          <w:ins w:id="162" w:author="CATT" w:date="2024-02-27T19:02:00Z"/>
          <w:bCs/>
          <w:color w:val="C55A11" w:themeColor="accent2" w:themeShade="BF"/>
          <w:lang w:val="en-US" w:eastAsia="zh-CN"/>
        </w:rPr>
      </w:pPr>
      <w:ins w:id="163" w:author="CATT" w:date="2024-02-27T19:02:00Z">
        <w:r>
          <w:rPr>
            <w:rFonts w:hint="eastAsia"/>
            <w:bCs/>
            <w:color w:val="C55A11" w:themeColor="accent2" w:themeShade="BF"/>
            <w:lang w:val="en-US" w:eastAsia="zh-CN"/>
          </w:rPr>
          <w:t>[</w:t>
        </w:r>
      </w:ins>
      <w:ins w:id="164" w:author="CATT" w:date="2024-02-27T19:02:00Z">
        <w:r>
          <w:rPr>
            <w:bCs/>
            <w:color w:val="C55A11" w:themeColor="accent2" w:themeShade="BF"/>
            <w:lang w:val="en-US" w:eastAsia="zh-CN"/>
          </w:rPr>
          <w:t>CATT]: The behavior of target IAB-donor does not need to be captured in stage-2 spec. The behavior only needs to be captured in 423 without referring to 401, since it is clear and definite, that is different with the NG-RAN handling for the authorization status received from CN which would lead to different solutions for different cases. So, we agree with HW’s P9b with revision.</w:t>
        </w:r>
      </w:ins>
    </w:p>
    <w:p>
      <w:pPr>
        <w:snapToGrid w:val="0"/>
        <w:spacing w:after="120"/>
        <w:rPr>
          <w:bCs/>
          <w:color w:val="C55A11" w:themeColor="accent2" w:themeShade="BF"/>
          <w:lang w:val="en-US" w:eastAsia="zh-CN"/>
        </w:rPr>
      </w:pPr>
      <w:r>
        <w:rPr>
          <w:b/>
          <w:bCs/>
          <w:color w:val="FF0000"/>
          <w:lang w:val="en-US"/>
        </w:rPr>
        <w:t xml:space="preserve">[E///]: </w:t>
      </w:r>
      <w:r>
        <w:rPr>
          <w:color w:val="FF0000"/>
          <w:lang w:val="en-US"/>
        </w:rPr>
        <w:t>In principle, we should capture something, but not sure whether we need as much text as proposed in the CRs.</w:t>
      </w:r>
    </w:p>
    <w:p>
      <w:pPr>
        <w:snapToGrid w:val="0"/>
        <w:spacing w:after="120"/>
        <w:rPr>
          <w:b/>
          <w:bCs/>
          <w:lang w:val="en-US"/>
        </w:rPr>
      </w:pPr>
    </w:p>
    <w:p>
      <w:pPr>
        <w:pStyle w:val="4"/>
        <w:rPr>
          <w:lang w:val="en-US"/>
        </w:rPr>
      </w:pPr>
      <w:r>
        <w:rPr>
          <w:highlight w:val="green"/>
          <w:lang w:val="en-US"/>
        </w:rPr>
        <w:t>Issue 10:</w:t>
      </w:r>
      <w:r>
        <w:rPr>
          <w:lang w:val="en-US"/>
        </w:rPr>
        <w:t xml:space="preserve"> Add to 38.401 a new section on PCI collision avoidance for mIAB.</w:t>
      </w:r>
    </w:p>
    <w:p>
      <w:pPr>
        <w:numPr>
          <w:ilvl w:val="0"/>
          <w:numId w:val="3"/>
        </w:numPr>
        <w:snapToGrid w:val="0"/>
        <w:spacing w:after="120"/>
        <w:rPr>
          <w:lang w:val="en-US"/>
        </w:rPr>
      </w:pPr>
      <w:r>
        <w:rPr>
          <w:lang w:val="en-US"/>
        </w:rPr>
        <w:t>R3-240286 – ZTE</w:t>
      </w:r>
    </w:p>
    <w:p>
      <w:pPr>
        <w:snapToGrid w:val="0"/>
        <w:spacing w:after="120"/>
        <w:rPr>
          <w:lang w:val="en-US"/>
        </w:rPr>
      </w:pPr>
      <w:r>
        <w:rPr>
          <w:lang w:val="en-US"/>
        </w:rPr>
        <w:t>In offline discussion, ZTE emphasized that PCI partitioning should be captured on stage 2 as a method to avoid PCI collisions for mobile IAB based on RAN3 agreement. Other companies felt that PCI partitioning is already supported by implementation and new specification is needed.</w:t>
      </w:r>
    </w:p>
    <w:p>
      <w:pPr>
        <w:snapToGrid w:val="0"/>
        <w:spacing w:after="120"/>
        <w:rPr>
          <w:b/>
          <w:bCs/>
          <w:lang w:val="en-US"/>
        </w:rPr>
      </w:pPr>
      <w:r>
        <w:rPr>
          <w:b/>
          <w:bCs/>
          <w:highlight w:val="yellow"/>
          <w:lang w:val="en-US"/>
        </w:rPr>
        <w:t>No Proposal.</w:t>
      </w:r>
    </w:p>
    <w:p>
      <w:pPr>
        <w:snapToGrid w:val="0"/>
        <w:spacing w:after="120"/>
        <w:rPr>
          <w:ins w:id="165" w:author="ZTE" w:date="2024-02-28T05:20:13Z"/>
          <w:rFonts w:hint="default"/>
          <w:lang w:val="en-US" w:eastAsia="zh-CN"/>
        </w:rPr>
      </w:pPr>
      <w:r>
        <w:rPr>
          <w:lang w:val="en-US"/>
        </w:rPr>
        <w:t xml:space="preserve"> </w:t>
      </w:r>
      <w:ins w:id="166" w:author="ZTE" w:date="2024-02-28T05:20:13Z">
        <w:r>
          <w:rPr>
            <w:lang w:val="en-US"/>
          </w:rPr>
          <w:t xml:space="preserve"> </w:t>
        </w:r>
      </w:ins>
      <w:ins w:id="167" w:author="ZTE" w:date="2024-02-28T05:20:13Z">
        <w:r>
          <w:rPr>
            <w:rFonts w:hint="eastAsia"/>
            <w:lang w:val="en-US" w:eastAsia="zh-CN"/>
          </w:rPr>
          <w:t>[ZTE]</w:t>
        </w:r>
      </w:ins>
      <w:ins w:id="168" w:author="ZTE" w:date="2024-02-28T05:20:13Z">
        <w:r>
          <w:rPr>
            <w:lang w:val="en-US"/>
          </w:rPr>
          <w:t xml:space="preserve">  </w:t>
        </w:r>
      </w:ins>
      <w:ins w:id="169" w:author="ZTE" w:date="2024-02-28T05:20:13Z">
        <w:r>
          <w:rPr>
            <w:rFonts w:hint="eastAsia"/>
            <w:lang w:val="en-US" w:eastAsia="zh-CN"/>
          </w:rPr>
          <w:t xml:space="preserve">During offline discussion, some company indicates that the PCI partitioning is already been supported and covered in the PCI </w:t>
        </w:r>
      </w:ins>
      <w:ins w:id="170" w:author="ZTE" w:date="2024-02-28T05:20:13Z">
        <w:r>
          <w:rPr>
            <w:lang w:eastAsia="en-GB"/>
          </w:rPr>
          <w:t>Optimisation</w:t>
        </w:r>
      </w:ins>
      <w:ins w:id="171" w:author="ZTE" w:date="2024-02-28T05:20:13Z">
        <w:r>
          <w:rPr>
            <w:rFonts w:hint="eastAsia"/>
            <w:lang w:val="en-US" w:eastAsia="zh-CN"/>
          </w:rPr>
          <w:t xml:space="preserve"> section in 38.401 which is copied in the below. However, I don</w:t>
        </w:r>
      </w:ins>
      <w:ins w:id="172" w:author="ZTE" w:date="2024-02-28T05:20:13Z">
        <w:r>
          <w:rPr>
            <w:rFonts w:hint="default"/>
            <w:lang w:val="en-US" w:eastAsia="zh-CN"/>
          </w:rPr>
          <w:t>’</w:t>
        </w:r>
      </w:ins>
      <w:ins w:id="173" w:author="ZTE" w:date="2024-02-28T05:20:13Z">
        <w:r>
          <w:rPr>
            <w:rFonts w:hint="eastAsia"/>
            <w:lang w:val="en-US" w:eastAsia="zh-CN"/>
          </w:rPr>
          <w:t xml:space="preserve">t think it has any relation with PCI space partitioning between mobile IAB cells and stationary cells and therefore it is not covered by the spec currently. </w:t>
        </w:r>
      </w:ins>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ZTE" w:date="2024-02-28T05:20:13Z"/>
        </w:trPr>
        <w:tc>
          <w:tcPr>
            <w:tcW w:w="9857" w:type="dxa"/>
          </w:tcPr>
          <w:p>
            <w:pPr>
              <w:rPr>
                <w:ins w:id="175" w:author="ZTE" w:date="2024-02-28T05:20:13Z"/>
              </w:rPr>
            </w:pPr>
            <w:ins w:id="176" w:author="ZTE" w:date="2024-02-28T05:20:13Z">
              <w:bookmarkStart w:id="1" w:name="_Toc106108506"/>
              <w:bookmarkStart w:id="2" w:name="_Toc105704388"/>
              <w:bookmarkStart w:id="3" w:name="_Toc112703237"/>
              <w:bookmarkStart w:id="4" w:name="_Toc98748002"/>
              <w:bookmarkStart w:id="5" w:name="_Toc155906826"/>
              <w:bookmarkStart w:id="6" w:name="_Toc107829478"/>
              <w:bookmarkStart w:id="7" w:name="_Toc98351704"/>
              <w:r>
                <w:rPr>
                  <w:lang w:eastAsia="en-GB"/>
                </w:rPr>
                <w:t>7.8</w:t>
              </w:r>
            </w:ins>
            <w:ins w:id="177" w:author="ZTE" w:date="2024-02-28T05:20:13Z">
              <w:r>
                <w:rPr>
                  <w:lang w:eastAsia="en-GB"/>
                </w:rPr>
                <w:tab/>
              </w:r>
            </w:ins>
            <w:ins w:id="178" w:author="ZTE" w:date="2024-02-28T05:20:13Z">
              <w:r>
                <w:rPr>
                  <w:lang w:eastAsia="en-GB"/>
                </w:rPr>
                <w:t>PCI Optimisation Function</w:t>
              </w:r>
              <w:bookmarkEnd w:id="1"/>
              <w:bookmarkEnd w:id="2"/>
              <w:bookmarkEnd w:id="3"/>
              <w:bookmarkEnd w:id="4"/>
              <w:bookmarkEnd w:id="5"/>
              <w:bookmarkEnd w:id="6"/>
              <w:bookmarkEnd w:id="7"/>
            </w:ins>
          </w:p>
          <w:p>
            <w:pPr>
              <w:rPr>
                <w:ins w:id="179" w:author="ZTE" w:date="2024-02-28T05:20:13Z"/>
                <w:lang w:val="en-US" w:eastAsia="zh-CN"/>
              </w:rPr>
            </w:pPr>
            <w:ins w:id="180" w:author="ZTE" w:date="2024-02-28T05:20:13Z">
              <w:r>
                <w:rPr>
                  <w:lang w:val="en-US" w:eastAsia="zh-CN"/>
                </w:rPr>
                <w:t>The PCI Optimization Function in non-split gNB case is specified in TS 38.300 [2].</w:t>
              </w:r>
            </w:ins>
          </w:p>
          <w:p>
            <w:pPr>
              <w:rPr>
                <w:ins w:id="181" w:author="ZTE" w:date="2024-02-28T05:20:13Z"/>
                <w:lang w:val="en-US" w:eastAsia="zh-CN"/>
              </w:rPr>
            </w:pPr>
            <w:ins w:id="182" w:author="ZTE" w:date="2024-02-28T05:20:13Z">
              <w:r>
                <w:rPr>
                  <w:lang w:val="en-US" w:eastAsia="zh-CN"/>
                </w:rPr>
                <w:t>In split gNB architecture, the OAM configures a PCI for each NR cell to the gNB-DU.</w:t>
              </w:r>
            </w:ins>
          </w:p>
          <w:p>
            <w:pPr>
              <w:rPr>
                <w:ins w:id="183" w:author="ZTE" w:date="2024-02-28T05:20:13Z"/>
                <w:lang w:val="en-US" w:eastAsia="zh-CN"/>
              </w:rPr>
            </w:pPr>
            <w:ins w:id="184" w:author="ZTE" w:date="2024-02-28T05:20:13Z">
              <w:r>
                <w:rPr>
                  <w:lang w:val="en-US" w:eastAsia="zh-CN"/>
                </w:rPr>
                <w:t>For centralized PCI assignment in split gNB architecture, the gNB-CU detects PCI conflict of NR cells and reports the NR cells suffering PCI conflict to OAM directly. The OAM is in charge of reassigning a new PCI for the NR cell subject to PCI conflict.</w:t>
              </w:r>
            </w:ins>
          </w:p>
          <w:p>
            <w:pPr>
              <w:snapToGrid/>
              <w:spacing w:after="0"/>
              <w:rPr>
                <w:ins w:id="185" w:author="ZTE" w:date="2024-02-28T05:20:13Z"/>
                <w:rFonts w:hint="eastAsia"/>
                <w:vertAlign w:val="baseline"/>
                <w:lang w:val="en-US" w:eastAsia="zh-CN"/>
              </w:rPr>
            </w:pPr>
            <w:ins w:id="186" w:author="ZTE" w:date="2024-02-28T05:20:13Z">
              <w:r>
                <w:rPr>
                  <w:lang w:val="en-US" w:eastAsia="zh-CN"/>
                </w:rPr>
                <w:t xml:space="preserve">For distributed PCI assignment in split gNB architecture, </w:t>
              </w:r>
            </w:ins>
            <w:ins w:id="187" w:author="ZTE" w:date="2024-02-28T05:20:13Z">
              <w:r>
                <w:rPr>
                  <w:highlight w:val="yellow"/>
                  <w:lang w:val="en-US" w:eastAsia="zh-CN"/>
                </w:rPr>
                <w:t>the OAM assigns</w:t>
              </w:r>
            </w:ins>
            <w:ins w:id="188" w:author="ZTE" w:date="2024-02-28T05:20:13Z">
              <w:r>
                <w:rPr>
                  <w:rFonts w:hint="eastAsia"/>
                  <w:highlight w:val="yellow"/>
                  <w:lang w:val="en-US" w:eastAsia="zh-CN"/>
                </w:rPr>
                <w:t xml:space="preserve"> </w:t>
              </w:r>
            </w:ins>
            <w:ins w:id="189" w:author="ZTE" w:date="2024-02-28T05:20:13Z">
              <w:r>
                <w:rPr>
                  <w:highlight w:val="yellow"/>
                  <w:lang w:val="en-US" w:eastAsia="zh-CN"/>
                </w:rPr>
                <w:t>a list of PCIs for each NR cell and sends the configured PCI list to the gNB-CU.</w:t>
              </w:r>
            </w:ins>
            <w:ins w:id="190" w:author="ZTE" w:date="2024-02-28T05:20:13Z">
              <w:r>
                <w:rPr>
                  <w:lang w:val="en-US" w:eastAsia="zh-CN"/>
                </w:rPr>
                <w:t xml:space="preserve"> If the gNB-CU detects PCI conflict, the gNB-CU may select a new PCI value from the preconfigured PCI list for the NR cell and send it to the gNB-DU by either F1 Setup procedure or gNB-CU configuration update procedure.</w:t>
              </w:r>
            </w:ins>
          </w:p>
        </w:tc>
      </w:tr>
    </w:tbl>
    <w:p>
      <w:pPr>
        <w:snapToGrid w:val="0"/>
        <w:spacing w:after="120"/>
        <w:rPr>
          <w:ins w:id="191" w:author="ZTE" w:date="2024-02-28T05:20:13Z"/>
          <w:rFonts w:hint="eastAsia"/>
          <w:lang w:val="en-US" w:eastAsia="zh-CN"/>
        </w:rPr>
      </w:pPr>
    </w:p>
    <w:p>
      <w:pPr>
        <w:snapToGrid w:val="0"/>
        <w:spacing w:after="120"/>
        <w:rPr>
          <w:ins w:id="192" w:author="ZTE" w:date="2024-02-28T05:20:13Z"/>
          <w:rFonts w:hint="eastAsia"/>
          <w:lang w:val="en-US" w:eastAsia="zh-CN"/>
        </w:rPr>
      </w:pPr>
      <w:ins w:id="193" w:author="ZTE" w:date="2024-02-28T05:20:13Z">
        <w:r>
          <w:rPr>
            <w:rFonts w:hint="eastAsia"/>
            <w:lang w:val="en-US" w:eastAsia="zh-CN"/>
          </w:rPr>
          <w:t xml:space="preserve">Secondly, we have two separate sections for NCI and </w:t>
        </w:r>
      </w:ins>
      <w:ins w:id="194" w:author="ZTE" w:date="2024-02-28T05:20:13Z">
        <w:r>
          <w:rPr/>
          <w:t>TAC/RANAC</w:t>
        </w:r>
      </w:ins>
      <w:ins w:id="195" w:author="ZTE" w:date="2024-02-28T05:20:13Z">
        <w:r>
          <w:rPr>
            <w:rFonts w:hint="eastAsia"/>
            <w:lang w:val="en-US" w:eastAsia="zh-CN"/>
          </w:rPr>
          <w:t xml:space="preserve"> </w:t>
        </w:r>
      </w:ins>
      <w:ins w:id="196" w:author="ZTE" w:date="2024-02-28T05:20:13Z">
        <w:r>
          <w:rPr/>
          <w:t>(re-)configuration for mobile IAB</w:t>
        </w:r>
      </w:ins>
      <w:ins w:id="197" w:author="ZTE" w:date="2024-02-28T05:20:13Z">
        <w:r>
          <w:rPr>
            <w:rFonts w:hint="eastAsia"/>
            <w:lang w:val="en-US" w:eastAsia="zh-CN"/>
          </w:rPr>
          <w:t xml:space="preserve"> (i.e. 8.9.15 and 8.9.16), wherein the </w:t>
        </w:r>
      </w:ins>
      <w:ins w:id="198" w:author="ZTE" w:date="2024-02-28T05:20:13Z">
        <w:r>
          <w:rPr/>
          <w:t>TAC/RANAC</w:t>
        </w:r>
      </w:ins>
      <w:ins w:id="199" w:author="ZTE" w:date="2024-02-28T05:20:13Z">
        <w:r>
          <w:rPr>
            <w:rFonts w:hint="eastAsia"/>
            <w:lang w:val="en-US" w:eastAsia="zh-CN"/>
          </w:rPr>
          <w:t xml:space="preserve"> </w:t>
        </w:r>
      </w:ins>
      <w:ins w:id="200" w:author="ZTE" w:date="2024-02-28T05:20:13Z">
        <w:r>
          <w:rPr/>
          <w:t>(re-)configuration</w:t>
        </w:r>
      </w:ins>
      <w:ins w:id="201" w:author="ZTE" w:date="2024-02-28T05:20:13Z">
        <w:r>
          <w:rPr>
            <w:rFonts w:hint="eastAsia"/>
            <w:lang w:val="en-US" w:eastAsia="zh-CN"/>
          </w:rPr>
          <w:t xml:space="preserve"> is based on OAM and can be supported by legacy mechanism. It</w:t>
        </w:r>
      </w:ins>
      <w:ins w:id="202" w:author="ZTE" w:date="2024-02-28T05:20:13Z">
        <w:r>
          <w:rPr>
            <w:rFonts w:hint="default"/>
            <w:lang w:val="en-US" w:eastAsia="zh-CN"/>
          </w:rPr>
          <w:t>’</w:t>
        </w:r>
      </w:ins>
      <w:ins w:id="203" w:author="ZTE" w:date="2024-02-28T05:20:13Z">
        <w:r>
          <w:rPr>
            <w:rFonts w:hint="eastAsia"/>
            <w:lang w:val="en-US" w:eastAsia="zh-CN"/>
          </w:rPr>
          <w:t xml:space="preserve">s reasonable to add some text for PCI (re-)configuration as well. </w:t>
        </w:r>
      </w:ins>
    </w:p>
    <w:p>
      <w:pPr>
        <w:snapToGrid w:val="0"/>
        <w:spacing w:after="120"/>
        <w:rPr>
          <w:ins w:id="204" w:author="ZTE" w:date="2024-02-28T05:20:13Z"/>
          <w:rFonts w:hint="default" w:eastAsiaTheme="minorEastAsia"/>
          <w:lang w:val="en-US" w:eastAsia="zh-CN"/>
        </w:rPr>
      </w:pPr>
      <w:ins w:id="205" w:author="ZTE" w:date="2024-02-28T05:20:13Z">
        <w:r>
          <w:rPr>
            <w:rFonts w:hint="eastAsia"/>
            <w:lang w:val="en-US" w:eastAsia="zh-CN"/>
          </w:rPr>
          <w:t xml:space="preserve">Our suggestion is that the (re-)configuration of mobile IAB cell including NCI, TAC/RANAC, and PCI can be specified in one section rather than in separate section, which would make our specification more complete and readable. </w:t>
        </w:r>
      </w:ins>
    </w:p>
    <w:p>
      <w:pPr>
        <w:snapToGrid w:val="0"/>
        <w:spacing w:after="120"/>
        <w:rPr>
          <w:ins w:id="206" w:author="ZTE" w:date="2024-02-28T05:20:13Z"/>
          <w:rFonts w:hint="eastAsia"/>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 w:author="ZTE" w:date="2024-02-28T05:20:13Z"/>
        </w:trPr>
        <w:tc>
          <w:tcPr>
            <w:tcW w:w="9857" w:type="dxa"/>
          </w:tcPr>
          <w:p>
            <w:pPr>
              <w:ind w:left="720"/>
              <w:rPr>
                <w:ins w:id="208" w:author="ZTE" w:date="2024-02-28T05:20:13Z"/>
                <w:rFonts w:hint="default" w:eastAsiaTheme="minorEastAsia"/>
                <w:lang w:val="en-US" w:eastAsia="zh-CN"/>
              </w:rPr>
            </w:pPr>
            <w:ins w:id="209" w:author="ZTE" w:date="2024-02-28T05:20:13Z">
              <w:bookmarkStart w:id="8" w:name="_Toc155906894"/>
              <w:r>
                <w:rPr/>
                <w:t>8.9.15</w:t>
              </w:r>
            </w:ins>
            <w:ins w:id="210" w:author="ZTE" w:date="2024-02-28T05:20:13Z">
              <w:r>
                <w:rPr/>
                <w:tab/>
              </w:r>
            </w:ins>
            <w:ins w:id="211" w:author="ZTE" w:date="2024-02-28T05:20:13Z">
              <w:r>
                <w:rPr/>
                <w:t>IAB-donor-CU-based NR Cell Identity (NCI) (re-)configuration for mobile IAB cells</w:t>
              </w:r>
              <w:bookmarkEnd w:id="8"/>
            </w:ins>
          </w:p>
          <w:p>
            <w:pPr>
              <w:snapToGrid/>
              <w:spacing w:after="0"/>
              <w:ind w:left="720"/>
              <w:rPr>
                <w:ins w:id="212" w:author="ZTE" w:date="2024-02-28T05:20:13Z"/>
                <w:rFonts w:hint="eastAsia"/>
                <w:vertAlign w:val="baseline"/>
                <w:lang w:val="en-US" w:eastAsia="zh-CN"/>
              </w:rPr>
            </w:pPr>
            <w:ins w:id="213" w:author="ZTE" w:date="2024-02-28T05:20:13Z">
              <w:bookmarkStart w:id="9" w:name="_Toc155906895"/>
              <w:r>
                <w:rPr/>
                <w:t>8.9.16</w:t>
              </w:r>
            </w:ins>
            <w:ins w:id="214" w:author="ZTE" w:date="2024-02-28T05:20:13Z">
              <w:r>
                <w:rPr/>
                <w:tab/>
              </w:r>
            </w:ins>
            <w:ins w:id="215" w:author="ZTE" w:date="2024-02-28T05:20:13Z">
              <w:r>
                <w:rPr/>
                <w:t>TAC/RANAC (re-)configuration for mobile IAB</w:t>
              </w:r>
              <w:bookmarkEnd w:id="9"/>
              <w:r>
                <w:rPr/>
                <w:t xml:space="preserve"> </w:t>
              </w:r>
            </w:ins>
          </w:p>
        </w:tc>
      </w:tr>
    </w:tbl>
    <w:p>
      <w:pPr>
        <w:snapToGrid w:val="0"/>
        <w:spacing w:after="120"/>
        <w:rPr>
          <w:lang w:val="en-US"/>
        </w:rPr>
      </w:pPr>
      <w:del w:id="216" w:author="ZTE" w:date="2024-02-28T05:20:13Z">
        <w:r>
          <w:rPr>
            <w:lang w:val="en-US"/>
          </w:rPr>
          <w:delText xml:space="preserve"> </w:delText>
        </w:r>
      </w:del>
    </w:p>
    <w:p>
      <w:pPr>
        <w:snapToGrid w:val="0"/>
        <w:spacing w:after="120"/>
        <w:rPr>
          <w:b/>
          <w:bCs/>
          <w:lang w:val="en-US"/>
        </w:rPr>
      </w:pPr>
    </w:p>
    <w:p>
      <w:pPr>
        <w:pStyle w:val="4"/>
        <w:rPr>
          <w:lang w:val="en-US"/>
        </w:rPr>
      </w:pPr>
      <w:r>
        <w:rPr>
          <w:highlight w:val="green"/>
          <w:lang w:val="en-US"/>
        </w:rPr>
        <w:t>Issue 11:</w:t>
      </w:r>
      <w:r>
        <w:rPr>
          <w:lang w:val="en-US"/>
        </w:rPr>
        <w:t xml:space="preserve"> In 38.413, add that the inclusion of mIAB authorization status in path switch request ack is mandatory  </w:t>
      </w:r>
    </w:p>
    <w:p>
      <w:pPr>
        <w:numPr>
          <w:ilvl w:val="0"/>
          <w:numId w:val="6"/>
        </w:numPr>
        <w:snapToGrid w:val="0"/>
        <w:spacing w:before="120" w:after="120"/>
        <w:rPr>
          <w:lang w:val="en-US"/>
        </w:rPr>
      </w:pPr>
      <w:r>
        <w:rPr>
          <w:lang w:val="en-US"/>
        </w:rPr>
        <w:t xml:space="preserve">R3-240429 – Nokia: </w:t>
      </w:r>
      <w:r>
        <w:rPr>
          <w:i/>
          <w:iCs/>
          <w:lang w:val="en-US"/>
        </w:rPr>
        <w:t xml:space="preserve">If the UE is an mobile IAB-MT and the mIAB authorization status has changed, the AMF </w:t>
      </w:r>
      <w:r>
        <w:rPr>
          <w:i/>
          <w:iCs/>
          <w:u w:val="single"/>
          <w:lang w:val="en-US"/>
        </w:rPr>
        <w:t>shall</w:t>
      </w:r>
      <w:r>
        <w:rPr>
          <w:i/>
          <w:iCs/>
          <w:lang w:val="en-US"/>
        </w:rPr>
        <w:t xml:space="preserve">, if supported, include the IAB Authorized IE in the PATH SWITCH REQUEST ACKNOWLEDGE message.” </w:t>
      </w:r>
    </w:p>
    <w:p>
      <w:pPr>
        <w:snapToGrid w:val="0"/>
        <w:spacing w:after="120"/>
        <w:rPr>
          <w:lang w:val="en-US"/>
        </w:rPr>
      </w:pPr>
      <w:r>
        <w:rPr>
          <w:lang w:val="en-US"/>
        </w:rPr>
        <w:t xml:space="preserve">The main issue here is to indicate in the spec the nation that the AMF </w:t>
      </w:r>
      <w:r>
        <w:rPr>
          <w:u w:val="single"/>
          <w:lang w:val="en-US"/>
        </w:rPr>
        <w:t>SHALL</w:t>
      </w:r>
      <w:r>
        <w:rPr>
          <w:lang w:val="en-US"/>
        </w:rPr>
        <w:t xml:space="preserve"> send the mIAB authorization status to the RAN whenever it has changed. R3-240429 raises the concern that this might not be clear from 38.413 where this update is considered OPTIONAL in the Path Switch Request ACK. During offline discussion, several companies felt that the AMF’s behavior was already adequately captured on stage 2.</w:t>
      </w:r>
    </w:p>
    <w:p>
      <w:pPr>
        <w:snapToGrid w:val="0"/>
        <w:spacing w:after="120"/>
        <w:rPr>
          <w:b/>
          <w:bCs/>
          <w:lang w:val="en-US"/>
        </w:rPr>
      </w:pPr>
      <w:r>
        <w:rPr>
          <w:b/>
          <w:bCs/>
          <w:highlight w:val="yellow"/>
          <w:lang w:val="en-US"/>
        </w:rPr>
        <w:t>No Proposal.</w:t>
      </w:r>
    </w:p>
    <w:p>
      <w:pPr>
        <w:snapToGrid w:val="0"/>
        <w:spacing w:after="120"/>
        <w:rPr>
          <w:b/>
          <w:bCs/>
          <w:lang w:val="en-US"/>
        </w:rPr>
      </w:pPr>
    </w:p>
    <w:p>
      <w:pPr>
        <w:pStyle w:val="4"/>
        <w:rPr>
          <w:i/>
          <w:iCs/>
          <w:color w:val="4472C4" w:themeColor="accent1"/>
          <w:lang w:val="en-US"/>
          <w14:textFill>
            <w14:solidFill>
              <w14:schemeClr w14:val="accent1"/>
            </w14:solidFill>
          </w14:textFill>
        </w:rPr>
      </w:pPr>
      <w:r>
        <w:rPr>
          <w:highlight w:val="green"/>
          <w:lang w:val="en-US"/>
        </w:rPr>
        <w:t>Issue12:</w:t>
      </w:r>
      <w:r>
        <w:rPr>
          <w:lang w:val="en-US"/>
        </w:rPr>
        <w:t xml:space="preserve"> Clarification that in presence of two logical DUs, DL traffic can be differentiated based on upper layers </w:t>
      </w:r>
    </w:p>
    <w:p>
      <w:pPr>
        <w:pStyle w:val="72"/>
        <w:numPr>
          <w:ilvl w:val="0"/>
          <w:numId w:val="7"/>
        </w:numPr>
        <w:snapToGrid w:val="0"/>
        <w:spacing w:after="120"/>
        <w:rPr>
          <w:i/>
          <w:iCs/>
          <w:color w:val="4472C4" w:themeColor="accent1"/>
          <w:lang w:val="en-US"/>
          <w14:textFill>
            <w14:solidFill>
              <w14:schemeClr w14:val="accent1"/>
            </w14:solidFill>
          </w14:textFill>
        </w:rPr>
      </w:pPr>
      <w:r>
        <w:rPr>
          <w:lang w:val="en-US"/>
        </w:rPr>
        <w:t>R3-240075/R30240076 - Fujitsu: Add to DU migration: “</w:t>
      </w:r>
      <w:r>
        <w:rPr>
          <w:i/>
          <w:iCs/>
          <w:lang w:val="en-US"/>
        </w:rPr>
        <w:t>NOTE: For the downstream data handling arriving at the mobile IAB-node, the upper layers (e.g., IP layer) can differentiate the data to different logical DUs based on upper-layer header information</w:t>
      </w:r>
      <w:r>
        <w:rPr>
          <w:lang w:val="en-US"/>
        </w:rPr>
        <w:t xml:space="preserve">.” </w:t>
      </w:r>
    </w:p>
    <w:p>
      <w:pPr>
        <w:snapToGrid w:val="0"/>
        <w:spacing w:after="120"/>
        <w:rPr>
          <w:b/>
          <w:bCs/>
          <w:lang w:val="en-US"/>
        </w:rPr>
      </w:pPr>
      <w:r>
        <w:rPr>
          <w:b/>
          <w:bCs/>
          <w:highlight w:val="yellow"/>
          <w:lang w:val="en-US"/>
        </w:rPr>
        <w:t>Proposal 12:</w:t>
      </w:r>
      <w:r>
        <w:rPr>
          <w:b/>
          <w:bCs/>
          <w:lang w:val="en-US"/>
        </w:rPr>
        <w:t xml:space="preserve"> Clarify on stage 2 that in presence of two logical DUs, DL traffic can be routed to the appropriate destination based on TNL information.</w:t>
      </w:r>
    </w:p>
    <w:p>
      <w:pPr>
        <w:snapToGrid w:val="0"/>
        <w:spacing w:after="120"/>
        <w:rPr>
          <w:color w:val="FF0000"/>
          <w:lang w:val="en-US"/>
        </w:rPr>
      </w:pPr>
      <w:r>
        <w:rPr>
          <w:b/>
          <w:bCs/>
          <w:color w:val="FF0000"/>
          <w:lang w:val="en-US"/>
        </w:rPr>
        <w:t xml:space="preserve">[E///]: </w:t>
      </w:r>
      <w:r>
        <w:rPr>
          <w:color w:val="FF0000"/>
          <w:lang w:val="en-US"/>
        </w:rPr>
        <w:t xml:space="preserve">Rewording: </w:t>
      </w:r>
    </w:p>
    <w:p>
      <w:pPr>
        <w:snapToGrid w:val="0"/>
        <w:spacing w:after="120"/>
        <w:rPr>
          <w:color w:val="FF0000"/>
          <w:lang w:val="en-US"/>
        </w:rPr>
      </w:pPr>
      <w:r>
        <w:rPr>
          <w:b/>
          <w:bCs/>
          <w:color w:val="FF0000"/>
          <w:lang w:val="en-US"/>
        </w:rPr>
        <w:t>Proposal 12:</w:t>
      </w:r>
      <w:r>
        <w:rPr>
          <w:color w:val="FF0000"/>
          <w:lang w:val="en-US"/>
        </w:rPr>
        <w:t xml:space="preserve"> Clarify on stage 2 that in presence of two logical DUs, DL traffic can be routed to the appropriate destination based on implementation, e.g., through TNL information.</w:t>
      </w:r>
    </w:p>
    <w:p>
      <w:pPr>
        <w:pStyle w:val="4"/>
        <w:rPr>
          <w:lang w:val="en-US"/>
        </w:rPr>
      </w:pPr>
      <w:r>
        <w:rPr>
          <w:highlight w:val="green"/>
          <w:lang w:val="en-US"/>
        </w:rPr>
        <w:t>Issue 13:</w:t>
      </w:r>
      <w:r>
        <w:rPr>
          <w:lang w:val="en-US"/>
        </w:rPr>
        <w:t xml:space="preserve"> In 38.413, add “No PDU Session Indication IE” in Handover Required by AMF</w:t>
      </w:r>
    </w:p>
    <w:p>
      <w:pPr>
        <w:numPr>
          <w:ilvl w:val="0"/>
          <w:numId w:val="6"/>
        </w:numPr>
        <w:snapToGrid w:val="0"/>
        <w:spacing w:before="120" w:after="120"/>
        <w:rPr>
          <w:lang w:val="en-US"/>
        </w:rPr>
      </w:pPr>
      <w:r>
        <w:rPr>
          <w:lang w:val="en-US"/>
        </w:rPr>
        <w:t>R3-240486 – Huawei: Include IE and corresponding description in procedural text.</w:t>
      </w:r>
    </w:p>
    <w:p>
      <w:pPr>
        <w:numPr>
          <w:ilvl w:val="0"/>
          <w:numId w:val="6"/>
        </w:numPr>
        <w:snapToGrid w:val="0"/>
        <w:spacing w:before="120" w:after="120"/>
        <w:rPr>
          <w:lang w:val="en-US"/>
        </w:rPr>
      </w:pPr>
      <w:r>
        <w:rPr>
          <w:lang w:val="en-US"/>
        </w:rPr>
        <w:t>R3-240287 - ZTE: Add explicit text: “</w:t>
      </w:r>
      <w:r>
        <w:rPr>
          <w:i/>
          <w:iCs/>
          <w:lang w:val="en-US"/>
        </w:rPr>
        <w:t>If the UE is an mobile IAB-MT which does not have any PDU sessions, the AMF shall ignore the PDU Session Resource Admitted List IE, and behave as specified in TS 23.502 [10].”</w:t>
      </w:r>
    </w:p>
    <w:p>
      <w:pPr>
        <w:snapToGrid w:val="0"/>
        <w:spacing w:before="120" w:after="120"/>
        <w:rPr>
          <w:lang w:val="en-US"/>
        </w:rPr>
      </w:pPr>
      <w:r>
        <w:rPr>
          <w:lang w:val="en-US"/>
        </w:rPr>
        <w:t xml:space="preserve">Offline discussion was not certain on details, e.g., whether the AMF would or would not know which PDU session was (de)activated, or whether the RAN was directly informed about activated PDU sessions by the SMF. The offline discussion converged to wait for ongoing work in SA2 to conclude. </w:t>
      </w:r>
    </w:p>
    <w:p>
      <w:pPr>
        <w:snapToGrid w:val="0"/>
        <w:spacing w:before="120" w:after="120"/>
        <w:rPr>
          <w:b/>
          <w:bCs/>
          <w:lang w:val="en-US"/>
        </w:rPr>
      </w:pPr>
      <w:r>
        <w:rPr>
          <w:b/>
          <w:bCs/>
          <w:highlight w:val="yellow"/>
          <w:lang w:val="en-US"/>
        </w:rPr>
        <w:t>Proposal 13:</w:t>
      </w:r>
      <w:r>
        <w:rPr>
          <w:b/>
          <w:bCs/>
          <w:lang w:val="en-US"/>
        </w:rPr>
        <w:t xml:space="preserve"> Regarding PDU session indication in NG Handover Required and/or NG Handover Request ACK messages in 38.413, wait for ongoing discussion in SA2 to concluded.</w:t>
      </w:r>
    </w:p>
    <w:p>
      <w:pPr>
        <w:snapToGrid w:val="0"/>
        <w:spacing w:before="120" w:after="120"/>
        <w:rPr>
          <w:bCs/>
          <w:color w:val="C55A11" w:themeColor="accent2" w:themeShade="BF"/>
          <w:lang w:val="en-US" w:eastAsia="zh-CN"/>
        </w:rPr>
      </w:pPr>
      <w:r>
        <w:rPr>
          <w:rFonts w:hint="eastAsia"/>
          <w:bCs/>
          <w:color w:val="C55A11" w:themeColor="accent2" w:themeShade="BF"/>
          <w:lang w:val="en-US" w:eastAsia="zh-CN"/>
        </w:rPr>
        <w:t>[</w:t>
      </w:r>
      <w:r>
        <w:rPr>
          <w:bCs/>
          <w:color w:val="C55A11" w:themeColor="accent2" w:themeShade="BF"/>
          <w:lang w:val="en-US" w:eastAsia="zh-CN"/>
        </w:rPr>
        <w:t>Huawei] F</w:t>
      </w:r>
      <w:r>
        <w:rPr>
          <w:rFonts w:hint="eastAsia"/>
          <w:bCs/>
          <w:color w:val="C55A11" w:themeColor="accent2" w:themeShade="BF"/>
          <w:lang w:val="en-US" w:eastAsia="zh-CN"/>
        </w:rPr>
        <w:t>ine</w:t>
      </w:r>
      <w:r>
        <w:rPr>
          <w:bCs/>
          <w:color w:val="C55A11" w:themeColor="accent2" w:themeShade="BF"/>
          <w:lang w:val="en-US" w:eastAsia="zh-CN"/>
        </w:rPr>
        <w:t xml:space="preserve"> </w:t>
      </w:r>
      <w:r>
        <w:rPr>
          <w:rFonts w:hint="eastAsia"/>
          <w:bCs/>
          <w:color w:val="C55A11" w:themeColor="accent2" w:themeShade="BF"/>
          <w:lang w:val="en-US" w:eastAsia="zh-CN"/>
        </w:rPr>
        <w:t>to</w:t>
      </w:r>
      <w:r>
        <w:rPr>
          <w:bCs/>
          <w:color w:val="C55A11" w:themeColor="accent2" w:themeShade="BF"/>
          <w:lang w:val="en-US" w:eastAsia="zh-CN"/>
        </w:rPr>
        <w:t xml:space="preserve"> </w:t>
      </w:r>
      <w:r>
        <w:rPr>
          <w:rFonts w:hint="eastAsia"/>
          <w:bCs/>
          <w:color w:val="C55A11" w:themeColor="accent2" w:themeShade="BF"/>
          <w:lang w:val="en-US" w:eastAsia="zh-CN"/>
        </w:rPr>
        <w:t>wait</w:t>
      </w:r>
      <w:r>
        <w:rPr>
          <w:bCs/>
          <w:color w:val="C55A11" w:themeColor="accent2" w:themeShade="BF"/>
          <w:lang w:val="en-US" w:eastAsia="zh-CN"/>
        </w:rPr>
        <w:t xml:space="preserve"> </w:t>
      </w:r>
      <w:r>
        <w:rPr>
          <w:rFonts w:hint="eastAsia"/>
          <w:bCs/>
          <w:color w:val="C55A11" w:themeColor="accent2" w:themeShade="BF"/>
          <w:lang w:val="en-US" w:eastAsia="zh-CN"/>
        </w:rPr>
        <w:t>for</w:t>
      </w:r>
      <w:r>
        <w:rPr>
          <w:bCs/>
          <w:color w:val="C55A11" w:themeColor="accent2" w:themeShade="BF"/>
          <w:lang w:val="en-US" w:eastAsia="zh-CN"/>
        </w:rPr>
        <w:t xml:space="preserve"> </w:t>
      </w:r>
      <w:r>
        <w:rPr>
          <w:rFonts w:hint="eastAsia"/>
          <w:bCs/>
          <w:color w:val="C55A11" w:themeColor="accent2" w:themeShade="BF"/>
          <w:lang w:val="en-US" w:eastAsia="zh-CN"/>
        </w:rPr>
        <w:t>SA</w:t>
      </w:r>
      <w:r>
        <w:rPr>
          <w:bCs/>
          <w:color w:val="C55A11" w:themeColor="accent2" w:themeShade="BF"/>
          <w:lang w:val="en-US" w:eastAsia="zh-CN"/>
        </w:rPr>
        <w:t xml:space="preserve">2 for </w:t>
      </w:r>
      <w:r>
        <w:rPr>
          <w:rFonts w:hint="eastAsia"/>
          <w:bCs/>
          <w:color w:val="C55A11" w:themeColor="accent2" w:themeShade="BF"/>
          <w:lang w:val="en-US" w:eastAsia="zh-CN"/>
        </w:rPr>
        <w:t>the</w:t>
      </w:r>
      <w:r>
        <w:rPr>
          <w:bCs/>
          <w:color w:val="C55A11" w:themeColor="accent2" w:themeShade="BF"/>
          <w:lang w:val="en-US" w:eastAsia="zh-CN"/>
        </w:rPr>
        <w:t xml:space="preserve"> </w:t>
      </w:r>
      <w:r>
        <w:rPr>
          <w:rFonts w:hint="eastAsia"/>
          <w:bCs/>
          <w:color w:val="C55A11" w:themeColor="accent2" w:themeShade="BF"/>
          <w:lang w:val="en-US" w:eastAsia="zh-CN"/>
        </w:rPr>
        <w:t>NG</w:t>
      </w:r>
      <w:r>
        <w:rPr>
          <w:bCs/>
          <w:color w:val="C55A11" w:themeColor="accent2" w:themeShade="BF"/>
          <w:lang w:val="en-US" w:eastAsia="zh-CN"/>
        </w:rPr>
        <w:t xml:space="preserve"> </w:t>
      </w:r>
      <w:r>
        <w:rPr>
          <w:rFonts w:hint="eastAsia"/>
          <w:bCs/>
          <w:color w:val="C55A11" w:themeColor="accent2" w:themeShade="BF"/>
          <w:lang w:val="en-US" w:eastAsia="zh-CN"/>
        </w:rPr>
        <w:t>Handover</w:t>
      </w:r>
      <w:r>
        <w:rPr>
          <w:bCs/>
          <w:color w:val="C55A11" w:themeColor="accent2" w:themeShade="BF"/>
          <w:lang w:val="en-US" w:eastAsia="zh-CN"/>
        </w:rPr>
        <w:t xml:space="preserve"> </w:t>
      </w:r>
      <w:r>
        <w:rPr>
          <w:rFonts w:hint="eastAsia"/>
          <w:bCs/>
          <w:color w:val="C55A11" w:themeColor="accent2" w:themeShade="BF"/>
          <w:lang w:val="en-US" w:eastAsia="zh-CN"/>
        </w:rPr>
        <w:t>Required,</w:t>
      </w:r>
      <w:r>
        <w:rPr>
          <w:bCs/>
          <w:color w:val="C55A11" w:themeColor="accent2" w:themeShade="BF"/>
          <w:lang w:val="en-US" w:eastAsia="zh-CN"/>
        </w:rPr>
        <w:t xml:space="preserve"> but no</w:t>
      </w:r>
      <w:r>
        <w:rPr>
          <w:rFonts w:hint="eastAsia"/>
          <w:bCs/>
          <w:color w:val="C55A11" w:themeColor="accent2" w:themeShade="BF"/>
          <w:lang w:val="en-US" w:eastAsia="zh-CN"/>
        </w:rPr>
        <w:t>t</w:t>
      </w:r>
      <w:r>
        <w:rPr>
          <w:bCs/>
          <w:color w:val="C55A11" w:themeColor="accent2" w:themeShade="BF"/>
          <w:lang w:val="en-US" w:eastAsia="zh-CN"/>
        </w:rPr>
        <w:t xml:space="preserve"> for the NG Handover Request Ack. Because R3 already agreed that the AMF to include the </w:t>
      </w:r>
      <w:r>
        <w:rPr>
          <w:rFonts w:hint="eastAsia"/>
          <w:bCs/>
          <w:color w:val="C55A11" w:themeColor="accent2" w:themeShade="BF"/>
          <w:lang w:val="en-US" w:eastAsia="zh-CN"/>
        </w:rPr>
        <w:t>no</w:t>
      </w:r>
      <w:r>
        <w:rPr>
          <w:bCs/>
          <w:color w:val="C55A11" w:themeColor="accent2" w:themeShade="BF"/>
          <w:lang w:val="en-US" w:eastAsia="zh-CN"/>
        </w:rPr>
        <w:t xml:space="preserve"> </w:t>
      </w:r>
      <w:r>
        <w:rPr>
          <w:rFonts w:hint="eastAsia"/>
          <w:bCs/>
          <w:color w:val="C55A11" w:themeColor="accent2" w:themeShade="BF"/>
          <w:lang w:val="en-US" w:eastAsia="zh-CN"/>
        </w:rPr>
        <w:t>PDU</w:t>
      </w:r>
      <w:r>
        <w:rPr>
          <w:bCs/>
          <w:color w:val="C55A11" w:themeColor="accent2" w:themeShade="BF"/>
          <w:lang w:val="en-US" w:eastAsia="zh-CN"/>
        </w:rPr>
        <w:t xml:space="preserve"> </w:t>
      </w:r>
      <w:r>
        <w:rPr>
          <w:rFonts w:hint="eastAsia"/>
          <w:bCs/>
          <w:color w:val="C55A11" w:themeColor="accent2" w:themeShade="BF"/>
          <w:lang w:val="en-US" w:eastAsia="zh-CN"/>
        </w:rPr>
        <w:t>session</w:t>
      </w:r>
      <w:r>
        <w:rPr>
          <w:bCs/>
          <w:color w:val="C55A11" w:themeColor="accent2" w:themeShade="BF"/>
          <w:lang w:val="en-US" w:eastAsia="zh-CN"/>
        </w:rPr>
        <w:t xml:space="preserve"> </w:t>
      </w:r>
      <w:r>
        <w:rPr>
          <w:rFonts w:hint="eastAsia"/>
          <w:bCs/>
          <w:color w:val="C55A11" w:themeColor="accent2" w:themeShade="BF"/>
          <w:lang w:val="en-US" w:eastAsia="zh-CN"/>
        </w:rPr>
        <w:t>indicator</w:t>
      </w:r>
      <w:r>
        <w:rPr>
          <w:bCs/>
          <w:color w:val="C55A11" w:themeColor="accent2" w:themeShade="BF"/>
          <w:lang w:val="en-US" w:eastAsia="zh-CN"/>
        </w:rPr>
        <w:t xml:space="preserve"> </w:t>
      </w:r>
      <w:r>
        <w:rPr>
          <w:rFonts w:hint="eastAsia"/>
          <w:bCs/>
          <w:color w:val="C55A11" w:themeColor="accent2" w:themeShade="BF"/>
          <w:lang w:val="en-US" w:eastAsia="zh-CN"/>
        </w:rPr>
        <w:t>in</w:t>
      </w:r>
      <w:r>
        <w:rPr>
          <w:bCs/>
          <w:color w:val="C55A11" w:themeColor="accent2" w:themeShade="BF"/>
          <w:lang w:val="en-US" w:eastAsia="zh-CN"/>
        </w:rPr>
        <w:t xml:space="preserve"> the NG Handover Request message, so it is natural for the AMF to ignore the PDU session Resource Admitted List IE in the Handover Request Ack message if the indication is included in the request message.</w:t>
      </w:r>
    </w:p>
    <w:p>
      <w:pPr>
        <w:snapToGrid w:val="0"/>
        <w:spacing w:before="120" w:after="120"/>
        <w:rPr>
          <w:ins w:id="217" w:author="ZTE" w:date="2024-02-28T05:21:00Z"/>
          <w:bCs/>
          <w:color w:val="FF0000"/>
          <w:lang w:val="en-US" w:eastAsia="zh-CN"/>
        </w:rPr>
      </w:pPr>
      <w:r>
        <w:rPr>
          <w:b/>
          <w:bCs/>
          <w:color w:val="FF0000"/>
          <w:lang w:val="en-US"/>
        </w:rPr>
        <w:t xml:space="preserve">[E///]: </w:t>
      </w:r>
      <w:r>
        <w:rPr>
          <w:color w:val="FF0000"/>
          <w:lang w:val="en-US"/>
        </w:rPr>
        <w:t xml:space="preserve">Regarding HANDOVER REQUEST ACK NGAP message, it is </w:t>
      </w:r>
      <w:r>
        <w:rPr>
          <w:color w:val="FF0000"/>
          <w:u w:val="single"/>
          <w:lang w:val="en-US"/>
        </w:rPr>
        <w:t xml:space="preserve">technically incorrect to say that the AMF shall ignore </w:t>
      </w:r>
      <w:r>
        <w:rPr>
          <w:color w:val="FF0000"/>
          <w:lang w:val="en-US"/>
        </w:rPr>
        <w:t xml:space="preserve">the </w:t>
      </w:r>
      <w:r>
        <w:rPr>
          <w:bCs/>
          <w:color w:val="FF0000"/>
          <w:lang w:val="en-US" w:eastAsia="zh-CN"/>
        </w:rPr>
        <w:t>PDU session Resource Admitted List IE. In fact, in this situation, the AMF has a job to do – it needs to insert dummy values into the HANDOVER COMMAND. It is better to say that, e.g., “The AMF shall consider….and…”</w:t>
      </w:r>
    </w:p>
    <w:p>
      <w:pPr>
        <w:snapToGrid w:val="0"/>
        <w:spacing w:before="120" w:after="120"/>
        <w:rPr>
          <w:ins w:id="218" w:author="ZTE" w:date="2024-02-28T05:21:01Z"/>
          <w:rFonts w:hint="default"/>
          <w:bCs/>
          <w:color w:val="C55A11" w:themeColor="accent2" w:themeShade="BF"/>
          <w:lang w:val="en-US" w:eastAsia="zh-CN"/>
        </w:rPr>
      </w:pPr>
      <w:ins w:id="219" w:author="ZTE" w:date="2024-02-28T05:21:01Z">
        <w:r>
          <w:rPr>
            <w:rFonts w:hint="eastAsia"/>
            <w:bCs/>
            <w:color w:val="C55A11" w:themeColor="accent2" w:themeShade="BF"/>
            <w:lang w:val="en-US" w:eastAsia="zh-CN"/>
          </w:rPr>
          <w:t xml:space="preserve">[ZTE] The issue of no PDU session indicator in NG handover request message is related to the issue of activated PDU session, suggest to address the two issues together. </w:t>
        </w:r>
      </w:ins>
    </w:p>
    <w:p>
      <w:pPr>
        <w:snapToGrid w:val="0"/>
        <w:spacing w:before="120" w:after="120"/>
        <w:rPr>
          <w:bCs/>
          <w:color w:val="FF0000"/>
          <w:lang w:val="en-US" w:eastAsia="zh-CN"/>
        </w:rPr>
      </w:pPr>
    </w:p>
    <w:p>
      <w:pPr>
        <w:pStyle w:val="4"/>
        <w:rPr>
          <w:i/>
          <w:iCs/>
          <w:lang w:val="en-US"/>
        </w:rPr>
      </w:pPr>
      <w:r>
        <w:rPr>
          <w:highlight w:val="green"/>
          <w:lang w:val="en-US"/>
        </w:rPr>
        <w:t>Issue 14:</w:t>
      </w:r>
      <w:r>
        <w:rPr>
          <w:lang w:val="en-US"/>
        </w:rPr>
        <w:t xml:space="preserve"> In 38.423, add to Retrieve UE Context Retrieval message behavior in case mIAB-MT is not authorized</w:t>
      </w:r>
    </w:p>
    <w:p>
      <w:pPr>
        <w:numPr>
          <w:ilvl w:val="0"/>
          <w:numId w:val="6"/>
        </w:numPr>
        <w:snapToGrid w:val="0"/>
        <w:spacing w:before="120" w:after="120"/>
        <w:rPr>
          <w:lang w:val="en-US"/>
        </w:rPr>
      </w:pPr>
      <w:r>
        <w:rPr>
          <w:lang w:val="en-US"/>
        </w:rPr>
        <w:t xml:space="preserve">R3-240488 – Huawei: </w:t>
      </w:r>
      <w:r>
        <w:rPr>
          <w:i/>
          <w:iCs/>
          <w:lang w:val="en-US"/>
        </w:rPr>
        <w:t>“…consider that the UE is a mobile IAB-node. If the Mobile IAB Authorization Status IE is set to "not authorized" for a mobile IAB-MT, the new NG-RAN node shall, if supported, refrain from establishing backhaul resources for this mobile IAB-node”.</w:t>
      </w:r>
    </w:p>
    <w:p>
      <w:pPr>
        <w:pStyle w:val="72"/>
        <w:numPr>
          <w:ilvl w:val="0"/>
          <w:numId w:val="6"/>
        </w:numPr>
        <w:snapToGrid w:val="0"/>
        <w:spacing w:before="120" w:after="120"/>
        <w:rPr>
          <w:i/>
          <w:iCs/>
          <w:color w:val="4472C4" w:themeColor="accent1"/>
          <w:lang w:val="en-US"/>
          <w14:textFill>
            <w14:solidFill>
              <w14:schemeClr w14:val="accent1"/>
            </w14:solidFill>
          </w14:textFill>
        </w:rPr>
      </w:pPr>
      <w:r>
        <w:rPr>
          <w:lang w:val="en-US"/>
        </w:rPr>
        <w:t xml:space="preserve">R3-240178/R30240176 - CATT: In 38.423, add explicit description to Xn Context Retrieval Response (and TMManagementResponse) for RRC-terminating CU’s behavior when receiving the “non-authorized” indicator. </w:t>
      </w:r>
    </w:p>
    <w:p>
      <w:pPr>
        <w:snapToGrid w:val="0"/>
        <w:spacing w:before="120" w:after="120"/>
        <w:rPr>
          <w:lang w:val="en-US"/>
        </w:rPr>
      </w:pPr>
      <w:r>
        <w:rPr>
          <w:lang w:val="en-US"/>
        </w:rPr>
        <w:t>This issue has been merged in with proposal 9.</w:t>
      </w:r>
    </w:p>
    <w:p>
      <w:pPr>
        <w:snapToGrid w:val="0"/>
        <w:spacing w:before="120" w:after="120"/>
        <w:rPr>
          <w:b/>
          <w:bCs/>
          <w:lang w:val="en-US"/>
        </w:rPr>
      </w:pPr>
      <w:r>
        <w:rPr>
          <w:b/>
          <w:bCs/>
          <w:highlight w:val="yellow"/>
          <w:lang w:val="en-US"/>
        </w:rPr>
        <w:t>No separate proposal</w:t>
      </w:r>
    </w:p>
    <w:p>
      <w:pPr>
        <w:snapToGrid w:val="0"/>
        <w:spacing w:before="120" w:after="120"/>
        <w:rPr>
          <w:b/>
          <w:bCs/>
          <w:lang w:val="en-US"/>
        </w:rPr>
      </w:pPr>
    </w:p>
    <w:p>
      <w:pPr>
        <w:pStyle w:val="4"/>
        <w:rPr>
          <w:lang w:val="en-US"/>
        </w:rPr>
      </w:pPr>
      <w:r>
        <w:rPr>
          <w:highlight w:val="green"/>
          <w:lang w:val="en-US"/>
        </w:rPr>
        <w:t>Issue 15:</w:t>
      </w:r>
      <w:r>
        <w:rPr>
          <w:lang w:val="en-US"/>
        </w:rPr>
        <w:t xml:space="preserve"> Merged with Issue 14.</w:t>
      </w:r>
    </w:p>
    <w:p>
      <w:pPr>
        <w:rPr>
          <w:lang w:val="en-US"/>
        </w:rPr>
      </w:pPr>
    </w:p>
    <w:p>
      <w:pPr>
        <w:pStyle w:val="4"/>
        <w:rPr>
          <w:lang w:val="en-US"/>
        </w:rPr>
      </w:pPr>
      <w:r>
        <w:rPr>
          <w:highlight w:val="green"/>
          <w:lang w:val="en-US"/>
        </w:rPr>
        <w:t>Issue 16:</w:t>
      </w:r>
      <w:r>
        <w:rPr>
          <w:lang w:val="en-US"/>
        </w:rPr>
        <w:t xml:space="preserve"> In 38.420, add to exchange information on mIAB authorization status to 5.2.10.2 IAB Transport Migration function and 6.2.10 IAB procedures.</w:t>
      </w:r>
    </w:p>
    <w:p>
      <w:pPr>
        <w:numPr>
          <w:ilvl w:val="0"/>
          <w:numId w:val="6"/>
        </w:numPr>
        <w:snapToGrid w:val="0"/>
        <w:spacing w:before="120" w:after="120"/>
        <w:rPr>
          <w:lang w:val="en-US"/>
        </w:rPr>
      </w:pPr>
      <w:r>
        <w:rPr>
          <w:lang w:val="en-US"/>
        </w:rPr>
        <w:t>R3-240629 – Ericsson</w:t>
      </w:r>
    </w:p>
    <w:p>
      <w:pPr>
        <w:snapToGrid w:val="0"/>
        <w:spacing w:before="120" w:after="120"/>
        <w:rPr>
          <w:lang w:val="en-US"/>
        </w:rPr>
      </w:pPr>
      <w:r>
        <w:rPr>
          <w:lang w:val="en-US"/>
        </w:rPr>
        <w:t>Offline discussion was controversial whether every little bit of information would have to be included in the IA</w:t>
      </w:r>
    </w:p>
    <w:p>
      <w:pPr>
        <w:snapToGrid w:val="0"/>
        <w:spacing w:after="120"/>
        <w:rPr>
          <w:b/>
          <w:bCs/>
          <w:lang w:val="en-US"/>
        </w:rPr>
      </w:pPr>
      <w:r>
        <w:rPr>
          <w:b/>
          <w:bCs/>
          <w:highlight w:val="yellow"/>
          <w:lang w:val="en-US"/>
        </w:rPr>
        <w:t>Proposal 16</w:t>
      </w:r>
      <w:r>
        <w:rPr>
          <w:b/>
          <w:bCs/>
          <w:lang w:val="en-US"/>
        </w:rPr>
        <w:t>: Capture in 38.420 that TMM procedures convey IAB and mIAB authorization status, e.g., “… change information, e.g., mIAB authorization information”.</w:t>
      </w:r>
    </w:p>
    <w:p>
      <w:pPr>
        <w:snapToGrid w:val="0"/>
        <w:spacing w:after="120"/>
        <w:rPr>
          <w:color w:val="4472C4" w:themeColor="accent1"/>
          <w:lang w:val="en-US"/>
          <w14:textFill>
            <w14:solidFill>
              <w14:schemeClr w14:val="accent1"/>
            </w14:solidFill>
          </w14:textFill>
        </w:rPr>
      </w:pPr>
      <w:r>
        <w:rPr>
          <w:b/>
          <w:bCs/>
          <w:color w:val="FF0000"/>
          <w:lang w:val="en-US"/>
        </w:rPr>
        <w:t xml:space="preserve">[E///]: </w:t>
      </w:r>
      <w:r>
        <w:rPr>
          <w:color w:val="FF0000"/>
          <w:lang w:val="en-US"/>
        </w:rPr>
        <w:t xml:space="preserve">This is by no means a ”little bit of info” – this is one of the 3 information types exchanged by means of these procedures, the two of which are already mentioned. </w:t>
      </w:r>
    </w:p>
    <w:p>
      <w:pPr>
        <w:pStyle w:val="4"/>
        <w:rPr>
          <w:i/>
          <w:iCs/>
          <w:color w:val="4472C4" w:themeColor="accent1"/>
          <w:lang w:val="en-US"/>
          <w14:textFill>
            <w14:solidFill>
              <w14:schemeClr w14:val="accent1"/>
            </w14:solidFill>
          </w14:textFill>
        </w:rPr>
      </w:pPr>
      <w:r>
        <w:rPr>
          <w:highlight w:val="green"/>
          <w:lang w:val="en-US"/>
        </w:rPr>
        <w:t>Issue 17</w:t>
      </w:r>
      <w:r>
        <w:rPr>
          <w:lang w:val="en-US"/>
        </w:rPr>
        <w:t xml:space="preserve">: RRC-terminating CU to refuse IAB TMM request for offload if mIAB-MT is not authorized </w:t>
      </w:r>
    </w:p>
    <w:p>
      <w:pPr>
        <w:numPr>
          <w:ilvl w:val="0"/>
          <w:numId w:val="4"/>
        </w:numPr>
        <w:snapToGrid w:val="0"/>
        <w:spacing w:before="120" w:after="120"/>
        <w:rPr>
          <w:lang w:val="en-US"/>
        </w:rPr>
      </w:pPr>
      <w:r>
        <w:rPr>
          <w:lang w:val="en-US"/>
        </w:rPr>
        <w:t xml:space="preserve">R3-240178/R30240176 - CATT: Add in 38.423, that RRC-terminating CU to reject IAB TMM request for offload if mIAB-MT is not authorized. </w:t>
      </w:r>
    </w:p>
    <w:p>
      <w:pPr>
        <w:numPr>
          <w:ilvl w:val="0"/>
          <w:numId w:val="4"/>
        </w:numPr>
        <w:snapToGrid w:val="0"/>
        <w:spacing w:before="120" w:after="120"/>
        <w:rPr>
          <w:lang w:val="en-US"/>
        </w:rPr>
      </w:pPr>
      <w:r>
        <w:rPr>
          <w:lang w:val="en-US"/>
        </w:rPr>
        <w:t>R3-240427/28 - Nokia: Add in 38.423 to reject procedure new cause values for “no BH resource” and “non authorized”</w:t>
      </w:r>
    </w:p>
    <w:p>
      <w:pPr>
        <w:snapToGrid w:val="0"/>
        <w:spacing w:before="120" w:after="120"/>
        <w:rPr>
          <w:lang w:val="en-US"/>
        </w:rPr>
      </w:pPr>
      <w:r>
        <w:rPr>
          <w:lang w:val="en-US"/>
        </w:rPr>
        <w:t xml:space="preserve">The following scenarios are considered: </w:t>
      </w:r>
    </w:p>
    <w:p>
      <w:pPr>
        <w:pStyle w:val="72"/>
        <w:numPr>
          <w:ilvl w:val="0"/>
          <w:numId w:val="8"/>
        </w:numPr>
        <w:snapToGrid w:val="0"/>
        <w:spacing w:before="120" w:after="120"/>
        <w:rPr>
          <w:lang w:val="en-US"/>
        </w:rPr>
      </w:pPr>
      <w:r>
        <w:rPr>
          <w:lang w:val="en-US"/>
        </w:rPr>
        <w:t>The mIAB authorization status changes at MT handover (e.g., due to the MT’s new location) to “not authorized”. After the HO, the DU’s CU initiates the TMManagement procedure with an traffic offload request. Presently, the MT’s CU would not be able to reject this offload request since there is no appropriate cause value. Therefore, the MT’s CU would have to accept the offload request and send the TMModification Request afterwards with the new authorization status. To avoid this extra step, it is proposed to add a “mIAB-node not authorized” cause value to the traffic offload rejection.</w:t>
      </w:r>
    </w:p>
    <w:p>
      <w:pPr>
        <w:pStyle w:val="72"/>
        <w:numPr>
          <w:ilvl w:val="0"/>
          <w:numId w:val="8"/>
        </w:numPr>
        <w:snapToGrid w:val="0"/>
        <w:spacing w:before="120" w:after="120"/>
        <w:rPr>
          <w:lang w:val="en-US"/>
        </w:rPr>
      </w:pPr>
      <w:r>
        <w:rPr>
          <w:lang w:val="en-US"/>
        </w:rPr>
        <w:t>In case the DU’s CU request traffic offload and there are no radio resources, the MT’s CU should be able to reject the traffic offload with a cause value.</w:t>
      </w:r>
    </w:p>
    <w:p>
      <w:pPr>
        <w:snapToGrid w:val="0"/>
        <w:spacing w:before="120" w:after="120"/>
        <w:rPr>
          <w:lang w:val="en-US"/>
        </w:rPr>
      </w:pPr>
      <w:r>
        <w:rPr>
          <w:lang w:val="en-US"/>
        </w:rPr>
        <w:t xml:space="preserve">The following points were discussed: </w:t>
      </w:r>
    </w:p>
    <w:p>
      <w:pPr>
        <w:pStyle w:val="72"/>
        <w:numPr>
          <w:ilvl w:val="0"/>
          <w:numId w:val="5"/>
        </w:numPr>
        <w:snapToGrid w:val="0"/>
        <w:spacing w:before="120" w:after="120"/>
        <w:rPr>
          <w:lang w:val="en-US"/>
        </w:rPr>
      </w:pPr>
      <w:r>
        <w:rPr>
          <w:lang w:val="en-US"/>
        </w:rPr>
        <w:t>For (2), whether we can use an existing cause value (“no radio resources available”), which is not BH related.</w:t>
      </w:r>
    </w:p>
    <w:p>
      <w:pPr>
        <w:pStyle w:val="72"/>
        <w:numPr>
          <w:ilvl w:val="0"/>
          <w:numId w:val="5"/>
        </w:numPr>
        <w:snapToGrid w:val="0"/>
        <w:spacing w:before="120" w:after="120"/>
        <w:rPr>
          <w:lang w:val="en-US"/>
        </w:rPr>
      </w:pPr>
      <w:r>
        <w:rPr>
          <w:lang w:val="en-US"/>
        </w:rPr>
        <w:t>Whether there is potential impact on Rel-16/17 IAB.</w:t>
      </w:r>
    </w:p>
    <w:p>
      <w:pPr>
        <w:pStyle w:val="72"/>
        <w:numPr>
          <w:ilvl w:val="0"/>
          <w:numId w:val="5"/>
        </w:numPr>
        <w:snapToGrid w:val="0"/>
        <w:spacing w:before="120" w:after="120"/>
        <w:rPr>
          <w:lang w:val="en-US"/>
        </w:rPr>
      </w:pPr>
      <w:r>
        <w:rPr>
          <w:lang w:val="en-US"/>
        </w:rPr>
        <w:t>Whether there is potential impact on F1AP.</w:t>
      </w:r>
    </w:p>
    <w:p>
      <w:pPr>
        <w:snapToGrid w:val="0"/>
        <w:spacing w:before="120" w:after="120"/>
        <w:rPr>
          <w:lang w:val="en-US"/>
        </w:rPr>
      </w:pPr>
      <w:r>
        <w:rPr>
          <w:lang w:val="en-US"/>
        </w:rPr>
        <w:t>This would require more discussion.</w:t>
      </w:r>
    </w:p>
    <w:p>
      <w:pPr>
        <w:snapToGrid w:val="0"/>
        <w:spacing w:before="120" w:after="120"/>
        <w:rPr>
          <w:b/>
          <w:bCs/>
          <w:highlight w:val="yellow"/>
          <w:lang w:val="en-US"/>
        </w:rPr>
      </w:pPr>
    </w:p>
    <w:p>
      <w:pPr>
        <w:snapToGrid w:val="0"/>
        <w:spacing w:before="120" w:after="120"/>
        <w:rPr>
          <w:b/>
          <w:bCs/>
          <w:lang w:val="en-US"/>
        </w:rPr>
      </w:pPr>
      <w:r>
        <w:rPr>
          <w:b/>
          <w:bCs/>
          <w:highlight w:val="yellow"/>
          <w:lang w:val="en-US"/>
        </w:rPr>
        <w:t>Proposal 17:</w:t>
      </w:r>
      <w:r>
        <w:rPr>
          <w:b/>
          <w:bCs/>
          <w:lang w:val="en-US"/>
        </w:rPr>
        <w:t xml:space="preserve"> Discuss new cause values to be used in TMManagement Reject for “no radio resources available for BH” and “mIAB-node not authorized”. Check potential impact on Rel-16/17 IAB. Check potential impact on F1AP.</w:t>
      </w:r>
    </w:p>
    <w:p>
      <w:pPr>
        <w:snapToGrid w:val="0"/>
        <w:spacing w:before="120" w:after="120"/>
        <w:rPr>
          <w:bCs/>
          <w:color w:val="C55A11" w:themeColor="accent2" w:themeShade="BF"/>
          <w:lang w:val="en-US" w:eastAsia="zh-CN"/>
        </w:rPr>
      </w:pPr>
      <w:r>
        <w:rPr>
          <w:rFonts w:hint="eastAsia"/>
          <w:bCs/>
          <w:color w:val="C55A11" w:themeColor="accent2" w:themeShade="BF"/>
          <w:lang w:val="en-US" w:eastAsia="zh-CN"/>
        </w:rPr>
        <w:t>[</w:t>
      </w:r>
      <w:r>
        <w:rPr>
          <w:bCs/>
          <w:color w:val="C55A11" w:themeColor="accent2" w:themeShade="BF"/>
          <w:lang w:val="en-US" w:eastAsia="zh-CN"/>
        </w:rPr>
        <w:t xml:space="preserve">Huawei]: It is unclear to me why we need check the previous release in Rel-18 Agenda Item? What is the impact to F1AP on the TMM reject? Would like to suggest the following change </w:t>
      </w:r>
    </w:p>
    <w:p>
      <w:pPr>
        <w:snapToGrid w:val="0"/>
        <w:spacing w:before="120" w:after="120"/>
        <w:rPr>
          <w:ins w:id="220" w:author="CATT" w:date="2024-02-27T19:03:00Z"/>
          <w:b/>
          <w:bCs/>
          <w:lang w:val="en-US"/>
        </w:rPr>
      </w:pPr>
      <w:r>
        <w:rPr>
          <w:b/>
          <w:bCs/>
          <w:lang w:val="en-US"/>
        </w:rPr>
        <w:t xml:space="preserve">Proposal 17: Discuss new cause values to be used in TMManagement Reject for “no radio resources available for BH” and “mIAB-node not authorized”. </w:t>
      </w:r>
      <w:del w:id="221" w:author="Huawei" w:date="2024-02-27T16:10:00Z">
        <w:r>
          <w:rPr>
            <w:b/>
            <w:bCs/>
            <w:lang w:val="en-US"/>
          </w:rPr>
          <w:delText>Check potential impact on Rel-16/17 IAB. Check potential impact on F1AP.</w:delText>
        </w:r>
      </w:del>
    </w:p>
    <w:p>
      <w:pPr>
        <w:snapToGrid w:val="0"/>
        <w:spacing w:before="120" w:after="120"/>
        <w:rPr>
          <w:ins w:id="222" w:author="CATT" w:date="2024-02-27T19:03:00Z"/>
          <w:lang w:val="en-US" w:eastAsia="zh-CN"/>
        </w:rPr>
      </w:pPr>
      <w:ins w:id="223" w:author="CATT" w:date="2024-02-27T19:03:00Z">
        <w:r>
          <w:rPr>
            <w:rFonts w:hint="eastAsia"/>
            <w:lang w:val="en-US" w:eastAsia="zh-CN"/>
          </w:rPr>
          <w:t>[</w:t>
        </w:r>
      </w:ins>
      <w:ins w:id="224" w:author="CATT" w:date="2024-02-27T19:03:00Z">
        <w:r>
          <w:rPr>
            <w:lang w:val="en-US" w:eastAsia="zh-CN"/>
          </w:rPr>
          <w:t>CATT]: If we consider cause values, it does not make sense to only introduce values for such two cases.</w:t>
        </w:r>
      </w:ins>
    </w:p>
    <w:p>
      <w:pPr>
        <w:snapToGrid w:val="0"/>
        <w:spacing w:before="120" w:after="120"/>
        <w:rPr>
          <w:ins w:id="225" w:author="CATT" w:date="2024-02-27T19:03:00Z"/>
          <w:lang w:val="en-US" w:eastAsia="zh-CN"/>
        </w:rPr>
      </w:pPr>
      <w:ins w:id="226" w:author="CATT" w:date="2024-02-27T19:03:00Z">
        <w:r>
          <w:rPr>
            <w:lang w:val="en-US" w:eastAsia="zh-CN"/>
          </w:rPr>
          <w:t>On the other hand, if the mIAB-node is not authorized, after the MT’s CU reject the offload request, it can send the TMModification Request with “not authorized” information to the DU’s CU immediately, then the DU’s CU will know that the rejection received before is due to mIAB-node not being authorized. Alternatively, the TMM Reject message can carry the authorized status.</w:t>
        </w:r>
      </w:ins>
    </w:p>
    <w:p>
      <w:pPr>
        <w:snapToGrid w:val="0"/>
        <w:spacing w:before="120" w:after="120"/>
        <w:rPr>
          <w:ins w:id="227" w:author="CATT" w:date="2024-02-27T19:03:00Z"/>
          <w:lang w:val="en-US" w:eastAsia="zh-CN"/>
        </w:rPr>
      </w:pPr>
      <w:ins w:id="228" w:author="CATT" w:date="2024-02-27T19:03:00Z">
        <w:r>
          <w:rPr>
            <w:lang w:val="en-US" w:eastAsia="zh-CN"/>
          </w:rPr>
          <w:t xml:space="preserve">We need to capture that </w:t>
        </w:r>
      </w:ins>
      <w:ins w:id="229" w:author="CATT" w:date="2024-02-27T19:03:00Z">
        <w:r>
          <w:rPr>
            <w:lang w:val="en-US"/>
          </w:rPr>
          <w:t>MT’s CU may reject IAB TMM request for offload when mIAB-MT is not authorized</w:t>
        </w:r>
      </w:ins>
      <w:ins w:id="230" w:author="CATT" w:date="2024-02-27T19:03:00Z">
        <w:r>
          <w:rPr>
            <w:lang w:val="en-US" w:eastAsia="zh-CN"/>
          </w:rPr>
          <w:t>. Or, we introduce authorization status IE in the TMM Reject message.</w:t>
        </w:r>
      </w:ins>
    </w:p>
    <w:p>
      <w:pPr>
        <w:snapToGrid w:val="0"/>
        <w:spacing w:before="120" w:after="120"/>
        <w:rPr>
          <w:b/>
          <w:bCs/>
          <w:lang w:val="en-US"/>
        </w:rPr>
      </w:pPr>
      <w:ins w:id="231" w:author="CATT" w:date="2024-02-27T19:03:00Z">
        <w:r>
          <w:rPr>
            <w:rFonts w:hint="eastAsia"/>
            <w:b/>
            <w:bCs/>
            <w:lang w:val="en-US" w:eastAsia="zh-CN"/>
          </w:rPr>
          <w:t>P</w:t>
        </w:r>
      </w:ins>
      <w:ins w:id="232" w:author="CATT" w:date="2024-02-27T19:03:00Z">
        <w:r>
          <w:rPr>
            <w:b/>
            <w:bCs/>
            <w:lang w:val="en-US" w:eastAsia="zh-CN"/>
          </w:rPr>
          <w:t xml:space="preserve">17: Capture in spec that </w:t>
        </w:r>
      </w:ins>
      <w:ins w:id="233" w:author="CATT" w:date="2024-02-27T19:03:00Z">
        <w:r>
          <w:rPr>
            <w:b/>
            <w:bCs/>
            <w:lang w:val="en-US"/>
          </w:rPr>
          <w:t>RRC-terminating CU may reject IAB TMM request for offload if mIAB-MT is not authorized, or introduce authorization status IE in the TMM Reject message.</w:t>
        </w:r>
      </w:ins>
    </w:p>
    <w:p>
      <w:pPr>
        <w:snapToGrid w:val="0"/>
        <w:spacing w:before="120" w:after="120"/>
        <w:rPr>
          <w:b/>
          <w:bCs/>
          <w:lang w:val="en-US"/>
        </w:rPr>
      </w:pPr>
      <w:r>
        <w:rPr>
          <w:b/>
          <w:bCs/>
          <w:color w:val="FF0000"/>
          <w:lang w:val="en-US"/>
        </w:rPr>
        <w:t xml:space="preserve">[E///]: </w:t>
      </w:r>
      <w:r>
        <w:rPr>
          <w:color w:val="FF0000"/>
          <w:lang w:val="en-US"/>
        </w:rPr>
        <w:t>Wrt CATT’s comment, the REJECT messages usually only carry node IDs (if needed) and cause values. Wrt “no BH resources available”, isn’t it so that the resources established towards the MT for carrying BH traffic are radio resources? I am trying to understand what is special in the present case wrt legacy cause value (“no radio resources”).</w:t>
      </w:r>
    </w:p>
    <w:p>
      <w:pPr>
        <w:pStyle w:val="4"/>
        <w:rPr>
          <w:lang w:val="en-US"/>
        </w:rPr>
      </w:pPr>
      <w:r>
        <w:rPr>
          <w:highlight w:val="green"/>
          <w:lang w:val="en-US"/>
        </w:rPr>
        <w:t>Issue 18 – not discussed during offline</w:t>
      </w:r>
      <w:r>
        <w:rPr>
          <w:lang w:val="en-US"/>
        </w:rPr>
        <w:t>: In 38.401, clarify under IAB and mIAB integration procedures, that the (m)IAB-indication in Msg5 also indicates “operation as (m)IAB-node”</w:t>
      </w:r>
    </w:p>
    <w:p>
      <w:pPr>
        <w:numPr>
          <w:ilvl w:val="0"/>
          <w:numId w:val="4"/>
        </w:numPr>
        <w:snapToGrid w:val="0"/>
        <w:spacing w:before="120" w:after="120"/>
        <w:rPr>
          <w:color w:val="4472C4" w:themeColor="accent1"/>
          <w:lang w:val="en-US"/>
          <w14:textFill>
            <w14:solidFill>
              <w14:schemeClr w14:val="accent1"/>
            </w14:solidFill>
          </w14:textFill>
        </w:rPr>
      </w:pPr>
      <w:r>
        <w:rPr>
          <w:lang w:val="en-US"/>
        </w:rPr>
        <w:t xml:space="preserve">R3-240177 - CATT </w:t>
      </w:r>
    </w:p>
    <w:p>
      <w:pPr>
        <w:pStyle w:val="51"/>
        <w:ind w:left="284" w:firstLine="0"/>
      </w:pPr>
      <w:r>
        <w:rPr>
          <w:lang w:val="en-US"/>
        </w:rPr>
        <w:t>38300 already includes: “</w:t>
      </w:r>
      <w:r>
        <w:t xml:space="preserve">A RAN node operating as a mobile IAB-node shall not concurrently operate as an IAB-node. During network integration, the RAN node shall indicate whether it intends to </w:t>
      </w:r>
      <w:r>
        <w:rPr>
          <w:i/>
          <w:iCs/>
          <w:u w:val="single"/>
        </w:rPr>
        <w:t>operate</w:t>
      </w:r>
      <w:r>
        <w:t xml:space="preserve"> as a mobile IAB-node or as an IAB-node via an indicator in the </w:t>
      </w:r>
      <w:r>
        <w:rPr>
          <w:i/>
          <w:iCs/>
        </w:rPr>
        <w:t>RRCSetupComplete</w:t>
      </w:r>
      <w:r>
        <w:t xml:space="preserve"> message.”</w:t>
      </w:r>
    </w:p>
    <w:p>
      <w:pPr>
        <w:snapToGrid w:val="0"/>
        <w:spacing w:before="120" w:after="120"/>
        <w:rPr>
          <w:b/>
          <w:bCs/>
          <w:lang w:val="en-US"/>
        </w:rPr>
      </w:pPr>
      <w:r>
        <w:rPr>
          <w:b/>
          <w:bCs/>
          <w:highlight w:val="yellow"/>
          <w:lang w:val="en-US"/>
        </w:rPr>
        <w:t>No proposal.</w:t>
      </w:r>
    </w:p>
    <w:p>
      <w:pPr>
        <w:snapToGrid w:val="0"/>
        <w:spacing w:before="120" w:after="120"/>
        <w:rPr>
          <w:b/>
          <w:bCs/>
          <w:lang w:val="en-US"/>
        </w:rPr>
      </w:pPr>
    </w:p>
    <w:p>
      <w:pPr>
        <w:pStyle w:val="4"/>
        <w:rPr>
          <w:lang w:val="en-US"/>
        </w:rPr>
      </w:pPr>
      <w:r>
        <w:rPr>
          <w:highlight w:val="green"/>
          <w:lang w:val="en-US"/>
        </w:rPr>
        <w:t>Issue 19 – not discussed during offline</w:t>
      </w:r>
      <w:r>
        <w:rPr>
          <w:lang w:val="en-US"/>
        </w:rPr>
        <w:t>: In 38.401, add to migration of mobile IAB-MT via Xn the NOTE that Xn-based signaling is up to implementation in absence of Xn interface between MT’s CU and DU’s CU.</w:t>
      </w:r>
    </w:p>
    <w:p>
      <w:pPr>
        <w:numPr>
          <w:ilvl w:val="0"/>
          <w:numId w:val="4"/>
        </w:numPr>
        <w:snapToGrid w:val="0"/>
        <w:spacing w:before="120" w:after="120"/>
        <w:rPr>
          <w:color w:val="4472C4" w:themeColor="accent1"/>
          <w:lang w:val="en-US"/>
          <w14:textFill>
            <w14:solidFill>
              <w14:schemeClr w14:val="accent1"/>
            </w14:solidFill>
          </w14:textFill>
        </w:rPr>
      </w:pPr>
      <w:r>
        <w:rPr>
          <w:lang w:val="en-US"/>
        </w:rPr>
        <w:t>R3-240177 – CATT</w:t>
      </w:r>
    </w:p>
    <w:p>
      <w:pPr>
        <w:snapToGrid w:val="0"/>
        <w:spacing w:before="120" w:after="120"/>
        <w:rPr>
          <w:lang w:val="en-US"/>
        </w:rPr>
      </w:pPr>
      <w:r>
        <w:rPr>
          <w:lang w:val="en-US"/>
        </w:rPr>
        <w:t>38.401 already contains multiple NOTEs for mIAB that operation in absence of Xn is up to implementation. This tdoc aims to add such a NOTE also to Xn-based MT migration with respect to Xn between DU’s CU and MT’s CU.</w:t>
      </w:r>
    </w:p>
    <w:p>
      <w:pPr>
        <w:snapToGrid w:val="0"/>
        <w:spacing w:before="120" w:after="120"/>
        <w:rPr>
          <w:ins w:id="234" w:author="CATT" w:date="2024-02-27T19:04:00Z"/>
          <w:b/>
          <w:bCs/>
          <w:lang w:val="en-US"/>
        </w:rPr>
      </w:pPr>
      <w:r>
        <w:rPr>
          <w:b/>
          <w:bCs/>
          <w:highlight w:val="yellow"/>
          <w:lang w:val="en-US"/>
        </w:rPr>
        <w:t>Potential proposal 19:</w:t>
      </w:r>
      <w:r>
        <w:rPr>
          <w:lang w:val="en-US"/>
        </w:rPr>
        <w:t xml:space="preserve"> </w:t>
      </w:r>
      <w:r>
        <w:rPr>
          <w:b/>
          <w:bCs/>
          <w:lang w:val="en-US"/>
        </w:rPr>
        <w:t>In 38.401, add to migration of mobile IAB-MT via Xn the NOTE that Xn-based signaling is up to implementation in absence of Xn interface between MT’s CU and DU’s CU.</w:t>
      </w:r>
    </w:p>
    <w:p>
      <w:pPr>
        <w:snapToGrid w:val="0"/>
        <w:spacing w:before="120" w:after="120"/>
        <w:rPr>
          <w:ins w:id="235" w:author="CATT" w:date="2024-02-27T19:04:00Z"/>
          <w:lang w:val="en-US" w:eastAsia="zh-CN"/>
        </w:rPr>
      </w:pPr>
      <w:ins w:id="236" w:author="CATT" w:date="2024-02-27T19:04:00Z">
        <w:r>
          <w:rPr>
            <w:rFonts w:hint="eastAsia"/>
            <w:lang w:val="en-US" w:eastAsia="zh-CN"/>
          </w:rPr>
          <w:t>[</w:t>
        </w:r>
      </w:ins>
      <w:ins w:id="237" w:author="CATT" w:date="2024-02-27T19:04:00Z">
        <w:r>
          <w:rPr>
            <w:lang w:val="en-US" w:eastAsia="zh-CN"/>
          </w:rPr>
          <w:t xml:space="preserve">CATT]: We have the similar NOTE in DU migration and MT migration via NG HO, whereas, the note for MT migration via Xn HO is missing. </w:t>
        </w:r>
      </w:ins>
    </w:p>
    <w:p>
      <w:pPr>
        <w:snapToGrid w:val="0"/>
        <w:spacing w:before="120" w:after="120"/>
        <w:rPr>
          <w:lang w:val="en-US"/>
        </w:rPr>
      </w:pPr>
    </w:p>
    <w:p>
      <w:pPr>
        <w:snapToGrid w:val="0"/>
        <w:spacing w:before="120" w:after="120"/>
        <w:rPr>
          <w:b/>
          <w:bCs/>
          <w:lang w:val="en-US"/>
        </w:rPr>
      </w:pPr>
    </w:p>
    <w:p>
      <w:pPr>
        <w:pStyle w:val="4"/>
        <w:rPr>
          <w:lang w:val="en-US"/>
        </w:rPr>
      </w:pPr>
      <w:r>
        <w:rPr>
          <w:highlight w:val="green"/>
          <w:lang w:val="en-US"/>
        </w:rPr>
        <w:t>Issue 20 – not discussed during offline</w:t>
      </w:r>
      <w:r>
        <w:rPr>
          <w:lang w:val="en-US"/>
        </w:rPr>
        <w:t>: In 38.401, add in multiple occasions that signaling between F1- and RRC-terminating IAB-donors only applies if these donors are not the same.</w:t>
      </w:r>
    </w:p>
    <w:p>
      <w:pPr>
        <w:numPr>
          <w:ilvl w:val="0"/>
          <w:numId w:val="4"/>
        </w:numPr>
        <w:snapToGrid w:val="0"/>
        <w:spacing w:before="120" w:after="120"/>
        <w:rPr>
          <w:lang w:val="en-US"/>
        </w:rPr>
      </w:pPr>
      <w:r>
        <w:rPr>
          <w:lang w:val="en-US"/>
        </w:rPr>
        <w:t xml:space="preserve">R3-240177 - CATT. </w:t>
      </w:r>
    </w:p>
    <w:p>
      <w:pPr>
        <w:snapToGrid w:val="0"/>
        <w:spacing w:before="120" w:after="120"/>
      </w:pPr>
      <w:r>
        <w:t>The rapporteur believes that this is not needed since obvious.</w:t>
      </w:r>
    </w:p>
    <w:p>
      <w:pPr>
        <w:snapToGrid w:val="0"/>
        <w:spacing w:before="120" w:after="120"/>
        <w:rPr>
          <w:ins w:id="238" w:author="CATT" w:date="2024-02-27T19:04:00Z"/>
          <w:b/>
          <w:bCs/>
          <w:lang w:val="en-US"/>
        </w:rPr>
      </w:pPr>
      <w:r>
        <w:rPr>
          <w:b/>
          <w:bCs/>
          <w:highlight w:val="yellow"/>
          <w:lang w:val="en-US"/>
        </w:rPr>
        <w:t>No proposal.</w:t>
      </w:r>
    </w:p>
    <w:p>
      <w:pPr>
        <w:snapToGrid w:val="0"/>
        <w:spacing w:before="120" w:after="120"/>
        <w:rPr>
          <w:b/>
          <w:bCs/>
          <w:lang w:val="en-US"/>
        </w:rPr>
      </w:pPr>
      <w:ins w:id="239" w:author="CATT" w:date="2024-02-27T19:04:00Z">
        <w:r>
          <w:rPr>
            <w:rFonts w:hint="eastAsia"/>
            <w:lang w:val="en-US" w:eastAsia="zh-CN"/>
          </w:rPr>
          <w:t>[</w:t>
        </w:r>
      </w:ins>
      <w:ins w:id="240" w:author="CATT" w:date="2024-02-27T19:04:00Z">
        <w:r>
          <w:rPr>
            <w:lang w:val="en-US" w:eastAsia="zh-CN"/>
          </w:rPr>
          <w:t>CATT]: We believe this should be made clear because different cases are involved in each relative procedure.</w:t>
        </w:r>
      </w:ins>
    </w:p>
    <w:p>
      <w:pPr>
        <w:snapToGrid w:val="0"/>
        <w:spacing w:before="120" w:after="120"/>
      </w:pPr>
    </w:p>
    <w:p>
      <w:pPr>
        <w:pStyle w:val="4"/>
        <w:rPr>
          <w:lang w:val="en-US"/>
        </w:rPr>
      </w:pPr>
      <w:r>
        <w:rPr>
          <w:highlight w:val="green"/>
          <w:lang w:val="en-US"/>
        </w:rPr>
        <w:t>Issue 21 – not discussed during offline</w:t>
      </w:r>
      <w:r>
        <w:rPr>
          <w:lang w:val="en-US"/>
        </w:rPr>
        <w:t>: In 38.423, differentiate in gNB-DU Configuration Update whether only BAP address is provided or both, BAP address and gNB ID.</w:t>
      </w:r>
      <w:r>
        <w:rPr>
          <w:i/>
          <w:iCs/>
          <w:color w:val="4472C4" w:themeColor="accent1"/>
          <w:lang w:val="en-US"/>
          <w14:textFill>
            <w14:solidFill>
              <w14:schemeClr w14:val="accent1"/>
            </w14:solidFill>
          </w14:textFill>
        </w:rPr>
        <w:t>.</w:t>
      </w:r>
    </w:p>
    <w:p>
      <w:pPr>
        <w:numPr>
          <w:ilvl w:val="0"/>
          <w:numId w:val="3"/>
        </w:numPr>
        <w:snapToGrid w:val="0"/>
        <w:spacing w:after="120"/>
        <w:rPr>
          <w:lang w:val="en-US"/>
        </w:rPr>
      </w:pPr>
      <w:r>
        <w:rPr>
          <w:lang w:val="en-US"/>
        </w:rPr>
        <w:t>R3-240179 - CATT</w:t>
      </w:r>
    </w:p>
    <w:p>
      <w:pPr>
        <w:snapToGrid w:val="0"/>
        <w:spacing w:before="120" w:after="120"/>
      </w:pPr>
      <w:r>
        <w:t>The rapporteur believes that this IE is only used when both BAP address and gNB ID are updated.</w:t>
      </w:r>
    </w:p>
    <w:p>
      <w:pPr>
        <w:snapToGrid w:val="0"/>
        <w:spacing w:before="120" w:after="120"/>
        <w:rPr>
          <w:b/>
          <w:bCs/>
          <w:lang w:val="en-US"/>
        </w:rPr>
      </w:pPr>
      <w:r>
        <w:rPr>
          <w:b/>
          <w:bCs/>
          <w:highlight w:val="yellow"/>
          <w:lang w:val="en-US"/>
        </w:rPr>
        <w:t>No proposal.</w:t>
      </w:r>
    </w:p>
    <w:p>
      <w:pPr>
        <w:snapToGrid w:val="0"/>
        <w:spacing w:after="120"/>
        <w:rPr>
          <w:ins w:id="241" w:author="CATT" w:date="2024-02-27T19:05:00Z"/>
          <w:lang w:eastAsia="zh-CN"/>
        </w:rPr>
      </w:pPr>
      <w:ins w:id="242" w:author="CATT" w:date="2024-02-27T19:05:00Z">
        <w:r>
          <w:rPr>
            <w:rFonts w:hint="eastAsia"/>
            <w:lang w:eastAsia="zh-CN"/>
          </w:rPr>
          <w:t>[</w:t>
        </w:r>
      </w:ins>
      <w:ins w:id="243" w:author="CATT" w:date="2024-02-27T19:05:00Z">
        <w:r>
          <w:rPr>
            <w:lang w:eastAsia="zh-CN"/>
          </w:rPr>
          <w:t xml:space="preserve">CATT]: There is case where only BAP address is needed, i.e., the target MT’s CU is the same as DU’s CU and in that case TMM procedure is not necessary. However, 473 captures that: </w:t>
        </w:r>
      </w:ins>
    </w:p>
    <w:p>
      <w:pPr>
        <w:snapToGrid w:val="0"/>
        <w:spacing w:after="120"/>
        <w:rPr>
          <w:ins w:id="244" w:author="CATT" w:date="2024-02-27T19:05:00Z"/>
          <w:lang w:eastAsia="zh-CN"/>
        </w:rPr>
      </w:pPr>
      <w:ins w:id="245" w:author="CATT" w:date="2024-02-27T19:05:00Z">
        <w:r>
          <w:rPr>
            <w:snapToGrid w:val="0"/>
          </w:rPr>
          <w:t xml:space="preserve">“If the </w:t>
        </w:r>
      </w:ins>
      <w:ins w:id="246" w:author="CATT" w:date="2024-02-27T19:05:00Z">
        <w:r>
          <w:rPr>
            <w:rFonts w:cs="Arial"/>
            <w:i/>
            <w:iCs/>
            <w:szCs w:val="18"/>
          </w:rPr>
          <w:t>RRC Terminating IAB-Donor Related Info</w:t>
        </w:r>
      </w:ins>
      <w:ins w:id="247" w:author="CATT" w:date="2024-02-27T19:05:00Z">
        <w:r>
          <w:rPr>
            <w:snapToGrid w:val="0"/>
          </w:rPr>
          <w:t xml:space="preserve"> IE is included in the </w:t>
        </w:r>
      </w:ins>
      <w:ins w:id="248" w:author="CATT" w:date="2024-02-27T19:05:00Z">
        <w:r>
          <w:rPr/>
          <w:t xml:space="preserve">GNB-DU CONFIGURATION UPDATE message, the </w:t>
        </w:r>
      </w:ins>
      <w:ins w:id="249" w:author="CATT" w:date="2024-02-27T19:05:00Z">
        <w:r>
          <w:rPr>
            <w:snapToGrid w:val="0"/>
          </w:rPr>
          <w:t>gNB-CU shall, if supported,…</w:t>
        </w:r>
      </w:ins>
      <w:ins w:id="250" w:author="CATT" w:date="2024-02-27T19:05:00Z">
        <w:r>
          <w:rPr>
            <w:rFonts w:cs="Arial"/>
            <w:szCs w:val="18"/>
          </w:rPr>
          <w:t xml:space="preserve">, and it shall </w:t>
        </w:r>
      </w:ins>
      <w:ins w:id="251" w:author="CATT" w:date="2024-02-27T19:05:00Z">
        <w:r>
          <w:rPr>
            <w:b/>
            <w:bCs/>
            <w:snapToGrid w:val="0"/>
          </w:rPr>
          <w:t xml:space="preserve">use this  BAP address and gNB ID for the subsequent </w:t>
        </w:r>
      </w:ins>
      <w:ins w:id="252" w:author="CATT" w:date="2024-02-27T19:05:00Z">
        <w:r>
          <w:rPr>
            <w:b/>
            <w:bCs/>
          </w:rPr>
          <w:t>IAB Transport Migration Management procedure</w:t>
        </w:r>
      </w:ins>
      <w:ins w:id="253" w:author="CATT" w:date="2024-02-27T19:05:00Z">
        <w:r>
          <w:rPr>
            <w:snapToGrid w:val="0"/>
          </w:rPr>
          <w:t xml:space="preserve"> towards the RRC-terminating IAB-donor of the mobile IAB-node,…”</w:t>
        </w:r>
      </w:ins>
    </w:p>
    <w:p>
      <w:pPr>
        <w:snapToGrid w:val="0"/>
        <w:spacing w:after="120"/>
      </w:pPr>
    </w:p>
    <w:p>
      <w:pPr>
        <w:snapToGrid w:val="0"/>
        <w:spacing w:after="120"/>
        <w:rPr>
          <w:color w:val="FF0000"/>
          <w:lang w:val="en-US"/>
        </w:rPr>
      </w:pPr>
      <w:r>
        <w:rPr>
          <w:b/>
          <w:bCs/>
          <w:color w:val="FF0000"/>
          <w:lang w:val="en-US"/>
        </w:rPr>
        <w:t xml:space="preserve">[E///]: </w:t>
      </w:r>
      <w:r>
        <w:rPr>
          <w:color w:val="FF0000"/>
          <w:lang w:val="en-US"/>
        </w:rPr>
        <w:t>Agree with CATT.</w:t>
      </w:r>
    </w:p>
    <w:p>
      <w:pPr>
        <w:snapToGrid w:val="0"/>
        <w:spacing w:after="120"/>
        <w:rPr>
          <w:b/>
          <w:bCs/>
          <w:lang w:val="en-US"/>
        </w:rPr>
      </w:pPr>
    </w:p>
    <w:p>
      <w:pPr>
        <w:pStyle w:val="4"/>
        <w:rPr>
          <w:lang w:val="en-US"/>
        </w:rPr>
      </w:pPr>
      <w:r>
        <w:rPr>
          <w:highlight w:val="green"/>
          <w:lang w:val="en-US"/>
        </w:rPr>
        <w:t>Issue 22 – not discussed during offline</w:t>
      </w:r>
      <w:r>
        <w:rPr>
          <w:lang w:val="en-US"/>
        </w:rPr>
        <w:t>: In 38.473, clarify for gNB-DU Config Update that for mIAB-nodes, the gNB-DU applies mIAB-DU and the gNB-CU to donor-CU</w:t>
      </w:r>
    </w:p>
    <w:p>
      <w:pPr>
        <w:numPr>
          <w:ilvl w:val="0"/>
          <w:numId w:val="6"/>
        </w:numPr>
        <w:snapToGrid w:val="0"/>
        <w:spacing w:before="120" w:after="120"/>
        <w:rPr>
          <w:lang w:val="en-US"/>
        </w:rPr>
      </w:pPr>
      <w:r>
        <w:rPr>
          <w:lang w:val="en-US"/>
        </w:rPr>
        <w:t>R3-240412 – Xiaomi: Add “</w:t>
      </w:r>
      <w:r>
        <w:rPr>
          <w:i/>
          <w:iCs/>
          <w:lang w:val="en-US"/>
        </w:rPr>
        <w:t>NOTE:</w:t>
      </w:r>
      <w:r>
        <w:rPr>
          <w:i/>
          <w:iCs/>
          <w:lang w:val="en-US"/>
        </w:rPr>
        <w:tab/>
      </w:r>
      <w:r>
        <w:rPr>
          <w:i/>
          <w:iCs/>
          <w:lang w:val="en-US"/>
        </w:rPr>
        <w:t xml:space="preserve">This procedure is applicable for mobile IAB-nodes, where the term "gNB-DU" applies to a mobile IAB-DU, and the term "gNB-CU" applies to a F1-terminating IAB-donor-CU.”  </w:t>
      </w:r>
    </w:p>
    <w:p>
      <w:pPr>
        <w:snapToGrid w:val="0"/>
        <w:spacing w:before="120" w:after="120"/>
      </w:pPr>
      <w:r>
        <w:t>The rapporteur believes that this clarification was not added for Rel-16/17 IAB-DU. It would therefore be inconsistent to introduce it only for mIAB.</w:t>
      </w:r>
    </w:p>
    <w:p>
      <w:pPr>
        <w:snapToGrid w:val="0"/>
        <w:spacing w:before="120" w:after="120"/>
        <w:rPr>
          <w:b/>
          <w:bCs/>
          <w:lang w:val="en-US"/>
        </w:rPr>
      </w:pPr>
      <w:r>
        <w:rPr>
          <w:b/>
          <w:bCs/>
          <w:highlight w:val="yellow"/>
          <w:lang w:val="en-US"/>
        </w:rPr>
        <w:t>No proposal.</w:t>
      </w:r>
    </w:p>
    <w:p>
      <w:pPr>
        <w:snapToGrid w:val="0"/>
        <w:spacing w:before="120" w:after="120"/>
        <w:rPr>
          <w:color w:val="FF0000"/>
          <w:lang w:val="en-US"/>
        </w:rPr>
      </w:pPr>
      <w:r>
        <w:rPr>
          <w:b/>
          <w:bCs/>
          <w:color w:val="FF0000"/>
          <w:lang w:val="en-US"/>
        </w:rPr>
        <w:t xml:space="preserve">[E///]: </w:t>
      </w:r>
      <w:r>
        <w:rPr>
          <w:color w:val="FF0000"/>
          <w:lang w:val="en-US"/>
        </w:rPr>
        <w:t>Similar notes exist in TS 38.473 for Rel16/17 IAB-DU:</w:t>
      </w:r>
    </w:p>
    <w:p>
      <w:pPr>
        <w:snapToGrid w:val="0"/>
        <w:spacing w:before="120" w:after="120"/>
        <w:rPr>
          <w:color w:val="FF0000"/>
          <w:lang w:val="en-US"/>
        </w:rPr>
      </w:pPr>
      <w:r>
        <w:rPr>
          <w:color w:val="FF0000"/>
          <w:lang w:val="en-US"/>
        </w:rPr>
        <w:t>In clause 5:</w:t>
      </w:r>
    </w:p>
    <w:p>
      <w:pPr>
        <w:autoSpaceDE w:val="0"/>
        <w:autoSpaceDN w:val="0"/>
        <w:adjustRightInd w:val="0"/>
        <w:spacing w:after="0"/>
        <w:ind w:left="567"/>
        <w:rPr>
          <w:i/>
          <w:iCs/>
          <w:color w:val="FF0000"/>
          <w:lang w:val="zh-CN"/>
        </w:rPr>
      </w:pPr>
      <w:r>
        <w:rPr>
          <w:i/>
          <w:iCs/>
          <w:color w:val="FF0000"/>
          <w:lang w:val="zh-CN"/>
        </w:rPr>
        <w:t>All considerations of gNB-DU in this specification also apply to the IAB-DU and IAB-donor-DU, unless stated</w:t>
      </w:r>
    </w:p>
    <w:p>
      <w:pPr>
        <w:autoSpaceDE w:val="0"/>
        <w:autoSpaceDN w:val="0"/>
        <w:adjustRightInd w:val="0"/>
        <w:spacing w:after="0"/>
        <w:ind w:left="567"/>
        <w:rPr>
          <w:i/>
          <w:iCs/>
          <w:color w:val="FF0000"/>
          <w:lang w:val="zh-CN"/>
        </w:rPr>
      </w:pPr>
      <w:r>
        <w:rPr>
          <w:i/>
          <w:iCs/>
          <w:color w:val="FF0000"/>
          <w:lang w:val="zh-CN"/>
        </w:rPr>
        <w:t>otherwise. All considerations of gNB-CU in this specification apply to the IAB-donor-CU as well, unless stated</w:t>
      </w:r>
      <w:r>
        <w:rPr>
          <w:i/>
          <w:iCs/>
          <w:color w:val="FF0000"/>
          <w:lang w:val="en-US"/>
        </w:rPr>
        <w:t xml:space="preserve"> </w:t>
      </w:r>
      <w:r>
        <w:rPr>
          <w:i/>
          <w:iCs/>
          <w:color w:val="FF0000"/>
          <w:lang w:val="zh-CN"/>
        </w:rPr>
        <w:t>otherwise.</w:t>
      </w:r>
    </w:p>
    <w:p>
      <w:pPr>
        <w:autoSpaceDE w:val="0"/>
        <w:autoSpaceDN w:val="0"/>
        <w:adjustRightInd w:val="0"/>
        <w:spacing w:after="0"/>
        <w:rPr>
          <w:lang w:val="zh-CN"/>
        </w:rPr>
      </w:pPr>
    </w:p>
    <w:p>
      <w:pPr>
        <w:autoSpaceDE w:val="0"/>
        <w:autoSpaceDN w:val="0"/>
        <w:adjustRightInd w:val="0"/>
        <w:spacing w:after="0"/>
        <w:rPr>
          <w:color w:val="FF0000"/>
          <w:lang w:val="zh-CN"/>
        </w:rPr>
      </w:pPr>
    </w:p>
    <w:p>
      <w:pPr>
        <w:autoSpaceDE w:val="0"/>
        <w:autoSpaceDN w:val="0"/>
        <w:adjustRightInd w:val="0"/>
        <w:spacing w:after="0"/>
        <w:rPr>
          <w:color w:val="FF0000"/>
          <w:lang w:val="en-US"/>
        </w:rPr>
      </w:pPr>
      <w:r>
        <w:rPr>
          <w:color w:val="FF0000"/>
          <w:lang w:val="en-US"/>
        </w:rPr>
        <w:t>And in clause 8.10.0:</w:t>
      </w:r>
    </w:p>
    <w:p>
      <w:pPr>
        <w:autoSpaceDE w:val="0"/>
        <w:autoSpaceDN w:val="0"/>
        <w:adjustRightInd w:val="0"/>
        <w:spacing w:after="0"/>
        <w:rPr>
          <w:color w:val="FF0000"/>
          <w:lang w:val="en-US"/>
        </w:rPr>
      </w:pPr>
    </w:p>
    <w:p>
      <w:pPr>
        <w:autoSpaceDE w:val="0"/>
        <w:autoSpaceDN w:val="0"/>
        <w:adjustRightInd w:val="0"/>
        <w:spacing w:after="0"/>
        <w:ind w:left="567"/>
        <w:rPr>
          <w:i/>
          <w:iCs/>
          <w:color w:val="FF0000"/>
          <w:lang w:val="zh-CN"/>
        </w:rPr>
      </w:pPr>
      <w:r>
        <w:rPr>
          <w:i/>
          <w:iCs/>
          <w:color w:val="FF0000"/>
          <w:lang w:val="zh-CN"/>
        </w:rPr>
        <w:t>NOTE: The IAB procedures are applicable for IAB-nodes and IAB-donor-DU, where the term "gNB-DU" applies</w:t>
      </w:r>
      <w:r>
        <w:rPr>
          <w:i/>
          <w:iCs/>
          <w:color w:val="FF0000"/>
          <w:lang w:val="en-US"/>
        </w:rPr>
        <w:t xml:space="preserve"> </w:t>
      </w:r>
      <w:r>
        <w:rPr>
          <w:i/>
          <w:iCs/>
          <w:color w:val="FF0000"/>
          <w:lang w:val="zh-CN"/>
        </w:rPr>
        <w:t>to IAB-DU and IAB-donor-DU, and the term "gNB-CU" applies to IAB-donor-CU, unless otherwise</w:t>
      </w:r>
    </w:p>
    <w:p>
      <w:pPr>
        <w:autoSpaceDE w:val="0"/>
        <w:autoSpaceDN w:val="0"/>
        <w:adjustRightInd w:val="0"/>
        <w:spacing w:after="0"/>
        <w:ind w:left="567"/>
        <w:rPr>
          <w:i/>
          <w:iCs/>
          <w:color w:val="FF0000"/>
          <w:lang w:val="en-US"/>
        </w:rPr>
      </w:pPr>
      <w:r>
        <w:rPr>
          <w:i/>
          <w:iCs/>
          <w:color w:val="FF0000"/>
          <w:lang w:val="zh-CN"/>
        </w:rPr>
        <w:t>specified.</w:t>
      </w:r>
    </w:p>
    <w:p>
      <w:pPr>
        <w:autoSpaceDE w:val="0"/>
        <w:autoSpaceDN w:val="0"/>
        <w:adjustRightInd w:val="0"/>
        <w:spacing w:after="0"/>
        <w:rPr>
          <w:lang w:val="en-US"/>
        </w:rPr>
      </w:pPr>
    </w:p>
    <w:sectPr>
      <w:headerReference r:id="rId4"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840903"/>
      <w:docPartObj>
        <w:docPartGallery w:val="AutoText"/>
      </w:docPartObj>
    </w:sdtPr>
    <w:sdtContent>
      <w:p>
        <w:pPr>
          <w:pStyle w:val="24"/>
          <w:jc w:val="right"/>
        </w:pPr>
        <w:r>
          <w:fldChar w:fldCharType="begin"/>
        </w:r>
        <w:r>
          <w:instrText xml:space="preserve"> PAGE   \* MERGEFORMAT </w:instrText>
        </w:r>
        <w:r>
          <w:fldChar w:fldCharType="separate"/>
        </w:r>
        <w:r>
          <w:t>2</w:t>
        </w:r>
        <w:r>
          <w:fldChar w:fldCharType="end"/>
        </w:r>
      </w:p>
    </w:sdtContent>
  </w:sdt>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465F4"/>
    <w:multiLevelType w:val="multilevel"/>
    <w:tmpl w:val="206465F4"/>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C3060F"/>
    <w:multiLevelType w:val="multilevel"/>
    <w:tmpl w:val="3AC3060F"/>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49FF118F"/>
    <w:multiLevelType w:val="multilevel"/>
    <w:tmpl w:val="49FF11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C3705C"/>
    <w:multiLevelType w:val="multilevel"/>
    <w:tmpl w:val="4DC3705C"/>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521F44A7"/>
    <w:multiLevelType w:val="multilevel"/>
    <w:tmpl w:val="521F44A7"/>
    <w:lvl w:ilvl="0" w:tentative="0">
      <w:start w:val="1"/>
      <w:numFmt w:val="bullet"/>
      <w:pStyle w:val="8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83"/>
      <w:lvlText w:val=""/>
      <w:lvlJc w:val="left"/>
      <w:pPr>
        <w:tabs>
          <w:tab w:val="left" w:pos="-2925"/>
        </w:tabs>
        <w:ind w:left="-2925" w:hanging="360"/>
      </w:pPr>
      <w:rPr>
        <w:rFonts w:hint="default" w:ascii="Symbol" w:hAnsi="Symbol"/>
        <w:b/>
        <w:i w:val="0"/>
        <w:color w:val="auto"/>
        <w:sz w:val="22"/>
      </w:rPr>
    </w:lvl>
    <w:lvl w:ilvl="1" w:tentative="0">
      <w:start w:val="1"/>
      <w:numFmt w:val="bullet"/>
      <w:lvlText w:val="o"/>
      <w:lvlJc w:val="left"/>
      <w:pPr>
        <w:tabs>
          <w:tab w:val="left" w:pos="-2115"/>
        </w:tabs>
        <w:ind w:left="-2115" w:hanging="360"/>
      </w:pPr>
      <w:rPr>
        <w:rFonts w:hint="default" w:ascii="Courier New" w:hAnsi="Courier New" w:cs="Courier New"/>
      </w:rPr>
    </w:lvl>
    <w:lvl w:ilvl="2" w:tentative="0">
      <w:start w:val="1"/>
      <w:numFmt w:val="bullet"/>
      <w:lvlText w:val=""/>
      <w:lvlJc w:val="left"/>
      <w:pPr>
        <w:tabs>
          <w:tab w:val="left" w:pos="-1395"/>
        </w:tabs>
        <w:ind w:left="-1395" w:hanging="360"/>
      </w:pPr>
      <w:rPr>
        <w:rFonts w:hint="default" w:ascii="Wingdings" w:hAnsi="Wingdings"/>
      </w:rPr>
    </w:lvl>
    <w:lvl w:ilvl="3" w:tentative="0">
      <w:start w:val="1"/>
      <w:numFmt w:val="bullet"/>
      <w:lvlText w:val=""/>
      <w:lvlJc w:val="left"/>
      <w:pPr>
        <w:tabs>
          <w:tab w:val="left" w:pos="-675"/>
        </w:tabs>
        <w:ind w:left="-675" w:hanging="360"/>
      </w:pPr>
      <w:rPr>
        <w:rFonts w:hint="default" w:ascii="Symbol" w:hAnsi="Symbol"/>
      </w:rPr>
    </w:lvl>
    <w:lvl w:ilvl="4" w:tentative="0">
      <w:start w:val="1"/>
      <w:numFmt w:val="bullet"/>
      <w:lvlText w:val="o"/>
      <w:lvlJc w:val="left"/>
      <w:pPr>
        <w:tabs>
          <w:tab w:val="left" w:pos="45"/>
        </w:tabs>
        <w:ind w:left="45" w:hanging="360"/>
      </w:pPr>
      <w:rPr>
        <w:rFonts w:hint="default" w:ascii="Courier New" w:hAnsi="Courier New" w:cs="Courier New"/>
      </w:rPr>
    </w:lvl>
    <w:lvl w:ilvl="5" w:tentative="0">
      <w:start w:val="1"/>
      <w:numFmt w:val="bullet"/>
      <w:lvlText w:val=""/>
      <w:lvlJc w:val="left"/>
      <w:pPr>
        <w:tabs>
          <w:tab w:val="left" w:pos="765"/>
        </w:tabs>
        <w:ind w:left="765" w:hanging="360"/>
      </w:pPr>
      <w:rPr>
        <w:rFonts w:hint="default" w:ascii="Wingdings" w:hAnsi="Wingdings"/>
      </w:rPr>
    </w:lvl>
    <w:lvl w:ilvl="6" w:tentative="0">
      <w:start w:val="1"/>
      <w:numFmt w:val="bullet"/>
      <w:lvlText w:val=""/>
      <w:lvlJc w:val="left"/>
      <w:pPr>
        <w:tabs>
          <w:tab w:val="left" w:pos="1485"/>
        </w:tabs>
        <w:ind w:left="1485" w:hanging="360"/>
      </w:pPr>
      <w:rPr>
        <w:rFonts w:hint="default" w:ascii="Symbol" w:hAnsi="Symbol"/>
      </w:rPr>
    </w:lvl>
    <w:lvl w:ilvl="7" w:tentative="0">
      <w:start w:val="1"/>
      <w:numFmt w:val="bullet"/>
      <w:lvlText w:val="o"/>
      <w:lvlJc w:val="left"/>
      <w:pPr>
        <w:tabs>
          <w:tab w:val="left" w:pos="2205"/>
        </w:tabs>
        <w:ind w:left="2205" w:hanging="360"/>
      </w:pPr>
      <w:rPr>
        <w:rFonts w:hint="default" w:ascii="Courier New" w:hAnsi="Courier New" w:cs="Courier New"/>
      </w:rPr>
    </w:lvl>
    <w:lvl w:ilvl="8" w:tentative="0">
      <w:start w:val="1"/>
      <w:numFmt w:val="bullet"/>
      <w:lvlText w:val=""/>
      <w:lvlJc w:val="left"/>
      <w:pPr>
        <w:tabs>
          <w:tab w:val="left" w:pos="2925"/>
        </w:tabs>
        <w:ind w:left="2925" w:hanging="360"/>
      </w:pPr>
      <w:rPr>
        <w:rFonts w:hint="default" w:ascii="Wingdings" w:hAnsi="Wingdings"/>
      </w:rPr>
    </w:lvl>
  </w:abstractNum>
  <w:abstractNum w:abstractNumId="6">
    <w:nsid w:val="73B6586B"/>
    <w:multiLevelType w:val="multilevel"/>
    <w:tmpl w:val="73B6586B"/>
    <w:lvl w:ilvl="0" w:tentative="0">
      <w:start w:val="2"/>
      <w:numFmt w:val="bullet"/>
      <w:lvlText w:val="-"/>
      <w:lvlJc w:val="left"/>
      <w:pPr>
        <w:ind w:left="720" w:hanging="360"/>
      </w:pPr>
      <w:rPr>
        <w:rFonts w:hint="default" w:ascii="Times New Roman" w:hAnsi="Times New Roman" w:cs="Times New Roman" w:eastAsiaTheme="minorEastAsia"/>
        <w:u w:val="no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8785DDB"/>
    <w:multiLevelType w:val="multilevel"/>
    <w:tmpl w:val="78785DDB"/>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5"/>
  </w:num>
  <w:num w:numId="2">
    <w:abstractNumId w:val="4"/>
  </w:num>
  <w:num w:numId="3">
    <w:abstractNumId w:val="1"/>
  </w:num>
  <w:num w:numId="4">
    <w:abstractNumId w:val="7"/>
  </w:num>
  <w:num w:numId="5">
    <w:abstractNumId w:val="6"/>
  </w:num>
  <w:num w:numId="6">
    <w:abstractNumId w:val="3"/>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Fujitsu">
    <w15:presenceInfo w15:providerId="None" w15:userId="Fujitsu"/>
  </w15:person>
  <w15:person w15:author="CATT">
    <w15:presenceInfo w15:providerId="None" w15:userId="CATT"/>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32"/>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4A"/>
    <w:rsid w:val="0000107A"/>
    <w:rsid w:val="000021F2"/>
    <w:rsid w:val="000039F6"/>
    <w:rsid w:val="0000409B"/>
    <w:rsid w:val="00005910"/>
    <w:rsid w:val="000064F6"/>
    <w:rsid w:val="00006E99"/>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1B4A"/>
    <w:rsid w:val="00032160"/>
    <w:rsid w:val="00032EA4"/>
    <w:rsid w:val="00033397"/>
    <w:rsid w:val="000338DD"/>
    <w:rsid w:val="00034BF8"/>
    <w:rsid w:val="00035677"/>
    <w:rsid w:val="000365C3"/>
    <w:rsid w:val="000368BE"/>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39A"/>
    <w:rsid w:val="000515E4"/>
    <w:rsid w:val="000516D8"/>
    <w:rsid w:val="000519B0"/>
    <w:rsid w:val="0005270E"/>
    <w:rsid w:val="000529D9"/>
    <w:rsid w:val="00053171"/>
    <w:rsid w:val="000537FD"/>
    <w:rsid w:val="00056B91"/>
    <w:rsid w:val="00056DB2"/>
    <w:rsid w:val="00060212"/>
    <w:rsid w:val="0006135D"/>
    <w:rsid w:val="00061505"/>
    <w:rsid w:val="000622CB"/>
    <w:rsid w:val="00062633"/>
    <w:rsid w:val="00062B66"/>
    <w:rsid w:val="00063899"/>
    <w:rsid w:val="000642FE"/>
    <w:rsid w:val="00065441"/>
    <w:rsid w:val="00065659"/>
    <w:rsid w:val="00065D6B"/>
    <w:rsid w:val="00065EDF"/>
    <w:rsid w:val="00066081"/>
    <w:rsid w:val="00066096"/>
    <w:rsid w:val="00067CAA"/>
    <w:rsid w:val="00071167"/>
    <w:rsid w:val="000716A1"/>
    <w:rsid w:val="00071D42"/>
    <w:rsid w:val="00072CA0"/>
    <w:rsid w:val="000732E0"/>
    <w:rsid w:val="00073EB1"/>
    <w:rsid w:val="00074261"/>
    <w:rsid w:val="0007762E"/>
    <w:rsid w:val="00077C88"/>
    <w:rsid w:val="00080512"/>
    <w:rsid w:val="00081113"/>
    <w:rsid w:val="000812F8"/>
    <w:rsid w:val="00082B5F"/>
    <w:rsid w:val="00083B66"/>
    <w:rsid w:val="00084591"/>
    <w:rsid w:val="00085DB3"/>
    <w:rsid w:val="000860E7"/>
    <w:rsid w:val="0008762B"/>
    <w:rsid w:val="00087D26"/>
    <w:rsid w:val="00087E3D"/>
    <w:rsid w:val="00090401"/>
    <w:rsid w:val="00090468"/>
    <w:rsid w:val="00090A9D"/>
    <w:rsid w:val="000926D3"/>
    <w:rsid w:val="00093164"/>
    <w:rsid w:val="00093ADD"/>
    <w:rsid w:val="00094FDC"/>
    <w:rsid w:val="00096258"/>
    <w:rsid w:val="00096387"/>
    <w:rsid w:val="000965E0"/>
    <w:rsid w:val="0009788E"/>
    <w:rsid w:val="000A032A"/>
    <w:rsid w:val="000A050C"/>
    <w:rsid w:val="000A0A4D"/>
    <w:rsid w:val="000A174A"/>
    <w:rsid w:val="000A18B1"/>
    <w:rsid w:val="000A3F9B"/>
    <w:rsid w:val="000A4D3B"/>
    <w:rsid w:val="000A5AD5"/>
    <w:rsid w:val="000A6935"/>
    <w:rsid w:val="000A7E6B"/>
    <w:rsid w:val="000B0C46"/>
    <w:rsid w:val="000B0F1D"/>
    <w:rsid w:val="000B19D0"/>
    <w:rsid w:val="000B21D7"/>
    <w:rsid w:val="000B3985"/>
    <w:rsid w:val="000B4D19"/>
    <w:rsid w:val="000B542A"/>
    <w:rsid w:val="000B66F6"/>
    <w:rsid w:val="000B72C5"/>
    <w:rsid w:val="000B7BCF"/>
    <w:rsid w:val="000B7E9E"/>
    <w:rsid w:val="000C0524"/>
    <w:rsid w:val="000C05CC"/>
    <w:rsid w:val="000C170F"/>
    <w:rsid w:val="000C285F"/>
    <w:rsid w:val="000C2BFA"/>
    <w:rsid w:val="000C2CA3"/>
    <w:rsid w:val="000C2D34"/>
    <w:rsid w:val="000C415C"/>
    <w:rsid w:val="000C416C"/>
    <w:rsid w:val="000C4560"/>
    <w:rsid w:val="000C4AA7"/>
    <w:rsid w:val="000C4AD9"/>
    <w:rsid w:val="000C522B"/>
    <w:rsid w:val="000C5567"/>
    <w:rsid w:val="000C564A"/>
    <w:rsid w:val="000C5DF5"/>
    <w:rsid w:val="000C665B"/>
    <w:rsid w:val="000C775E"/>
    <w:rsid w:val="000C77C8"/>
    <w:rsid w:val="000C7894"/>
    <w:rsid w:val="000D03EC"/>
    <w:rsid w:val="000D0B0C"/>
    <w:rsid w:val="000D137A"/>
    <w:rsid w:val="000D13ED"/>
    <w:rsid w:val="000D30A2"/>
    <w:rsid w:val="000D366A"/>
    <w:rsid w:val="000D3C9D"/>
    <w:rsid w:val="000D58AB"/>
    <w:rsid w:val="000D6B39"/>
    <w:rsid w:val="000E0EBF"/>
    <w:rsid w:val="000E33A9"/>
    <w:rsid w:val="000E427B"/>
    <w:rsid w:val="000E49BE"/>
    <w:rsid w:val="000E5617"/>
    <w:rsid w:val="000E5B3C"/>
    <w:rsid w:val="000E6697"/>
    <w:rsid w:val="000F03B7"/>
    <w:rsid w:val="000F1A15"/>
    <w:rsid w:val="000F2F84"/>
    <w:rsid w:val="000F342D"/>
    <w:rsid w:val="000F39DF"/>
    <w:rsid w:val="000F4EBC"/>
    <w:rsid w:val="000F5DDE"/>
    <w:rsid w:val="00100099"/>
    <w:rsid w:val="00100643"/>
    <w:rsid w:val="00100BC7"/>
    <w:rsid w:val="00101232"/>
    <w:rsid w:val="00101261"/>
    <w:rsid w:val="00101819"/>
    <w:rsid w:val="00101BA1"/>
    <w:rsid w:val="00102942"/>
    <w:rsid w:val="00102DAD"/>
    <w:rsid w:val="001032DC"/>
    <w:rsid w:val="001037E2"/>
    <w:rsid w:val="00104704"/>
    <w:rsid w:val="001063B1"/>
    <w:rsid w:val="00106455"/>
    <w:rsid w:val="00106BD8"/>
    <w:rsid w:val="00107EE0"/>
    <w:rsid w:val="001106ED"/>
    <w:rsid w:val="00111B2B"/>
    <w:rsid w:val="0011222A"/>
    <w:rsid w:val="00112B0C"/>
    <w:rsid w:val="00113088"/>
    <w:rsid w:val="0011470F"/>
    <w:rsid w:val="001158B5"/>
    <w:rsid w:val="001164CA"/>
    <w:rsid w:val="00116DE8"/>
    <w:rsid w:val="00117039"/>
    <w:rsid w:val="0011785C"/>
    <w:rsid w:val="00117E75"/>
    <w:rsid w:val="00120844"/>
    <w:rsid w:val="00120C85"/>
    <w:rsid w:val="0012138C"/>
    <w:rsid w:val="00121FB7"/>
    <w:rsid w:val="00122250"/>
    <w:rsid w:val="001224F1"/>
    <w:rsid w:val="00122700"/>
    <w:rsid w:val="00123DB1"/>
    <w:rsid w:val="001241A8"/>
    <w:rsid w:val="001241B0"/>
    <w:rsid w:val="00124B3D"/>
    <w:rsid w:val="00125E38"/>
    <w:rsid w:val="00126209"/>
    <w:rsid w:val="00126D29"/>
    <w:rsid w:val="00130949"/>
    <w:rsid w:val="00130FE9"/>
    <w:rsid w:val="00131467"/>
    <w:rsid w:val="00131495"/>
    <w:rsid w:val="00133510"/>
    <w:rsid w:val="00134105"/>
    <w:rsid w:val="00135C51"/>
    <w:rsid w:val="00135EC2"/>
    <w:rsid w:val="00137B44"/>
    <w:rsid w:val="00140C86"/>
    <w:rsid w:val="00140F7B"/>
    <w:rsid w:val="00142C82"/>
    <w:rsid w:val="00142D7A"/>
    <w:rsid w:val="00142EAC"/>
    <w:rsid w:val="0014488C"/>
    <w:rsid w:val="00144B7D"/>
    <w:rsid w:val="00145075"/>
    <w:rsid w:val="00146FB1"/>
    <w:rsid w:val="0014714F"/>
    <w:rsid w:val="0014751F"/>
    <w:rsid w:val="00147992"/>
    <w:rsid w:val="00147B8F"/>
    <w:rsid w:val="0015058A"/>
    <w:rsid w:val="00150D97"/>
    <w:rsid w:val="00151EDE"/>
    <w:rsid w:val="00152357"/>
    <w:rsid w:val="00152A22"/>
    <w:rsid w:val="0015483A"/>
    <w:rsid w:val="001551A5"/>
    <w:rsid w:val="001568A4"/>
    <w:rsid w:val="00157634"/>
    <w:rsid w:val="0015777C"/>
    <w:rsid w:val="00157A0F"/>
    <w:rsid w:val="00157B0B"/>
    <w:rsid w:val="00160171"/>
    <w:rsid w:val="0016036F"/>
    <w:rsid w:val="001607C4"/>
    <w:rsid w:val="0016098E"/>
    <w:rsid w:val="00160AF6"/>
    <w:rsid w:val="001614F2"/>
    <w:rsid w:val="00161683"/>
    <w:rsid w:val="001619CF"/>
    <w:rsid w:val="00161E4A"/>
    <w:rsid w:val="0016224C"/>
    <w:rsid w:val="00162AE7"/>
    <w:rsid w:val="00162F55"/>
    <w:rsid w:val="00163BD8"/>
    <w:rsid w:val="00163DF7"/>
    <w:rsid w:val="00163E1F"/>
    <w:rsid w:val="00166EB4"/>
    <w:rsid w:val="00167246"/>
    <w:rsid w:val="00167A87"/>
    <w:rsid w:val="0017018D"/>
    <w:rsid w:val="00171530"/>
    <w:rsid w:val="00171DBA"/>
    <w:rsid w:val="001728EF"/>
    <w:rsid w:val="00172F7C"/>
    <w:rsid w:val="00174173"/>
    <w:rsid w:val="001741A0"/>
    <w:rsid w:val="0017631B"/>
    <w:rsid w:val="001767D8"/>
    <w:rsid w:val="00176831"/>
    <w:rsid w:val="001769F9"/>
    <w:rsid w:val="0017733D"/>
    <w:rsid w:val="0017736D"/>
    <w:rsid w:val="001779DF"/>
    <w:rsid w:val="00177E58"/>
    <w:rsid w:val="00181A75"/>
    <w:rsid w:val="001822E5"/>
    <w:rsid w:val="00182DE1"/>
    <w:rsid w:val="00183165"/>
    <w:rsid w:val="0018333D"/>
    <w:rsid w:val="001833C6"/>
    <w:rsid w:val="00183953"/>
    <w:rsid w:val="00184FC6"/>
    <w:rsid w:val="00186BFE"/>
    <w:rsid w:val="00186DE6"/>
    <w:rsid w:val="0018754F"/>
    <w:rsid w:val="00190C58"/>
    <w:rsid w:val="00192A34"/>
    <w:rsid w:val="00194589"/>
    <w:rsid w:val="00194CC5"/>
    <w:rsid w:val="00194CD0"/>
    <w:rsid w:val="00195376"/>
    <w:rsid w:val="00195FA4"/>
    <w:rsid w:val="00195FBB"/>
    <w:rsid w:val="001961ED"/>
    <w:rsid w:val="00196C23"/>
    <w:rsid w:val="001971C8"/>
    <w:rsid w:val="0019788E"/>
    <w:rsid w:val="001A16DE"/>
    <w:rsid w:val="001A2942"/>
    <w:rsid w:val="001A2B4C"/>
    <w:rsid w:val="001A436B"/>
    <w:rsid w:val="001A4377"/>
    <w:rsid w:val="001A5335"/>
    <w:rsid w:val="001A6D8E"/>
    <w:rsid w:val="001A7342"/>
    <w:rsid w:val="001A773C"/>
    <w:rsid w:val="001A7AED"/>
    <w:rsid w:val="001A7AF9"/>
    <w:rsid w:val="001A7BA3"/>
    <w:rsid w:val="001A7C45"/>
    <w:rsid w:val="001B0022"/>
    <w:rsid w:val="001B02D6"/>
    <w:rsid w:val="001B1AF5"/>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3F8D"/>
    <w:rsid w:val="001C4B58"/>
    <w:rsid w:val="001C595C"/>
    <w:rsid w:val="001D099F"/>
    <w:rsid w:val="001D1AED"/>
    <w:rsid w:val="001D1D34"/>
    <w:rsid w:val="001D2D68"/>
    <w:rsid w:val="001D30EA"/>
    <w:rsid w:val="001D379F"/>
    <w:rsid w:val="001D3A7D"/>
    <w:rsid w:val="001D40EA"/>
    <w:rsid w:val="001D4630"/>
    <w:rsid w:val="001D4FB0"/>
    <w:rsid w:val="001D599B"/>
    <w:rsid w:val="001D6AC9"/>
    <w:rsid w:val="001D6CF3"/>
    <w:rsid w:val="001D6DC6"/>
    <w:rsid w:val="001D6FB3"/>
    <w:rsid w:val="001E2007"/>
    <w:rsid w:val="001E284D"/>
    <w:rsid w:val="001E53A0"/>
    <w:rsid w:val="001E5C04"/>
    <w:rsid w:val="001E70D7"/>
    <w:rsid w:val="001F168B"/>
    <w:rsid w:val="001F1CFE"/>
    <w:rsid w:val="001F20CD"/>
    <w:rsid w:val="001F2E7F"/>
    <w:rsid w:val="001F34F3"/>
    <w:rsid w:val="001F4187"/>
    <w:rsid w:val="001F5C26"/>
    <w:rsid w:val="001F5C44"/>
    <w:rsid w:val="001F5CC4"/>
    <w:rsid w:val="001F632B"/>
    <w:rsid w:val="001F7831"/>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9DD"/>
    <w:rsid w:val="00206BCD"/>
    <w:rsid w:val="00206ED3"/>
    <w:rsid w:val="00207079"/>
    <w:rsid w:val="00211309"/>
    <w:rsid w:val="002117D6"/>
    <w:rsid w:val="00211C40"/>
    <w:rsid w:val="00212627"/>
    <w:rsid w:val="00212B3E"/>
    <w:rsid w:val="0021353E"/>
    <w:rsid w:val="002138DD"/>
    <w:rsid w:val="00213E7A"/>
    <w:rsid w:val="002148B0"/>
    <w:rsid w:val="00214E95"/>
    <w:rsid w:val="00215C7D"/>
    <w:rsid w:val="00216471"/>
    <w:rsid w:val="00216FA7"/>
    <w:rsid w:val="00220F57"/>
    <w:rsid w:val="002217C0"/>
    <w:rsid w:val="00221DC7"/>
    <w:rsid w:val="00221E06"/>
    <w:rsid w:val="002223A2"/>
    <w:rsid w:val="00223AD3"/>
    <w:rsid w:val="00223BAA"/>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CD"/>
    <w:rsid w:val="00235B15"/>
    <w:rsid w:val="0023607B"/>
    <w:rsid w:val="0023671E"/>
    <w:rsid w:val="00236E01"/>
    <w:rsid w:val="0024006E"/>
    <w:rsid w:val="00241F1C"/>
    <w:rsid w:val="00242D19"/>
    <w:rsid w:val="00243821"/>
    <w:rsid w:val="0024447F"/>
    <w:rsid w:val="0024485F"/>
    <w:rsid w:val="00245A2A"/>
    <w:rsid w:val="00245B7D"/>
    <w:rsid w:val="00245D8A"/>
    <w:rsid w:val="00246C4B"/>
    <w:rsid w:val="00250812"/>
    <w:rsid w:val="00250853"/>
    <w:rsid w:val="00250B04"/>
    <w:rsid w:val="00253E0B"/>
    <w:rsid w:val="00253FC9"/>
    <w:rsid w:val="0025406F"/>
    <w:rsid w:val="00254845"/>
    <w:rsid w:val="00254F6C"/>
    <w:rsid w:val="00256B66"/>
    <w:rsid w:val="00257698"/>
    <w:rsid w:val="002576F5"/>
    <w:rsid w:val="00260AE7"/>
    <w:rsid w:val="00262113"/>
    <w:rsid w:val="00262EDD"/>
    <w:rsid w:val="00262F71"/>
    <w:rsid w:val="0026614D"/>
    <w:rsid w:val="00266702"/>
    <w:rsid w:val="0026699C"/>
    <w:rsid w:val="0027053F"/>
    <w:rsid w:val="00270F19"/>
    <w:rsid w:val="00271E30"/>
    <w:rsid w:val="00271E96"/>
    <w:rsid w:val="00272763"/>
    <w:rsid w:val="00272C79"/>
    <w:rsid w:val="002747EC"/>
    <w:rsid w:val="00274E85"/>
    <w:rsid w:val="0027537D"/>
    <w:rsid w:val="002779A1"/>
    <w:rsid w:val="002805EC"/>
    <w:rsid w:val="00281980"/>
    <w:rsid w:val="002821B6"/>
    <w:rsid w:val="002828C0"/>
    <w:rsid w:val="00283238"/>
    <w:rsid w:val="0028373C"/>
    <w:rsid w:val="0028439D"/>
    <w:rsid w:val="002855BF"/>
    <w:rsid w:val="00287333"/>
    <w:rsid w:val="002879DE"/>
    <w:rsid w:val="002909BF"/>
    <w:rsid w:val="00290FC1"/>
    <w:rsid w:val="002917DD"/>
    <w:rsid w:val="00291D55"/>
    <w:rsid w:val="00293031"/>
    <w:rsid w:val="00293D82"/>
    <w:rsid w:val="00293E6F"/>
    <w:rsid w:val="002956AA"/>
    <w:rsid w:val="00295765"/>
    <w:rsid w:val="002966A8"/>
    <w:rsid w:val="002967F0"/>
    <w:rsid w:val="00297BCD"/>
    <w:rsid w:val="002A00A9"/>
    <w:rsid w:val="002A09FF"/>
    <w:rsid w:val="002A327D"/>
    <w:rsid w:val="002A36DB"/>
    <w:rsid w:val="002A4AD1"/>
    <w:rsid w:val="002A510C"/>
    <w:rsid w:val="002A577D"/>
    <w:rsid w:val="002A717B"/>
    <w:rsid w:val="002A7B91"/>
    <w:rsid w:val="002B1429"/>
    <w:rsid w:val="002B17AD"/>
    <w:rsid w:val="002B2B36"/>
    <w:rsid w:val="002B3C2D"/>
    <w:rsid w:val="002B4AC3"/>
    <w:rsid w:val="002B5B5B"/>
    <w:rsid w:val="002B61CA"/>
    <w:rsid w:val="002B69DE"/>
    <w:rsid w:val="002B711D"/>
    <w:rsid w:val="002B7133"/>
    <w:rsid w:val="002C021C"/>
    <w:rsid w:val="002C0491"/>
    <w:rsid w:val="002C1182"/>
    <w:rsid w:val="002C1904"/>
    <w:rsid w:val="002C2767"/>
    <w:rsid w:val="002C343F"/>
    <w:rsid w:val="002C3919"/>
    <w:rsid w:val="002C5436"/>
    <w:rsid w:val="002C55DE"/>
    <w:rsid w:val="002C6EDD"/>
    <w:rsid w:val="002C708A"/>
    <w:rsid w:val="002C71FA"/>
    <w:rsid w:val="002C7DF4"/>
    <w:rsid w:val="002D0342"/>
    <w:rsid w:val="002D10D9"/>
    <w:rsid w:val="002D208C"/>
    <w:rsid w:val="002D22EF"/>
    <w:rsid w:val="002D251E"/>
    <w:rsid w:val="002D2AB9"/>
    <w:rsid w:val="002D4340"/>
    <w:rsid w:val="002D46AD"/>
    <w:rsid w:val="002D50EB"/>
    <w:rsid w:val="002E081E"/>
    <w:rsid w:val="002E13C5"/>
    <w:rsid w:val="002E1D57"/>
    <w:rsid w:val="002E20AB"/>
    <w:rsid w:val="002E2CD5"/>
    <w:rsid w:val="002E36BA"/>
    <w:rsid w:val="002E386F"/>
    <w:rsid w:val="002E3CCA"/>
    <w:rsid w:val="002E3EFF"/>
    <w:rsid w:val="002E4099"/>
    <w:rsid w:val="002E56A1"/>
    <w:rsid w:val="002E61FD"/>
    <w:rsid w:val="002E6810"/>
    <w:rsid w:val="002E761B"/>
    <w:rsid w:val="002E7ABF"/>
    <w:rsid w:val="002E7B35"/>
    <w:rsid w:val="002F01A8"/>
    <w:rsid w:val="002F0585"/>
    <w:rsid w:val="002F07C2"/>
    <w:rsid w:val="002F0D22"/>
    <w:rsid w:val="002F0DFA"/>
    <w:rsid w:val="002F1477"/>
    <w:rsid w:val="002F1608"/>
    <w:rsid w:val="002F1ED3"/>
    <w:rsid w:val="002F2327"/>
    <w:rsid w:val="002F267E"/>
    <w:rsid w:val="002F26E2"/>
    <w:rsid w:val="002F3C58"/>
    <w:rsid w:val="002F44A4"/>
    <w:rsid w:val="002F48E2"/>
    <w:rsid w:val="002F4EB5"/>
    <w:rsid w:val="002F50B9"/>
    <w:rsid w:val="002F61D6"/>
    <w:rsid w:val="002F67D1"/>
    <w:rsid w:val="002F6BC2"/>
    <w:rsid w:val="0030002C"/>
    <w:rsid w:val="003007BF"/>
    <w:rsid w:val="00300D51"/>
    <w:rsid w:val="0030112A"/>
    <w:rsid w:val="003012EC"/>
    <w:rsid w:val="00301D2E"/>
    <w:rsid w:val="0030249C"/>
    <w:rsid w:val="003040FF"/>
    <w:rsid w:val="00305ECA"/>
    <w:rsid w:val="00306271"/>
    <w:rsid w:val="00307492"/>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358"/>
    <w:rsid w:val="00321520"/>
    <w:rsid w:val="00322D89"/>
    <w:rsid w:val="003232E6"/>
    <w:rsid w:val="00323500"/>
    <w:rsid w:val="00323E0C"/>
    <w:rsid w:val="00326069"/>
    <w:rsid w:val="00326242"/>
    <w:rsid w:val="00326661"/>
    <w:rsid w:val="00326AA9"/>
    <w:rsid w:val="00327AD7"/>
    <w:rsid w:val="00330542"/>
    <w:rsid w:val="00331D99"/>
    <w:rsid w:val="00332071"/>
    <w:rsid w:val="003333A3"/>
    <w:rsid w:val="0033351B"/>
    <w:rsid w:val="0033423E"/>
    <w:rsid w:val="0033491B"/>
    <w:rsid w:val="003353DE"/>
    <w:rsid w:val="00335983"/>
    <w:rsid w:val="003360BD"/>
    <w:rsid w:val="00336957"/>
    <w:rsid w:val="00336CEE"/>
    <w:rsid w:val="00336E3A"/>
    <w:rsid w:val="00336E72"/>
    <w:rsid w:val="00337B1A"/>
    <w:rsid w:val="003402B0"/>
    <w:rsid w:val="0034031D"/>
    <w:rsid w:val="003408F8"/>
    <w:rsid w:val="00340950"/>
    <w:rsid w:val="00340AC4"/>
    <w:rsid w:val="003414FC"/>
    <w:rsid w:val="003417CA"/>
    <w:rsid w:val="003424E1"/>
    <w:rsid w:val="0034269E"/>
    <w:rsid w:val="00342BDF"/>
    <w:rsid w:val="00343801"/>
    <w:rsid w:val="00343C86"/>
    <w:rsid w:val="00344236"/>
    <w:rsid w:val="00344241"/>
    <w:rsid w:val="00344969"/>
    <w:rsid w:val="00344C13"/>
    <w:rsid w:val="003452AB"/>
    <w:rsid w:val="00346B5D"/>
    <w:rsid w:val="00346D47"/>
    <w:rsid w:val="00347001"/>
    <w:rsid w:val="0034790F"/>
    <w:rsid w:val="00347974"/>
    <w:rsid w:val="00353309"/>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C24"/>
    <w:rsid w:val="00372D36"/>
    <w:rsid w:val="00372DAD"/>
    <w:rsid w:val="00374BAF"/>
    <w:rsid w:val="00375A2E"/>
    <w:rsid w:val="00375CCC"/>
    <w:rsid w:val="00376792"/>
    <w:rsid w:val="00377BD0"/>
    <w:rsid w:val="00380A4A"/>
    <w:rsid w:val="003814AB"/>
    <w:rsid w:val="00381FB6"/>
    <w:rsid w:val="00382A17"/>
    <w:rsid w:val="00382AC9"/>
    <w:rsid w:val="00382B15"/>
    <w:rsid w:val="00382F79"/>
    <w:rsid w:val="003834B3"/>
    <w:rsid w:val="003839E9"/>
    <w:rsid w:val="00383D39"/>
    <w:rsid w:val="00384D19"/>
    <w:rsid w:val="00384E6A"/>
    <w:rsid w:val="003860EA"/>
    <w:rsid w:val="0038677D"/>
    <w:rsid w:val="00390A92"/>
    <w:rsid w:val="0039145F"/>
    <w:rsid w:val="003921CE"/>
    <w:rsid w:val="00393B29"/>
    <w:rsid w:val="0039404A"/>
    <w:rsid w:val="00394322"/>
    <w:rsid w:val="00394B46"/>
    <w:rsid w:val="00395806"/>
    <w:rsid w:val="003A07EE"/>
    <w:rsid w:val="003A0E76"/>
    <w:rsid w:val="003A1265"/>
    <w:rsid w:val="003A16C0"/>
    <w:rsid w:val="003A2BBB"/>
    <w:rsid w:val="003A319C"/>
    <w:rsid w:val="003A3EA0"/>
    <w:rsid w:val="003A3EBC"/>
    <w:rsid w:val="003A40EE"/>
    <w:rsid w:val="003A415E"/>
    <w:rsid w:val="003A4540"/>
    <w:rsid w:val="003A4664"/>
    <w:rsid w:val="003A4749"/>
    <w:rsid w:val="003A4DA4"/>
    <w:rsid w:val="003A4E37"/>
    <w:rsid w:val="003A50F8"/>
    <w:rsid w:val="003A57D8"/>
    <w:rsid w:val="003A5C13"/>
    <w:rsid w:val="003A5F6D"/>
    <w:rsid w:val="003A75B7"/>
    <w:rsid w:val="003B03BA"/>
    <w:rsid w:val="003B1B8C"/>
    <w:rsid w:val="003B1CB6"/>
    <w:rsid w:val="003B2E97"/>
    <w:rsid w:val="003B3B2C"/>
    <w:rsid w:val="003B3DFA"/>
    <w:rsid w:val="003B40AD"/>
    <w:rsid w:val="003B5BB7"/>
    <w:rsid w:val="003B6713"/>
    <w:rsid w:val="003B7AD1"/>
    <w:rsid w:val="003C0176"/>
    <w:rsid w:val="003C0FA8"/>
    <w:rsid w:val="003C1BCC"/>
    <w:rsid w:val="003C2271"/>
    <w:rsid w:val="003C241A"/>
    <w:rsid w:val="003C3D83"/>
    <w:rsid w:val="003C407B"/>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561D"/>
    <w:rsid w:val="003D6072"/>
    <w:rsid w:val="003D6FB3"/>
    <w:rsid w:val="003D7042"/>
    <w:rsid w:val="003E16BE"/>
    <w:rsid w:val="003E1F2D"/>
    <w:rsid w:val="003E4544"/>
    <w:rsid w:val="003E491C"/>
    <w:rsid w:val="003E4942"/>
    <w:rsid w:val="003E4A6A"/>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479D"/>
    <w:rsid w:val="003F553D"/>
    <w:rsid w:val="003F59AE"/>
    <w:rsid w:val="003F7068"/>
    <w:rsid w:val="003F78CD"/>
    <w:rsid w:val="003F799F"/>
    <w:rsid w:val="00400113"/>
    <w:rsid w:val="004003D9"/>
    <w:rsid w:val="00400AF9"/>
    <w:rsid w:val="00401520"/>
    <w:rsid w:val="00401657"/>
    <w:rsid w:val="00401855"/>
    <w:rsid w:val="0040230F"/>
    <w:rsid w:val="0040264D"/>
    <w:rsid w:val="00402B5B"/>
    <w:rsid w:val="004032C7"/>
    <w:rsid w:val="004042CE"/>
    <w:rsid w:val="0040517B"/>
    <w:rsid w:val="00405547"/>
    <w:rsid w:val="00405800"/>
    <w:rsid w:val="0040698B"/>
    <w:rsid w:val="00407A8B"/>
    <w:rsid w:val="00407E03"/>
    <w:rsid w:val="00410637"/>
    <w:rsid w:val="00410E05"/>
    <w:rsid w:val="004123E8"/>
    <w:rsid w:val="00412662"/>
    <w:rsid w:val="0041296E"/>
    <w:rsid w:val="00413825"/>
    <w:rsid w:val="00413D84"/>
    <w:rsid w:val="00415AB3"/>
    <w:rsid w:val="0041625F"/>
    <w:rsid w:val="004164DF"/>
    <w:rsid w:val="004174BD"/>
    <w:rsid w:val="00420392"/>
    <w:rsid w:val="004203A6"/>
    <w:rsid w:val="00421A80"/>
    <w:rsid w:val="00422058"/>
    <w:rsid w:val="004223D5"/>
    <w:rsid w:val="00422B47"/>
    <w:rsid w:val="0042394C"/>
    <w:rsid w:val="0042405B"/>
    <w:rsid w:val="004269D0"/>
    <w:rsid w:val="004275A9"/>
    <w:rsid w:val="00430D92"/>
    <w:rsid w:val="0043106F"/>
    <w:rsid w:val="004313A9"/>
    <w:rsid w:val="004316D5"/>
    <w:rsid w:val="0043393F"/>
    <w:rsid w:val="00433C28"/>
    <w:rsid w:val="0043422F"/>
    <w:rsid w:val="00435311"/>
    <w:rsid w:val="004356CA"/>
    <w:rsid w:val="004360FE"/>
    <w:rsid w:val="00436D3C"/>
    <w:rsid w:val="0043765D"/>
    <w:rsid w:val="004378A7"/>
    <w:rsid w:val="004378F1"/>
    <w:rsid w:val="00437E0C"/>
    <w:rsid w:val="00440961"/>
    <w:rsid w:val="00440AA6"/>
    <w:rsid w:val="004428C9"/>
    <w:rsid w:val="00443341"/>
    <w:rsid w:val="00443A34"/>
    <w:rsid w:val="004450F7"/>
    <w:rsid w:val="004451F6"/>
    <w:rsid w:val="00447717"/>
    <w:rsid w:val="004477E7"/>
    <w:rsid w:val="00447946"/>
    <w:rsid w:val="00447B09"/>
    <w:rsid w:val="004522CC"/>
    <w:rsid w:val="00453473"/>
    <w:rsid w:val="0045378B"/>
    <w:rsid w:val="00454656"/>
    <w:rsid w:val="0045571A"/>
    <w:rsid w:val="00455E9D"/>
    <w:rsid w:val="00456872"/>
    <w:rsid w:val="00456B3D"/>
    <w:rsid w:val="00456BA5"/>
    <w:rsid w:val="00457661"/>
    <w:rsid w:val="00460045"/>
    <w:rsid w:val="00463569"/>
    <w:rsid w:val="004647B7"/>
    <w:rsid w:val="00465191"/>
    <w:rsid w:val="00465CB0"/>
    <w:rsid w:val="004660DC"/>
    <w:rsid w:val="00466468"/>
    <w:rsid w:val="004672EE"/>
    <w:rsid w:val="00470E76"/>
    <w:rsid w:val="004712B9"/>
    <w:rsid w:val="00471B44"/>
    <w:rsid w:val="00471CDE"/>
    <w:rsid w:val="0047331C"/>
    <w:rsid w:val="00474BA6"/>
    <w:rsid w:val="00474C33"/>
    <w:rsid w:val="0047536C"/>
    <w:rsid w:val="00475F8E"/>
    <w:rsid w:val="00476412"/>
    <w:rsid w:val="00476CAD"/>
    <w:rsid w:val="00477198"/>
    <w:rsid w:val="00477455"/>
    <w:rsid w:val="004804F9"/>
    <w:rsid w:val="004807E3"/>
    <w:rsid w:val="00480D23"/>
    <w:rsid w:val="0048130D"/>
    <w:rsid w:val="004832C4"/>
    <w:rsid w:val="00483915"/>
    <w:rsid w:val="00483C1D"/>
    <w:rsid w:val="00483D0F"/>
    <w:rsid w:val="00483E9F"/>
    <w:rsid w:val="00485492"/>
    <w:rsid w:val="00485BDB"/>
    <w:rsid w:val="004864C2"/>
    <w:rsid w:val="00486637"/>
    <w:rsid w:val="00487246"/>
    <w:rsid w:val="004906C5"/>
    <w:rsid w:val="00490774"/>
    <w:rsid w:val="00492258"/>
    <w:rsid w:val="00492558"/>
    <w:rsid w:val="0049656C"/>
    <w:rsid w:val="004972DD"/>
    <w:rsid w:val="00497B4D"/>
    <w:rsid w:val="004A0319"/>
    <w:rsid w:val="004A0CBC"/>
    <w:rsid w:val="004A2B72"/>
    <w:rsid w:val="004A32F3"/>
    <w:rsid w:val="004A3938"/>
    <w:rsid w:val="004A455F"/>
    <w:rsid w:val="004A4700"/>
    <w:rsid w:val="004A5076"/>
    <w:rsid w:val="004A59FA"/>
    <w:rsid w:val="004A66BE"/>
    <w:rsid w:val="004A68F4"/>
    <w:rsid w:val="004A6B31"/>
    <w:rsid w:val="004A6D27"/>
    <w:rsid w:val="004A7304"/>
    <w:rsid w:val="004B0569"/>
    <w:rsid w:val="004B05FB"/>
    <w:rsid w:val="004B20CD"/>
    <w:rsid w:val="004B20E3"/>
    <w:rsid w:val="004B2196"/>
    <w:rsid w:val="004B39DD"/>
    <w:rsid w:val="004B41F8"/>
    <w:rsid w:val="004B5CED"/>
    <w:rsid w:val="004B6073"/>
    <w:rsid w:val="004B68D7"/>
    <w:rsid w:val="004B6D23"/>
    <w:rsid w:val="004B7120"/>
    <w:rsid w:val="004C1531"/>
    <w:rsid w:val="004C1803"/>
    <w:rsid w:val="004C1974"/>
    <w:rsid w:val="004C229D"/>
    <w:rsid w:val="004C2E68"/>
    <w:rsid w:val="004C3561"/>
    <w:rsid w:val="004C36D6"/>
    <w:rsid w:val="004C556D"/>
    <w:rsid w:val="004C594C"/>
    <w:rsid w:val="004C5A95"/>
    <w:rsid w:val="004C6BCC"/>
    <w:rsid w:val="004C7E7C"/>
    <w:rsid w:val="004C7FD3"/>
    <w:rsid w:val="004D06E9"/>
    <w:rsid w:val="004D0D29"/>
    <w:rsid w:val="004D14C3"/>
    <w:rsid w:val="004D1C2B"/>
    <w:rsid w:val="004D1DC6"/>
    <w:rsid w:val="004D34F9"/>
    <w:rsid w:val="004D3578"/>
    <w:rsid w:val="004D380D"/>
    <w:rsid w:val="004D4073"/>
    <w:rsid w:val="004D4842"/>
    <w:rsid w:val="004D5484"/>
    <w:rsid w:val="004E0C79"/>
    <w:rsid w:val="004E213A"/>
    <w:rsid w:val="004E2917"/>
    <w:rsid w:val="004E3634"/>
    <w:rsid w:val="004E383E"/>
    <w:rsid w:val="004E48C4"/>
    <w:rsid w:val="004E55E8"/>
    <w:rsid w:val="004E6ADB"/>
    <w:rsid w:val="004E6AF6"/>
    <w:rsid w:val="004F0DE1"/>
    <w:rsid w:val="004F10A5"/>
    <w:rsid w:val="004F156A"/>
    <w:rsid w:val="004F1BFA"/>
    <w:rsid w:val="004F1FF0"/>
    <w:rsid w:val="004F24E9"/>
    <w:rsid w:val="004F3657"/>
    <w:rsid w:val="004F38A7"/>
    <w:rsid w:val="004F5510"/>
    <w:rsid w:val="004F7701"/>
    <w:rsid w:val="004F795C"/>
    <w:rsid w:val="00502735"/>
    <w:rsid w:val="00502BC6"/>
    <w:rsid w:val="00503171"/>
    <w:rsid w:val="005037A0"/>
    <w:rsid w:val="00503B86"/>
    <w:rsid w:val="00505688"/>
    <w:rsid w:val="005060C0"/>
    <w:rsid w:val="00506C28"/>
    <w:rsid w:val="00511479"/>
    <w:rsid w:val="00511867"/>
    <w:rsid w:val="00511F56"/>
    <w:rsid w:val="0051299A"/>
    <w:rsid w:val="00514D10"/>
    <w:rsid w:val="00515DD8"/>
    <w:rsid w:val="00516518"/>
    <w:rsid w:val="005169F2"/>
    <w:rsid w:val="00516AC5"/>
    <w:rsid w:val="00517273"/>
    <w:rsid w:val="0051770A"/>
    <w:rsid w:val="005218EB"/>
    <w:rsid w:val="00522344"/>
    <w:rsid w:val="005225BC"/>
    <w:rsid w:val="00522978"/>
    <w:rsid w:val="0052314A"/>
    <w:rsid w:val="005232B6"/>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87E"/>
    <w:rsid w:val="00544A36"/>
    <w:rsid w:val="005460C9"/>
    <w:rsid w:val="00546151"/>
    <w:rsid w:val="00546749"/>
    <w:rsid w:val="00546CB4"/>
    <w:rsid w:val="0055050A"/>
    <w:rsid w:val="005506D7"/>
    <w:rsid w:val="00550FEA"/>
    <w:rsid w:val="00551ED5"/>
    <w:rsid w:val="00551ED6"/>
    <w:rsid w:val="00551F97"/>
    <w:rsid w:val="00552886"/>
    <w:rsid w:val="00552D11"/>
    <w:rsid w:val="00553021"/>
    <w:rsid w:val="005546E7"/>
    <w:rsid w:val="00554BA9"/>
    <w:rsid w:val="00555021"/>
    <w:rsid w:val="00555A49"/>
    <w:rsid w:val="00555CE2"/>
    <w:rsid w:val="00556E7B"/>
    <w:rsid w:val="00557A99"/>
    <w:rsid w:val="0056076A"/>
    <w:rsid w:val="00563BA4"/>
    <w:rsid w:val="0056469D"/>
    <w:rsid w:val="0056480F"/>
    <w:rsid w:val="00565087"/>
    <w:rsid w:val="005652E6"/>
    <w:rsid w:val="0056573F"/>
    <w:rsid w:val="005661B3"/>
    <w:rsid w:val="00566566"/>
    <w:rsid w:val="00566748"/>
    <w:rsid w:val="0056700B"/>
    <w:rsid w:val="005672CF"/>
    <w:rsid w:val="00567494"/>
    <w:rsid w:val="005702AA"/>
    <w:rsid w:val="0057072F"/>
    <w:rsid w:val="00570858"/>
    <w:rsid w:val="0057085C"/>
    <w:rsid w:val="00571C92"/>
    <w:rsid w:val="00571FB4"/>
    <w:rsid w:val="00573B7D"/>
    <w:rsid w:val="00573DDF"/>
    <w:rsid w:val="005740A5"/>
    <w:rsid w:val="0057442F"/>
    <w:rsid w:val="00574881"/>
    <w:rsid w:val="0057551C"/>
    <w:rsid w:val="0057600B"/>
    <w:rsid w:val="0057656C"/>
    <w:rsid w:val="00577C93"/>
    <w:rsid w:val="00577E61"/>
    <w:rsid w:val="00580069"/>
    <w:rsid w:val="00580A44"/>
    <w:rsid w:val="00580E96"/>
    <w:rsid w:val="00582479"/>
    <w:rsid w:val="00582686"/>
    <w:rsid w:val="00582CDB"/>
    <w:rsid w:val="00583D60"/>
    <w:rsid w:val="00584EE9"/>
    <w:rsid w:val="005862E2"/>
    <w:rsid w:val="00586897"/>
    <w:rsid w:val="00586CF6"/>
    <w:rsid w:val="00587B48"/>
    <w:rsid w:val="005900CE"/>
    <w:rsid w:val="00591952"/>
    <w:rsid w:val="005920E6"/>
    <w:rsid w:val="00592E94"/>
    <w:rsid w:val="00592F22"/>
    <w:rsid w:val="005938B5"/>
    <w:rsid w:val="00593B6E"/>
    <w:rsid w:val="00594AA3"/>
    <w:rsid w:val="0059501A"/>
    <w:rsid w:val="00595AC6"/>
    <w:rsid w:val="00595D37"/>
    <w:rsid w:val="00595E0D"/>
    <w:rsid w:val="00596A54"/>
    <w:rsid w:val="00597AA1"/>
    <w:rsid w:val="005A0B84"/>
    <w:rsid w:val="005A0D59"/>
    <w:rsid w:val="005A14B6"/>
    <w:rsid w:val="005A166D"/>
    <w:rsid w:val="005A2CAD"/>
    <w:rsid w:val="005A2F36"/>
    <w:rsid w:val="005A3B28"/>
    <w:rsid w:val="005A6916"/>
    <w:rsid w:val="005A71C1"/>
    <w:rsid w:val="005B1A24"/>
    <w:rsid w:val="005B1DC5"/>
    <w:rsid w:val="005B249B"/>
    <w:rsid w:val="005B25C1"/>
    <w:rsid w:val="005B3C9A"/>
    <w:rsid w:val="005B46AD"/>
    <w:rsid w:val="005B57C5"/>
    <w:rsid w:val="005B661E"/>
    <w:rsid w:val="005B6B8C"/>
    <w:rsid w:val="005C0207"/>
    <w:rsid w:val="005C15EC"/>
    <w:rsid w:val="005C1823"/>
    <w:rsid w:val="005C2519"/>
    <w:rsid w:val="005C25FE"/>
    <w:rsid w:val="005C268D"/>
    <w:rsid w:val="005C2845"/>
    <w:rsid w:val="005C3BB4"/>
    <w:rsid w:val="005C3C11"/>
    <w:rsid w:val="005C43EE"/>
    <w:rsid w:val="005C528A"/>
    <w:rsid w:val="005C5C31"/>
    <w:rsid w:val="005C6D27"/>
    <w:rsid w:val="005C7E45"/>
    <w:rsid w:val="005D1A5D"/>
    <w:rsid w:val="005D30D4"/>
    <w:rsid w:val="005D30EC"/>
    <w:rsid w:val="005D3515"/>
    <w:rsid w:val="005D5447"/>
    <w:rsid w:val="005D661E"/>
    <w:rsid w:val="005D6CE5"/>
    <w:rsid w:val="005E04B7"/>
    <w:rsid w:val="005E13E6"/>
    <w:rsid w:val="005E1A07"/>
    <w:rsid w:val="005E3650"/>
    <w:rsid w:val="005E5D4F"/>
    <w:rsid w:val="005E6A6C"/>
    <w:rsid w:val="005F02B9"/>
    <w:rsid w:val="005F071B"/>
    <w:rsid w:val="005F0E03"/>
    <w:rsid w:val="005F137F"/>
    <w:rsid w:val="005F1F77"/>
    <w:rsid w:val="005F21F1"/>
    <w:rsid w:val="005F2904"/>
    <w:rsid w:val="005F2EDF"/>
    <w:rsid w:val="005F3692"/>
    <w:rsid w:val="005F443A"/>
    <w:rsid w:val="005F4B1A"/>
    <w:rsid w:val="005F4E8E"/>
    <w:rsid w:val="005F70C3"/>
    <w:rsid w:val="005F7807"/>
    <w:rsid w:val="00600C3F"/>
    <w:rsid w:val="0060164A"/>
    <w:rsid w:val="00601B4D"/>
    <w:rsid w:val="00602641"/>
    <w:rsid w:val="006031B6"/>
    <w:rsid w:val="00603219"/>
    <w:rsid w:val="006034B6"/>
    <w:rsid w:val="00603674"/>
    <w:rsid w:val="00605118"/>
    <w:rsid w:val="006056F8"/>
    <w:rsid w:val="00605DC0"/>
    <w:rsid w:val="006067A4"/>
    <w:rsid w:val="00610359"/>
    <w:rsid w:val="006112AF"/>
    <w:rsid w:val="006114FE"/>
    <w:rsid w:val="00611566"/>
    <w:rsid w:val="00611F13"/>
    <w:rsid w:val="00613340"/>
    <w:rsid w:val="006143D1"/>
    <w:rsid w:val="00614EE6"/>
    <w:rsid w:val="00615076"/>
    <w:rsid w:val="00615B03"/>
    <w:rsid w:val="00615CCD"/>
    <w:rsid w:val="006177A0"/>
    <w:rsid w:val="006178EE"/>
    <w:rsid w:val="00617901"/>
    <w:rsid w:val="00617A6B"/>
    <w:rsid w:val="00617D23"/>
    <w:rsid w:val="00621140"/>
    <w:rsid w:val="006211DA"/>
    <w:rsid w:val="00621371"/>
    <w:rsid w:val="006229F8"/>
    <w:rsid w:val="00623713"/>
    <w:rsid w:val="00623A25"/>
    <w:rsid w:val="0062480B"/>
    <w:rsid w:val="00624F02"/>
    <w:rsid w:val="0062505B"/>
    <w:rsid w:val="006250A5"/>
    <w:rsid w:val="006254F4"/>
    <w:rsid w:val="00625634"/>
    <w:rsid w:val="00626696"/>
    <w:rsid w:val="0062739F"/>
    <w:rsid w:val="00631DBD"/>
    <w:rsid w:val="00632222"/>
    <w:rsid w:val="00633563"/>
    <w:rsid w:val="00633FF0"/>
    <w:rsid w:val="006344B8"/>
    <w:rsid w:val="00635F47"/>
    <w:rsid w:val="006365BD"/>
    <w:rsid w:val="00637B59"/>
    <w:rsid w:val="00637E48"/>
    <w:rsid w:val="00640FC6"/>
    <w:rsid w:val="006417AD"/>
    <w:rsid w:val="006419D9"/>
    <w:rsid w:val="00641F14"/>
    <w:rsid w:val="0064411C"/>
    <w:rsid w:val="006454FE"/>
    <w:rsid w:val="00645984"/>
    <w:rsid w:val="00645D44"/>
    <w:rsid w:val="006461DC"/>
    <w:rsid w:val="006465F3"/>
    <w:rsid w:val="006468AF"/>
    <w:rsid w:val="00646D99"/>
    <w:rsid w:val="00647E8B"/>
    <w:rsid w:val="00650084"/>
    <w:rsid w:val="00650A99"/>
    <w:rsid w:val="00651125"/>
    <w:rsid w:val="006519D1"/>
    <w:rsid w:val="00651A6B"/>
    <w:rsid w:val="00652646"/>
    <w:rsid w:val="006531CD"/>
    <w:rsid w:val="00653853"/>
    <w:rsid w:val="00653B3B"/>
    <w:rsid w:val="00654922"/>
    <w:rsid w:val="00656910"/>
    <w:rsid w:val="00656E2E"/>
    <w:rsid w:val="006600CD"/>
    <w:rsid w:val="00660764"/>
    <w:rsid w:val="00660C3A"/>
    <w:rsid w:val="00661128"/>
    <w:rsid w:val="006616ED"/>
    <w:rsid w:val="00662288"/>
    <w:rsid w:val="00662592"/>
    <w:rsid w:val="00662F28"/>
    <w:rsid w:val="006630BE"/>
    <w:rsid w:val="0066344B"/>
    <w:rsid w:val="006638B9"/>
    <w:rsid w:val="006645DE"/>
    <w:rsid w:val="006651FF"/>
    <w:rsid w:val="006654B9"/>
    <w:rsid w:val="00665BE7"/>
    <w:rsid w:val="00666483"/>
    <w:rsid w:val="00666DD5"/>
    <w:rsid w:val="006670D3"/>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643"/>
    <w:rsid w:val="006819F6"/>
    <w:rsid w:val="00681CE2"/>
    <w:rsid w:val="006829F2"/>
    <w:rsid w:val="00682D58"/>
    <w:rsid w:val="00684425"/>
    <w:rsid w:val="006856CF"/>
    <w:rsid w:val="0068681F"/>
    <w:rsid w:val="0068738A"/>
    <w:rsid w:val="006901D6"/>
    <w:rsid w:val="00690205"/>
    <w:rsid w:val="00690B0B"/>
    <w:rsid w:val="00690CE5"/>
    <w:rsid w:val="006926BA"/>
    <w:rsid w:val="00692FC3"/>
    <w:rsid w:val="00693373"/>
    <w:rsid w:val="00694012"/>
    <w:rsid w:val="0069477C"/>
    <w:rsid w:val="0069498C"/>
    <w:rsid w:val="00694D2A"/>
    <w:rsid w:val="006959DA"/>
    <w:rsid w:val="006962B0"/>
    <w:rsid w:val="006965CD"/>
    <w:rsid w:val="006966E9"/>
    <w:rsid w:val="00696DF2"/>
    <w:rsid w:val="006973B7"/>
    <w:rsid w:val="006977C6"/>
    <w:rsid w:val="00697858"/>
    <w:rsid w:val="006A05AE"/>
    <w:rsid w:val="006A1436"/>
    <w:rsid w:val="006A180F"/>
    <w:rsid w:val="006A1BBC"/>
    <w:rsid w:val="006A29F7"/>
    <w:rsid w:val="006A334F"/>
    <w:rsid w:val="006A33C1"/>
    <w:rsid w:val="006A3581"/>
    <w:rsid w:val="006A38BD"/>
    <w:rsid w:val="006A456D"/>
    <w:rsid w:val="006A5153"/>
    <w:rsid w:val="006A5209"/>
    <w:rsid w:val="006A54BE"/>
    <w:rsid w:val="006A5837"/>
    <w:rsid w:val="006A6944"/>
    <w:rsid w:val="006A74DC"/>
    <w:rsid w:val="006B0254"/>
    <w:rsid w:val="006B3A5A"/>
    <w:rsid w:val="006B4D84"/>
    <w:rsid w:val="006B4DAC"/>
    <w:rsid w:val="006B605E"/>
    <w:rsid w:val="006B6466"/>
    <w:rsid w:val="006B71D6"/>
    <w:rsid w:val="006B7943"/>
    <w:rsid w:val="006B7B32"/>
    <w:rsid w:val="006C0FBC"/>
    <w:rsid w:val="006C0FBF"/>
    <w:rsid w:val="006C3613"/>
    <w:rsid w:val="006C3BB0"/>
    <w:rsid w:val="006C4CC8"/>
    <w:rsid w:val="006C6225"/>
    <w:rsid w:val="006C66D8"/>
    <w:rsid w:val="006C768F"/>
    <w:rsid w:val="006D0C80"/>
    <w:rsid w:val="006D0EC9"/>
    <w:rsid w:val="006D1E24"/>
    <w:rsid w:val="006D240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E7503"/>
    <w:rsid w:val="006E77C8"/>
    <w:rsid w:val="006F0D09"/>
    <w:rsid w:val="006F0EE0"/>
    <w:rsid w:val="006F1BBC"/>
    <w:rsid w:val="006F1C88"/>
    <w:rsid w:val="006F25E4"/>
    <w:rsid w:val="006F32EA"/>
    <w:rsid w:val="006F3ADE"/>
    <w:rsid w:val="006F3D6C"/>
    <w:rsid w:val="006F47F6"/>
    <w:rsid w:val="006F5187"/>
    <w:rsid w:val="006F5D11"/>
    <w:rsid w:val="006F6A2C"/>
    <w:rsid w:val="006F6E95"/>
    <w:rsid w:val="006F78E6"/>
    <w:rsid w:val="007005F3"/>
    <w:rsid w:val="00700CF7"/>
    <w:rsid w:val="00702AAA"/>
    <w:rsid w:val="00702F97"/>
    <w:rsid w:val="0070458C"/>
    <w:rsid w:val="007047C8"/>
    <w:rsid w:val="00704C10"/>
    <w:rsid w:val="00705A59"/>
    <w:rsid w:val="00705D88"/>
    <w:rsid w:val="00710201"/>
    <w:rsid w:val="0071066B"/>
    <w:rsid w:val="00712A3D"/>
    <w:rsid w:val="00713611"/>
    <w:rsid w:val="00715050"/>
    <w:rsid w:val="00715C9C"/>
    <w:rsid w:val="00715F4F"/>
    <w:rsid w:val="0071612B"/>
    <w:rsid w:val="00716280"/>
    <w:rsid w:val="0071689E"/>
    <w:rsid w:val="00717A1C"/>
    <w:rsid w:val="0072014D"/>
    <w:rsid w:val="0072086A"/>
    <w:rsid w:val="00721218"/>
    <w:rsid w:val="00721FCB"/>
    <w:rsid w:val="00722B73"/>
    <w:rsid w:val="00722EFA"/>
    <w:rsid w:val="007234B3"/>
    <w:rsid w:val="00723E91"/>
    <w:rsid w:val="00724D68"/>
    <w:rsid w:val="00725B29"/>
    <w:rsid w:val="00726793"/>
    <w:rsid w:val="00727896"/>
    <w:rsid w:val="00730422"/>
    <w:rsid w:val="0073352B"/>
    <w:rsid w:val="00733E21"/>
    <w:rsid w:val="00734A5B"/>
    <w:rsid w:val="00734CEE"/>
    <w:rsid w:val="00735E81"/>
    <w:rsid w:val="00735F8A"/>
    <w:rsid w:val="00736667"/>
    <w:rsid w:val="00736A70"/>
    <w:rsid w:val="00740428"/>
    <w:rsid w:val="00740946"/>
    <w:rsid w:val="007418B7"/>
    <w:rsid w:val="00741E7A"/>
    <w:rsid w:val="00743D48"/>
    <w:rsid w:val="007440A7"/>
    <w:rsid w:val="00744E76"/>
    <w:rsid w:val="007458A9"/>
    <w:rsid w:val="007460EF"/>
    <w:rsid w:val="00747738"/>
    <w:rsid w:val="00747A03"/>
    <w:rsid w:val="00747D0A"/>
    <w:rsid w:val="007504A9"/>
    <w:rsid w:val="00750722"/>
    <w:rsid w:val="0075199C"/>
    <w:rsid w:val="00752C67"/>
    <w:rsid w:val="00753591"/>
    <w:rsid w:val="00753C6F"/>
    <w:rsid w:val="007542F1"/>
    <w:rsid w:val="007565AD"/>
    <w:rsid w:val="00757D40"/>
    <w:rsid w:val="007606EB"/>
    <w:rsid w:val="00761043"/>
    <w:rsid w:val="007614AC"/>
    <w:rsid w:val="007636D3"/>
    <w:rsid w:val="00763BB5"/>
    <w:rsid w:val="00763FAF"/>
    <w:rsid w:val="007658B7"/>
    <w:rsid w:val="007665C4"/>
    <w:rsid w:val="00766A4F"/>
    <w:rsid w:val="00766DD4"/>
    <w:rsid w:val="0076792F"/>
    <w:rsid w:val="0076795C"/>
    <w:rsid w:val="00771416"/>
    <w:rsid w:val="0077195B"/>
    <w:rsid w:val="00771BCD"/>
    <w:rsid w:val="00772997"/>
    <w:rsid w:val="00773ACB"/>
    <w:rsid w:val="00776516"/>
    <w:rsid w:val="00776C2C"/>
    <w:rsid w:val="0077721F"/>
    <w:rsid w:val="00777446"/>
    <w:rsid w:val="00777E79"/>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49D"/>
    <w:rsid w:val="007904EC"/>
    <w:rsid w:val="00790CC7"/>
    <w:rsid w:val="00790D6F"/>
    <w:rsid w:val="00790F4C"/>
    <w:rsid w:val="00793504"/>
    <w:rsid w:val="007935C3"/>
    <w:rsid w:val="00793A53"/>
    <w:rsid w:val="00793CCC"/>
    <w:rsid w:val="00793E48"/>
    <w:rsid w:val="00794590"/>
    <w:rsid w:val="0079664E"/>
    <w:rsid w:val="00797A20"/>
    <w:rsid w:val="007A02C7"/>
    <w:rsid w:val="007A0634"/>
    <w:rsid w:val="007A1E36"/>
    <w:rsid w:val="007A2383"/>
    <w:rsid w:val="007A3872"/>
    <w:rsid w:val="007A469E"/>
    <w:rsid w:val="007A4C2F"/>
    <w:rsid w:val="007A5735"/>
    <w:rsid w:val="007A7124"/>
    <w:rsid w:val="007A72E5"/>
    <w:rsid w:val="007A7D45"/>
    <w:rsid w:val="007B0124"/>
    <w:rsid w:val="007B1018"/>
    <w:rsid w:val="007B18D8"/>
    <w:rsid w:val="007B28FE"/>
    <w:rsid w:val="007B30D3"/>
    <w:rsid w:val="007B322E"/>
    <w:rsid w:val="007B3472"/>
    <w:rsid w:val="007B5287"/>
    <w:rsid w:val="007B5408"/>
    <w:rsid w:val="007B579C"/>
    <w:rsid w:val="007B5C20"/>
    <w:rsid w:val="007B65D2"/>
    <w:rsid w:val="007B6CCC"/>
    <w:rsid w:val="007B7D44"/>
    <w:rsid w:val="007B7E09"/>
    <w:rsid w:val="007C095F"/>
    <w:rsid w:val="007C1897"/>
    <w:rsid w:val="007C1BBD"/>
    <w:rsid w:val="007C2012"/>
    <w:rsid w:val="007C2026"/>
    <w:rsid w:val="007C2977"/>
    <w:rsid w:val="007C349C"/>
    <w:rsid w:val="007C378F"/>
    <w:rsid w:val="007C4A37"/>
    <w:rsid w:val="007C603F"/>
    <w:rsid w:val="007C67D2"/>
    <w:rsid w:val="007C76A2"/>
    <w:rsid w:val="007C77C4"/>
    <w:rsid w:val="007D07EE"/>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4431"/>
    <w:rsid w:val="007E4556"/>
    <w:rsid w:val="007E457A"/>
    <w:rsid w:val="007E515A"/>
    <w:rsid w:val="007F01E1"/>
    <w:rsid w:val="007F04EE"/>
    <w:rsid w:val="007F14AD"/>
    <w:rsid w:val="007F2D3D"/>
    <w:rsid w:val="007F31EB"/>
    <w:rsid w:val="007F32FA"/>
    <w:rsid w:val="007F3C30"/>
    <w:rsid w:val="007F410B"/>
    <w:rsid w:val="007F448E"/>
    <w:rsid w:val="007F48F7"/>
    <w:rsid w:val="007F6144"/>
    <w:rsid w:val="007F7268"/>
    <w:rsid w:val="007F7342"/>
    <w:rsid w:val="008005F5"/>
    <w:rsid w:val="00800D57"/>
    <w:rsid w:val="00801BBB"/>
    <w:rsid w:val="008028A4"/>
    <w:rsid w:val="0080333D"/>
    <w:rsid w:val="00803A21"/>
    <w:rsid w:val="00804321"/>
    <w:rsid w:val="00805E0B"/>
    <w:rsid w:val="00806310"/>
    <w:rsid w:val="00810D77"/>
    <w:rsid w:val="00811919"/>
    <w:rsid w:val="00811D5C"/>
    <w:rsid w:val="008120B0"/>
    <w:rsid w:val="00812B0C"/>
    <w:rsid w:val="00813245"/>
    <w:rsid w:val="00813635"/>
    <w:rsid w:val="00813F30"/>
    <w:rsid w:val="00815694"/>
    <w:rsid w:val="00815852"/>
    <w:rsid w:val="008168B6"/>
    <w:rsid w:val="00816CCD"/>
    <w:rsid w:val="00816D27"/>
    <w:rsid w:val="00817883"/>
    <w:rsid w:val="00820AB0"/>
    <w:rsid w:val="0082162B"/>
    <w:rsid w:val="00821AED"/>
    <w:rsid w:val="00822184"/>
    <w:rsid w:val="00823732"/>
    <w:rsid w:val="00823DA9"/>
    <w:rsid w:val="00824755"/>
    <w:rsid w:val="00826403"/>
    <w:rsid w:val="008265B1"/>
    <w:rsid w:val="008267DC"/>
    <w:rsid w:val="00830EC7"/>
    <w:rsid w:val="0083154B"/>
    <w:rsid w:val="008320DC"/>
    <w:rsid w:val="008324A5"/>
    <w:rsid w:val="00833C42"/>
    <w:rsid w:val="008343D1"/>
    <w:rsid w:val="00834604"/>
    <w:rsid w:val="00834A6D"/>
    <w:rsid w:val="00835990"/>
    <w:rsid w:val="00835EC6"/>
    <w:rsid w:val="0083687B"/>
    <w:rsid w:val="00836FB7"/>
    <w:rsid w:val="00844775"/>
    <w:rsid w:val="008452CE"/>
    <w:rsid w:val="00845C7D"/>
    <w:rsid w:val="00845E80"/>
    <w:rsid w:val="008461F0"/>
    <w:rsid w:val="0084763A"/>
    <w:rsid w:val="00847A0A"/>
    <w:rsid w:val="00850785"/>
    <w:rsid w:val="00850942"/>
    <w:rsid w:val="00850BBB"/>
    <w:rsid w:val="0085393D"/>
    <w:rsid w:val="00854A4F"/>
    <w:rsid w:val="008555AC"/>
    <w:rsid w:val="00856127"/>
    <w:rsid w:val="0085698E"/>
    <w:rsid w:val="008571AD"/>
    <w:rsid w:val="00857756"/>
    <w:rsid w:val="00860820"/>
    <w:rsid w:val="00860D01"/>
    <w:rsid w:val="00862701"/>
    <w:rsid w:val="008627AB"/>
    <w:rsid w:val="00862867"/>
    <w:rsid w:val="0086528E"/>
    <w:rsid w:val="00867393"/>
    <w:rsid w:val="00867635"/>
    <w:rsid w:val="00867D0B"/>
    <w:rsid w:val="00867F46"/>
    <w:rsid w:val="00870B46"/>
    <w:rsid w:val="00870F46"/>
    <w:rsid w:val="00871691"/>
    <w:rsid w:val="00872649"/>
    <w:rsid w:val="00873320"/>
    <w:rsid w:val="00874665"/>
    <w:rsid w:val="00874B7A"/>
    <w:rsid w:val="00875ED9"/>
    <w:rsid w:val="008765A4"/>
    <w:rsid w:val="008768CA"/>
    <w:rsid w:val="008773D4"/>
    <w:rsid w:val="00877EF9"/>
    <w:rsid w:val="00880559"/>
    <w:rsid w:val="00880FF7"/>
    <w:rsid w:val="008811ED"/>
    <w:rsid w:val="00881CEB"/>
    <w:rsid w:val="00881E57"/>
    <w:rsid w:val="00882AE0"/>
    <w:rsid w:val="00882C69"/>
    <w:rsid w:val="00884938"/>
    <w:rsid w:val="00884F4E"/>
    <w:rsid w:val="008856E7"/>
    <w:rsid w:val="00886422"/>
    <w:rsid w:val="00886559"/>
    <w:rsid w:val="00887C52"/>
    <w:rsid w:val="0089077E"/>
    <w:rsid w:val="008912A6"/>
    <w:rsid w:val="008916F0"/>
    <w:rsid w:val="00892AE5"/>
    <w:rsid w:val="00892B1C"/>
    <w:rsid w:val="00893663"/>
    <w:rsid w:val="00894069"/>
    <w:rsid w:val="00894A70"/>
    <w:rsid w:val="00894E5B"/>
    <w:rsid w:val="00895302"/>
    <w:rsid w:val="00895EAC"/>
    <w:rsid w:val="00896968"/>
    <w:rsid w:val="008969B5"/>
    <w:rsid w:val="008A0200"/>
    <w:rsid w:val="008A07BA"/>
    <w:rsid w:val="008A086A"/>
    <w:rsid w:val="008A1166"/>
    <w:rsid w:val="008A15D5"/>
    <w:rsid w:val="008A203C"/>
    <w:rsid w:val="008A2747"/>
    <w:rsid w:val="008A27FC"/>
    <w:rsid w:val="008A2D12"/>
    <w:rsid w:val="008A3B78"/>
    <w:rsid w:val="008A4B3B"/>
    <w:rsid w:val="008A4E22"/>
    <w:rsid w:val="008A5572"/>
    <w:rsid w:val="008A58CD"/>
    <w:rsid w:val="008A59C7"/>
    <w:rsid w:val="008A7F52"/>
    <w:rsid w:val="008B0676"/>
    <w:rsid w:val="008B0B57"/>
    <w:rsid w:val="008B192A"/>
    <w:rsid w:val="008B2F2E"/>
    <w:rsid w:val="008B3E11"/>
    <w:rsid w:val="008B44F1"/>
    <w:rsid w:val="008B4D39"/>
    <w:rsid w:val="008B5306"/>
    <w:rsid w:val="008B6229"/>
    <w:rsid w:val="008B63D7"/>
    <w:rsid w:val="008B681A"/>
    <w:rsid w:val="008B6BD2"/>
    <w:rsid w:val="008B71E3"/>
    <w:rsid w:val="008B77DE"/>
    <w:rsid w:val="008B78F5"/>
    <w:rsid w:val="008C0E06"/>
    <w:rsid w:val="008C1393"/>
    <w:rsid w:val="008C1A63"/>
    <w:rsid w:val="008C20F7"/>
    <w:rsid w:val="008C2482"/>
    <w:rsid w:val="008C35C7"/>
    <w:rsid w:val="008C3998"/>
    <w:rsid w:val="008C3BFE"/>
    <w:rsid w:val="008C3F92"/>
    <w:rsid w:val="008C411B"/>
    <w:rsid w:val="008C42B8"/>
    <w:rsid w:val="008C504C"/>
    <w:rsid w:val="008C51AD"/>
    <w:rsid w:val="008C54C2"/>
    <w:rsid w:val="008C7888"/>
    <w:rsid w:val="008D0069"/>
    <w:rsid w:val="008D039A"/>
    <w:rsid w:val="008D05CE"/>
    <w:rsid w:val="008D0839"/>
    <w:rsid w:val="008D0F79"/>
    <w:rsid w:val="008D196B"/>
    <w:rsid w:val="008D1CD5"/>
    <w:rsid w:val="008D2258"/>
    <w:rsid w:val="008D2B8C"/>
    <w:rsid w:val="008D3F70"/>
    <w:rsid w:val="008D467A"/>
    <w:rsid w:val="008D56BE"/>
    <w:rsid w:val="008D5BDF"/>
    <w:rsid w:val="008D7FDD"/>
    <w:rsid w:val="008E0A91"/>
    <w:rsid w:val="008E1092"/>
    <w:rsid w:val="008E131E"/>
    <w:rsid w:val="008E1B0B"/>
    <w:rsid w:val="008E2B18"/>
    <w:rsid w:val="008E3326"/>
    <w:rsid w:val="008E345E"/>
    <w:rsid w:val="008E3B19"/>
    <w:rsid w:val="008E412B"/>
    <w:rsid w:val="008E51F2"/>
    <w:rsid w:val="008E5459"/>
    <w:rsid w:val="008E576F"/>
    <w:rsid w:val="008F1491"/>
    <w:rsid w:val="008F2039"/>
    <w:rsid w:val="008F2BF7"/>
    <w:rsid w:val="008F2E9A"/>
    <w:rsid w:val="008F4585"/>
    <w:rsid w:val="008F4F99"/>
    <w:rsid w:val="008F5153"/>
    <w:rsid w:val="008F5665"/>
    <w:rsid w:val="008F595B"/>
    <w:rsid w:val="00901335"/>
    <w:rsid w:val="0090187C"/>
    <w:rsid w:val="009024E8"/>
    <w:rsid w:val="0090271F"/>
    <w:rsid w:val="00902BF3"/>
    <w:rsid w:val="00902DB9"/>
    <w:rsid w:val="009033FD"/>
    <w:rsid w:val="0090466A"/>
    <w:rsid w:val="0090493A"/>
    <w:rsid w:val="00904FEE"/>
    <w:rsid w:val="00905065"/>
    <w:rsid w:val="00905C68"/>
    <w:rsid w:val="009062D3"/>
    <w:rsid w:val="00907533"/>
    <w:rsid w:val="00907DD2"/>
    <w:rsid w:val="009106D9"/>
    <w:rsid w:val="009117E5"/>
    <w:rsid w:val="00911A3A"/>
    <w:rsid w:val="00911D81"/>
    <w:rsid w:val="00911DEA"/>
    <w:rsid w:val="00912755"/>
    <w:rsid w:val="00912CD4"/>
    <w:rsid w:val="00912EC9"/>
    <w:rsid w:val="00913255"/>
    <w:rsid w:val="00913C83"/>
    <w:rsid w:val="00914089"/>
    <w:rsid w:val="00914919"/>
    <w:rsid w:val="00917ABE"/>
    <w:rsid w:val="0092024A"/>
    <w:rsid w:val="00920A65"/>
    <w:rsid w:val="00921F58"/>
    <w:rsid w:val="00922DC1"/>
    <w:rsid w:val="0092322B"/>
    <w:rsid w:val="00923CF4"/>
    <w:rsid w:val="00924D2C"/>
    <w:rsid w:val="009252BA"/>
    <w:rsid w:val="00925E26"/>
    <w:rsid w:val="0092657D"/>
    <w:rsid w:val="009307BE"/>
    <w:rsid w:val="0093099E"/>
    <w:rsid w:val="00931360"/>
    <w:rsid w:val="00931AF4"/>
    <w:rsid w:val="00933406"/>
    <w:rsid w:val="00933A06"/>
    <w:rsid w:val="00933F83"/>
    <w:rsid w:val="0093421B"/>
    <w:rsid w:val="00934B30"/>
    <w:rsid w:val="00935FE9"/>
    <w:rsid w:val="00936071"/>
    <w:rsid w:val="00940212"/>
    <w:rsid w:val="009412DA"/>
    <w:rsid w:val="0094197F"/>
    <w:rsid w:val="00942E6A"/>
    <w:rsid w:val="00942EC2"/>
    <w:rsid w:val="00944C6A"/>
    <w:rsid w:val="00945B30"/>
    <w:rsid w:val="0094790B"/>
    <w:rsid w:val="0094798C"/>
    <w:rsid w:val="0095063C"/>
    <w:rsid w:val="009520D2"/>
    <w:rsid w:val="00952833"/>
    <w:rsid w:val="00952A0E"/>
    <w:rsid w:val="0095306B"/>
    <w:rsid w:val="0095382B"/>
    <w:rsid w:val="009540CA"/>
    <w:rsid w:val="009543C0"/>
    <w:rsid w:val="0095453B"/>
    <w:rsid w:val="009553D1"/>
    <w:rsid w:val="00955470"/>
    <w:rsid w:val="009554AC"/>
    <w:rsid w:val="00955694"/>
    <w:rsid w:val="00956A9D"/>
    <w:rsid w:val="00957D2B"/>
    <w:rsid w:val="00957E6F"/>
    <w:rsid w:val="00961B32"/>
    <w:rsid w:val="00962174"/>
    <w:rsid w:val="0096224D"/>
    <w:rsid w:val="0096246C"/>
    <w:rsid w:val="0096294B"/>
    <w:rsid w:val="00963193"/>
    <w:rsid w:val="0096408F"/>
    <w:rsid w:val="00964112"/>
    <w:rsid w:val="00964344"/>
    <w:rsid w:val="009648F8"/>
    <w:rsid w:val="009656AD"/>
    <w:rsid w:val="009658F8"/>
    <w:rsid w:val="00966AFE"/>
    <w:rsid w:val="009701E1"/>
    <w:rsid w:val="009709BE"/>
    <w:rsid w:val="00970DB3"/>
    <w:rsid w:val="00971212"/>
    <w:rsid w:val="009716B1"/>
    <w:rsid w:val="009738F6"/>
    <w:rsid w:val="00973E6E"/>
    <w:rsid w:val="00974940"/>
    <w:rsid w:val="00974B05"/>
    <w:rsid w:val="00974BB0"/>
    <w:rsid w:val="00976F11"/>
    <w:rsid w:val="0097702E"/>
    <w:rsid w:val="009777CF"/>
    <w:rsid w:val="00977BB8"/>
    <w:rsid w:val="0098128C"/>
    <w:rsid w:val="00981C40"/>
    <w:rsid w:val="0098205E"/>
    <w:rsid w:val="00982290"/>
    <w:rsid w:val="00983387"/>
    <w:rsid w:val="00983540"/>
    <w:rsid w:val="00983F29"/>
    <w:rsid w:val="0098433A"/>
    <w:rsid w:val="00984778"/>
    <w:rsid w:val="00984CEB"/>
    <w:rsid w:val="009851DF"/>
    <w:rsid w:val="00985778"/>
    <w:rsid w:val="009859BF"/>
    <w:rsid w:val="00985B04"/>
    <w:rsid w:val="00986356"/>
    <w:rsid w:val="009871BA"/>
    <w:rsid w:val="009877F1"/>
    <w:rsid w:val="00990913"/>
    <w:rsid w:val="00990C3C"/>
    <w:rsid w:val="00991AEE"/>
    <w:rsid w:val="00991EA8"/>
    <w:rsid w:val="00992D3A"/>
    <w:rsid w:val="00992D8E"/>
    <w:rsid w:val="00993C96"/>
    <w:rsid w:val="00993EBD"/>
    <w:rsid w:val="00994F7B"/>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100"/>
    <w:rsid w:val="009B5D03"/>
    <w:rsid w:val="009B5F69"/>
    <w:rsid w:val="009B6E5C"/>
    <w:rsid w:val="009B70A3"/>
    <w:rsid w:val="009B73A2"/>
    <w:rsid w:val="009C19E9"/>
    <w:rsid w:val="009C2148"/>
    <w:rsid w:val="009C427D"/>
    <w:rsid w:val="009C4B6F"/>
    <w:rsid w:val="009C6666"/>
    <w:rsid w:val="009C6CAF"/>
    <w:rsid w:val="009C710F"/>
    <w:rsid w:val="009D0363"/>
    <w:rsid w:val="009D0CD3"/>
    <w:rsid w:val="009D12B3"/>
    <w:rsid w:val="009D13C2"/>
    <w:rsid w:val="009D13CA"/>
    <w:rsid w:val="009D2569"/>
    <w:rsid w:val="009D2DA6"/>
    <w:rsid w:val="009D3714"/>
    <w:rsid w:val="009D37D1"/>
    <w:rsid w:val="009D4FAF"/>
    <w:rsid w:val="009D5E68"/>
    <w:rsid w:val="009D5E99"/>
    <w:rsid w:val="009D63AB"/>
    <w:rsid w:val="009D6FE2"/>
    <w:rsid w:val="009D7755"/>
    <w:rsid w:val="009E02F3"/>
    <w:rsid w:val="009E079A"/>
    <w:rsid w:val="009E1A17"/>
    <w:rsid w:val="009E1E0F"/>
    <w:rsid w:val="009E232E"/>
    <w:rsid w:val="009E2AA6"/>
    <w:rsid w:val="009E3B6C"/>
    <w:rsid w:val="009E3C02"/>
    <w:rsid w:val="009E3D1A"/>
    <w:rsid w:val="009E44ED"/>
    <w:rsid w:val="009E6405"/>
    <w:rsid w:val="009E747C"/>
    <w:rsid w:val="009E79BE"/>
    <w:rsid w:val="009F07C1"/>
    <w:rsid w:val="009F10CA"/>
    <w:rsid w:val="009F1F82"/>
    <w:rsid w:val="009F2C2B"/>
    <w:rsid w:val="009F2F08"/>
    <w:rsid w:val="009F4BBB"/>
    <w:rsid w:val="009F4C6A"/>
    <w:rsid w:val="009F5344"/>
    <w:rsid w:val="009F7E84"/>
    <w:rsid w:val="00A014B3"/>
    <w:rsid w:val="00A0150D"/>
    <w:rsid w:val="00A02490"/>
    <w:rsid w:val="00A03201"/>
    <w:rsid w:val="00A03B42"/>
    <w:rsid w:val="00A03F68"/>
    <w:rsid w:val="00A05DE2"/>
    <w:rsid w:val="00A067FE"/>
    <w:rsid w:val="00A10F02"/>
    <w:rsid w:val="00A11888"/>
    <w:rsid w:val="00A11DB0"/>
    <w:rsid w:val="00A127C6"/>
    <w:rsid w:val="00A13112"/>
    <w:rsid w:val="00A14DD3"/>
    <w:rsid w:val="00A14E25"/>
    <w:rsid w:val="00A15FB2"/>
    <w:rsid w:val="00A1670F"/>
    <w:rsid w:val="00A16F05"/>
    <w:rsid w:val="00A204CA"/>
    <w:rsid w:val="00A207D2"/>
    <w:rsid w:val="00A212ED"/>
    <w:rsid w:val="00A21446"/>
    <w:rsid w:val="00A215F6"/>
    <w:rsid w:val="00A23461"/>
    <w:rsid w:val="00A23966"/>
    <w:rsid w:val="00A23AC0"/>
    <w:rsid w:val="00A242F5"/>
    <w:rsid w:val="00A25A22"/>
    <w:rsid w:val="00A26593"/>
    <w:rsid w:val="00A300A0"/>
    <w:rsid w:val="00A30E3E"/>
    <w:rsid w:val="00A31AB2"/>
    <w:rsid w:val="00A31D17"/>
    <w:rsid w:val="00A32493"/>
    <w:rsid w:val="00A32BAB"/>
    <w:rsid w:val="00A32E13"/>
    <w:rsid w:val="00A339EC"/>
    <w:rsid w:val="00A33DCD"/>
    <w:rsid w:val="00A34086"/>
    <w:rsid w:val="00A342D2"/>
    <w:rsid w:val="00A352EB"/>
    <w:rsid w:val="00A35830"/>
    <w:rsid w:val="00A36439"/>
    <w:rsid w:val="00A404D0"/>
    <w:rsid w:val="00A41164"/>
    <w:rsid w:val="00A41503"/>
    <w:rsid w:val="00A423AE"/>
    <w:rsid w:val="00A42BCC"/>
    <w:rsid w:val="00A43919"/>
    <w:rsid w:val="00A43A2E"/>
    <w:rsid w:val="00A43AEB"/>
    <w:rsid w:val="00A44AE9"/>
    <w:rsid w:val="00A45665"/>
    <w:rsid w:val="00A45E9C"/>
    <w:rsid w:val="00A50B0A"/>
    <w:rsid w:val="00A5155E"/>
    <w:rsid w:val="00A516F2"/>
    <w:rsid w:val="00A52986"/>
    <w:rsid w:val="00A52CC6"/>
    <w:rsid w:val="00A53374"/>
    <w:rsid w:val="00A53724"/>
    <w:rsid w:val="00A540D2"/>
    <w:rsid w:val="00A54875"/>
    <w:rsid w:val="00A55549"/>
    <w:rsid w:val="00A55BA3"/>
    <w:rsid w:val="00A56089"/>
    <w:rsid w:val="00A566A2"/>
    <w:rsid w:val="00A60A82"/>
    <w:rsid w:val="00A612CF"/>
    <w:rsid w:val="00A6252E"/>
    <w:rsid w:val="00A62BFC"/>
    <w:rsid w:val="00A62CAD"/>
    <w:rsid w:val="00A630F2"/>
    <w:rsid w:val="00A63609"/>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189A"/>
    <w:rsid w:val="00A81B46"/>
    <w:rsid w:val="00A82346"/>
    <w:rsid w:val="00A825BF"/>
    <w:rsid w:val="00A828B6"/>
    <w:rsid w:val="00A837B5"/>
    <w:rsid w:val="00A845B8"/>
    <w:rsid w:val="00A84F30"/>
    <w:rsid w:val="00A85658"/>
    <w:rsid w:val="00A85BB3"/>
    <w:rsid w:val="00A86340"/>
    <w:rsid w:val="00A86BAA"/>
    <w:rsid w:val="00A87209"/>
    <w:rsid w:val="00A877CA"/>
    <w:rsid w:val="00A87977"/>
    <w:rsid w:val="00A954D8"/>
    <w:rsid w:val="00A9607B"/>
    <w:rsid w:val="00A9671C"/>
    <w:rsid w:val="00A9769E"/>
    <w:rsid w:val="00A97749"/>
    <w:rsid w:val="00AA1553"/>
    <w:rsid w:val="00AA2219"/>
    <w:rsid w:val="00AA36E4"/>
    <w:rsid w:val="00AA38E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338"/>
    <w:rsid w:val="00AB4F3D"/>
    <w:rsid w:val="00AB504B"/>
    <w:rsid w:val="00AB5A5A"/>
    <w:rsid w:val="00AB71C6"/>
    <w:rsid w:val="00AB7EA2"/>
    <w:rsid w:val="00AC0234"/>
    <w:rsid w:val="00AC1E31"/>
    <w:rsid w:val="00AC1F1C"/>
    <w:rsid w:val="00AC1F6E"/>
    <w:rsid w:val="00AC26C2"/>
    <w:rsid w:val="00AC3E63"/>
    <w:rsid w:val="00AC4320"/>
    <w:rsid w:val="00AC53FE"/>
    <w:rsid w:val="00AC6A7A"/>
    <w:rsid w:val="00AC6FBA"/>
    <w:rsid w:val="00AD0C68"/>
    <w:rsid w:val="00AD0F1D"/>
    <w:rsid w:val="00AD2619"/>
    <w:rsid w:val="00AD5427"/>
    <w:rsid w:val="00AD5B72"/>
    <w:rsid w:val="00AD64F7"/>
    <w:rsid w:val="00AD7EB7"/>
    <w:rsid w:val="00AE06A4"/>
    <w:rsid w:val="00AE095D"/>
    <w:rsid w:val="00AE1871"/>
    <w:rsid w:val="00AE1A9A"/>
    <w:rsid w:val="00AE26C0"/>
    <w:rsid w:val="00AE289A"/>
    <w:rsid w:val="00AE2D9D"/>
    <w:rsid w:val="00AE32B8"/>
    <w:rsid w:val="00AE35AC"/>
    <w:rsid w:val="00AE4386"/>
    <w:rsid w:val="00AE4A32"/>
    <w:rsid w:val="00AE5998"/>
    <w:rsid w:val="00AE5A3F"/>
    <w:rsid w:val="00AE5CAE"/>
    <w:rsid w:val="00AE5D0F"/>
    <w:rsid w:val="00AE60B2"/>
    <w:rsid w:val="00AE67B2"/>
    <w:rsid w:val="00AE7394"/>
    <w:rsid w:val="00AE7935"/>
    <w:rsid w:val="00AE7D5A"/>
    <w:rsid w:val="00AF15F9"/>
    <w:rsid w:val="00AF1C7D"/>
    <w:rsid w:val="00AF20A5"/>
    <w:rsid w:val="00AF20A6"/>
    <w:rsid w:val="00AF25B2"/>
    <w:rsid w:val="00AF2778"/>
    <w:rsid w:val="00AF2A7D"/>
    <w:rsid w:val="00AF3563"/>
    <w:rsid w:val="00AF3C84"/>
    <w:rsid w:val="00AF46CE"/>
    <w:rsid w:val="00AF6272"/>
    <w:rsid w:val="00B002EA"/>
    <w:rsid w:val="00B0205B"/>
    <w:rsid w:val="00B024E5"/>
    <w:rsid w:val="00B033FA"/>
    <w:rsid w:val="00B0343F"/>
    <w:rsid w:val="00B03510"/>
    <w:rsid w:val="00B03DF9"/>
    <w:rsid w:val="00B046A0"/>
    <w:rsid w:val="00B0648D"/>
    <w:rsid w:val="00B07AAA"/>
    <w:rsid w:val="00B10754"/>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20CDA"/>
    <w:rsid w:val="00B2231C"/>
    <w:rsid w:val="00B22EC6"/>
    <w:rsid w:val="00B2397F"/>
    <w:rsid w:val="00B2470F"/>
    <w:rsid w:val="00B274B9"/>
    <w:rsid w:val="00B2755F"/>
    <w:rsid w:val="00B27EC4"/>
    <w:rsid w:val="00B30ADA"/>
    <w:rsid w:val="00B3133D"/>
    <w:rsid w:val="00B3285A"/>
    <w:rsid w:val="00B331AE"/>
    <w:rsid w:val="00B347FD"/>
    <w:rsid w:val="00B359B7"/>
    <w:rsid w:val="00B36BDD"/>
    <w:rsid w:val="00B40B51"/>
    <w:rsid w:val="00B40C67"/>
    <w:rsid w:val="00B42667"/>
    <w:rsid w:val="00B444B8"/>
    <w:rsid w:val="00B44F40"/>
    <w:rsid w:val="00B4588A"/>
    <w:rsid w:val="00B467A6"/>
    <w:rsid w:val="00B4746E"/>
    <w:rsid w:val="00B47CB2"/>
    <w:rsid w:val="00B47FD1"/>
    <w:rsid w:val="00B509BB"/>
    <w:rsid w:val="00B516BB"/>
    <w:rsid w:val="00B51B0A"/>
    <w:rsid w:val="00B5205D"/>
    <w:rsid w:val="00B5269D"/>
    <w:rsid w:val="00B53261"/>
    <w:rsid w:val="00B53C4D"/>
    <w:rsid w:val="00B54665"/>
    <w:rsid w:val="00B548D7"/>
    <w:rsid w:val="00B5518A"/>
    <w:rsid w:val="00B554B0"/>
    <w:rsid w:val="00B600EA"/>
    <w:rsid w:val="00B6058A"/>
    <w:rsid w:val="00B610A7"/>
    <w:rsid w:val="00B611E7"/>
    <w:rsid w:val="00B61417"/>
    <w:rsid w:val="00B61D04"/>
    <w:rsid w:val="00B62989"/>
    <w:rsid w:val="00B633C3"/>
    <w:rsid w:val="00B6406E"/>
    <w:rsid w:val="00B642B6"/>
    <w:rsid w:val="00B650FB"/>
    <w:rsid w:val="00B654A9"/>
    <w:rsid w:val="00B654B0"/>
    <w:rsid w:val="00B65E42"/>
    <w:rsid w:val="00B6646D"/>
    <w:rsid w:val="00B6737A"/>
    <w:rsid w:val="00B701A0"/>
    <w:rsid w:val="00B72CC9"/>
    <w:rsid w:val="00B73D0C"/>
    <w:rsid w:val="00B74842"/>
    <w:rsid w:val="00B751DC"/>
    <w:rsid w:val="00B761C5"/>
    <w:rsid w:val="00B764CA"/>
    <w:rsid w:val="00B76F24"/>
    <w:rsid w:val="00B775C8"/>
    <w:rsid w:val="00B8019B"/>
    <w:rsid w:val="00B82DD7"/>
    <w:rsid w:val="00B83F61"/>
    <w:rsid w:val="00B83F9A"/>
    <w:rsid w:val="00B844A5"/>
    <w:rsid w:val="00B8480F"/>
    <w:rsid w:val="00B84881"/>
    <w:rsid w:val="00B8489A"/>
    <w:rsid w:val="00B8493D"/>
    <w:rsid w:val="00B84B18"/>
    <w:rsid w:val="00B8570C"/>
    <w:rsid w:val="00B86A6B"/>
    <w:rsid w:val="00B86F82"/>
    <w:rsid w:val="00B8739B"/>
    <w:rsid w:val="00B8785B"/>
    <w:rsid w:val="00B87C0D"/>
    <w:rsid w:val="00B912B1"/>
    <w:rsid w:val="00B93581"/>
    <w:rsid w:val="00B95130"/>
    <w:rsid w:val="00B95344"/>
    <w:rsid w:val="00B95D11"/>
    <w:rsid w:val="00B95F43"/>
    <w:rsid w:val="00B96CCF"/>
    <w:rsid w:val="00B97C4B"/>
    <w:rsid w:val="00B97C71"/>
    <w:rsid w:val="00B97CBC"/>
    <w:rsid w:val="00BA1873"/>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6C4E"/>
    <w:rsid w:val="00BC7783"/>
    <w:rsid w:val="00BC7E2F"/>
    <w:rsid w:val="00BD06D1"/>
    <w:rsid w:val="00BD091C"/>
    <w:rsid w:val="00BD1616"/>
    <w:rsid w:val="00BD1631"/>
    <w:rsid w:val="00BD31D3"/>
    <w:rsid w:val="00BD3597"/>
    <w:rsid w:val="00BD55FC"/>
    <w:rsid w:val="00BD6273"/>
    <w:rsid w:val="00BD651C"/>
    <w:rsid w:val="00BD67B1"/>
    <w:rsid w:val="00BE0976"/>
    <w:rsid w:val="00BE1061"/>
    <w:rsid w:val="00BE1219"/>
    <w:rsid w:val="00BE1D51"/>
    <w:rsid w:val="00BE2624"/>
    <w:rsid w:val="00BE3836"/>
    <w:rsid w:val="00BE491B"/>
    <w:rsid w:val="00BE5261"/>
    <w:rsid w:val="00BE664B"/>
    <w:rsid w:val="00BE7500"/>
    <w:rsid w:val="00BE75A3"/>
    <w:rsid w:val="00BE7B3F"/>
    <w:rsid w:val="00BF0587"/>
    <w:rsid w:val="00BF1F41"/>
    <w:rsid w:val="00BF2ADC"/>
    <w:rsid w:val="00BF2C3E"/>
    <w:rsid w:val="00BF3708"/>
    <w:rsid w:val="00BF4416"/>
    <w:rsid w:val="00BF449E"/>
    <w:rsid w:val="00BF46D7"/>
    <w:rsid w:val="00BF5561"/>
    <w:rsid w:val="00BF630D"/>
    <w:rsid w:val="00BF6EB6"/>
    <w:rsid w:val="00BF7DBE"/>
    <w:rsid w:val="00C001C8"/>
    <w:rsid w:val="00C017F5"/>
    <w:rsid w:val="00C02B79"/>
    <w:rsid w:val="00C03D2D"/>
    <w:rsid w:val="00C042E6"/>
    <w:rsid w:val="00C04DD5"/>
    <w:rsid w:val="00C050B9"/>
    <w:rsid w:val="00C05BDA"/>
    <w:rsid w:val="00C07B22"/>
    <w:rsid w:val="00C07D96"/>
    <w:rsid w:val="00C10815"/>
    <w:rsid w:val="00C10DF1"/>
    <w:rsid w:val="00C11801"/>
    <w:rsid w:val="00C12B51"/>
    <w:rsid w:val="00C13DC1"/>
    <w:rsid w:val="00C15264"/>
    <w:rsid w:val="00C15631"/>
    <w:rsid w:val="00C15795"/>
    <w:rsid w:val="00C161AD"/>
    <w:rsid w:val="00C162C9"/>
    <w:rsid w:val="00C16357"/>
    <w:rsid w:val="00C164EF"/>
    <w:rsid w:val="00C1699D"/>
    <w:rsid w:val="00C17978"/>
    <w:rsid w:val="00C2032B"/>
    <w:rsid w:val="00C208E2"/>
    <w:rsid w:val="00C20E9C"/>
    <w:rsid w:val="00C21C0C"/>
    <w:rsid w:val="00C2218E"/>
    <w:rsid w:val="00C230AE"/>
    <w:rsid w:val="00C23548"/>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942"/>
    <w:rsid w:val="00C51D27"/>
    <w:rsid w:val="00C54E61"/>
    <w:rsid w:val="00C54EE4"/>
    <w:rsid w:val="00C556FB"/>
    <w:rsid w:val="00C614CA"/>
    <w:rsid w:val="00C614FA"/>
    <w:rsid w:val="00C617B6"/>
    <w:rsid w:val="00C621CF"/>
    <w:rsid w:val="00C62547"/>
    <w:rsid w:val="00C63078"/>
    <w:rsid w:val="00C6309C"/>
    <w:rsid w:val="00C63220"/>
    <w:rsid w:val="00C6391F"/>
    <w:rsid w:val="00C64E2F"/>
    <w:rsid w:val="00C64F82"/>
    <w:rsid w:val="00C65532"/>
    <w:rsid w:val="00C65F6D"/>
    <w:rsid w:val="00C65FAE"/>
    <w:rsid w:val="00C6741B"/>
    <w:rsid w:val="00C7087A"/>
    <w:rsid w:val="00C709E8"/>
    <w:rsid w:val="00C72837"/>
    <w:rsid w:val="00C74A7B"/>
    <w:rsid w:val="00C75D02"/>
    <w:rsid w:val="00C75ECE"/>
    <w:rsid w:val="00C768BB"/>
    <w:rsid w:val="00C773BD"/>
    <w:rsid w:val="00C80845"/>
    <w:rsid w:val="00C80939"/>
    <w:rsid w:val="00C811B2"/>
    <w:rsid w:val="00C81361"/>
    <w:rsid w:val="00C8235D"/>
    <w:rsid w:val="00C8253A"/>
    <w:rsid w:val="00C832F9"/>
    <w:rsid w:val="00C8368A"/>
    <w:rsid w:val="00C83A13"/>
    <w:rsid w:val="00C844E3"/>
    <w:rsid w:val="00C9022A"/>
    <w:rsid w:val="00C903F3"/>
    <w:rsid w:val="00C9068C"/>
    <w:rsid w:val="00C91051"/>
    <w:rsid w:val="00C9108A"/>
    <w:rsid w:val="00C9170B"/>
    <w:rsid w:val="00C91F3F"/>
    <w:rsid w:val="00C9285D"/>
    <w:rsid w:val="00C92967"/>
    <w:rsid w:val="00C9499A"/>
    <w:rsid w:val="00C94CA7"/>
    <w:rsid w:val="00C95642"/>
    <w:rsid w:val="00C9618B"/>
    <w:rsid w:val="00C97192"/>
    <w:rsid w:val="00C9722E"/>
    <w:rsid w:val="00C97DD9"/>
    <w:rsid w:val="00C97EB4"/>
    <w:rsid w:val="00CA061E"/>
    <w:rsid w:val="00CA0B24"/>
    <w:rsid w:val="00CA0C6F"/>
    <w:rsid w:val="00CA160C"/>
    <w:rsid w:val="00CA267C"/>
    <w:rsid w:val="00CA2A78"/>
    <w:rsid w:val="00CA39A8"/>
    <w:rsid w:val="00CA3A67"/>
    <w:rsid w:val="00CA3A8C"/>
    <w:rsid w:val="00CA3D0C"/>
    <w:rsid w:val="00CA4975"/>
    <w:rsid w:val="00CA4CC4"/>
    <w:rsid w:val="00CA55A2"/>
    <w:rsid w:val="00CA5B76"/>
    <w:rsid w:val="00CA6073"/>
    <w:rsid w:val="00CA60FE"/>
    <w:rsid w:val="00CA654B"/>
    <w:rsid w:val="00CA6C58"/>
    <w:rsid w:val="00CA742A"/>
    <w:rsid w:val="00CA7FB5"/>
    <w:rsid w:val="00CB1831"/>
    <w:rsid w:val="00CB192D"/>
    <w:rsid w:val="00CB20EE"/>
    <w:rsid w:val="00CB2163"/>
    <w:rsid w:val="00CB24EA"/>
    <w:rsid w:val="00CB328D"/>
    <w:rsid w:val="00CB474B"/>
    <w:rsid w:val="00CB6655"/>
    <w:rsid w:val="00CB78C5"/>
    <w:rsid w:val="00CC012E"/>
    <w:rsid w:val="00CC05BA"/>
    <w:rsid w:val="00CC13CE"/>
    <w:rsid w:val="00CC365E"/>
    <w:rsid w:val="00CC36D1"/>
    <w:rsid w:val="00CC4596"/>
    <w:rsid w:val="00CC6B18"/>
    <w:rsid w:val="00CD021E"/>
    <w:rsid w:val="00CD0243"/>
    <w:rsid w:val="00CD1CFE"/>
    <w:rsid w:val="00CD3BD9"/>
    <w:rsid w:val="00CD3E58"/>
    <w:rsid w:val="00CD4280"/>
    <w:rsid w:val="00CD4A61"/>
    <w:rsid w:val="00CD4C7B"/>
    <w:rsid w:val="00CD6301"/>
    <w:rsid w:val="00CD6310"/>
    <w:rsid w:val="00CD6435"/>
    <w:rsid w:val="00CD6C52"/>
    <w:rsid w:val="00CE054B"/>
    <w:rsid w:val="00CE0F2C"/>
    <w:rsid w:val="00CE1698"/>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E92"/>
    <w:rsid w:val="00CF5F23"/>
    <w:rsid w:val="00CF77AE"/>
    <w:rsid w:val="00D00174"/>
    <w:rsid w:val="00D00CCC"/>
    <w:rsid w:val="00D00E48"/>
    <w:rsid w:val="00D02D8C"/>
    <w:rsid w:val="00D04103"/>
    <w:rsid w:val="00D048E7"/>
    <w:rsid w:val="00D05BFF"/>
    <w:rsid w:val="00D05C9E"/>
    <w:rsid w:val="00D06DD0"/>
    <w:rsid w:val="00D10543"/>
    <w:rsid w:val="00D133BA"/>
    <w:rsid w:val="00D13DB0"/>
    <w:rsid w:val="00D147CF"/>
    <w:rsid w:val="00D17473"/>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258F"/>
    <w:rsid w:val="00D32FB7"/>
    <w:rsid w:val="00D33118"/>
    <w:rsid w:val="00D33729"/>
    <w:rsid w:val="00D34B1E"/>
    <w:rsid w:val="00D35DA4"/>
    <w:rsid w:val="00D402F5"/>
    <w:rsid w:val="00D4120E"/>
    <w:rsid w:val="00D41585"/>
    <w:rsid w:val="00D42277"/>
    <w:rsid w:val="00D42844"/>
    <w:rsid w:val="00D43109"/>
    <w:rsid w:val="00D43248"/>
    <w:rsid w:val="00D436EC"/>
    <w:rsid w:val="00D43EBA"/>
    <w:rsid w:val="00D44328"/>
    <w:rsid w:val="00D4467F"/>
    <w:rsid w:val="00D44E37"/>
    <w:rsid w:val="00D450E9"/>
    <w:rsid w:val="00D50FAB"/>
    <w:rsid w:val="00D524B3"/>
    <w:rsid w:val="00D53CA6"/>
    <w:rsid w:val="00D543B4"/>
    <w:rsid w:val="00D548D7"/>
    <w:rsid w:val="00D54EF9"/>
    <w:rsid w:val="00D55BB4"/>
    <w:rsid w:val="00D5646F"/>
    <w:rsid w:val="00D564D5"/>
    <w:rsid w:val="00D56CE9"/>
    <w:rsid w:val="00D56E13"/>
    <w:rsid w:val="00D57B51"/>
    <w:rsid w:val="00D57D71"/>
    <w:rsid w:val="00D62E82"/>
    <w:rsid w:val="00D63BB4"/>
    <w:rsid w:val="00D64A86"/>
    <w:rsid w:val="00D64B2D"/>
    <w:rsid w:val="00D656F9"/>
    <w:rsid w:val="00D6633A"/>
    <w:rsid w:val="00D66A4E"/>
    <w:rsid w:val="00D66F34"/>
    <w:rsid w:val="00D67096"/>
    <w:rsid w:val="00D679C7"/>
    <w:rsid w:val="00D70208"/>
    <w:rsid w:val="00D70761"/>
    <w:rsid w:val="00D70DCE"/>
    <w:rsid w:val="00D738D6"/>
    <w:rsid w:val="00D742F4"/>
    <w:rsid w:val="00D75638"/>
    <w:rsid w:val="00D7652F"/>
    <w:rsid w:val="00D76CCE"/>
    <w:rsid w:val="00D80795"/>
    <w:rsid w:val="00D8089E"/>
    <w:rsid w:val="00D80F5E"/>
    <w:rsid w:val="00D80FF9"/>
    <w:rsid w:val="00D81120"/>
    <w:rsid w:val="00D81144"/>
    <w:rsid w:val="00D82418"/>
    <w:rsid w:val="00D825EB"/>
    <w:rsid w:val="00D828F2"/>
    <w:rsid w:val="00D8292C"/>
    <w:rsid w:val="00D839F6"/>
    <w:rsid w:val="00D83CE2"/>
    <w:rsid w:val="00D840F9"/>
    <w:rsid w:val="00D85F7B"/>
    <w:rsid w:val="00D8668E"/>
    <w:rsid w:val="00D8694E"/>
    <w:rsid w:val="00D86EF8"/>
    <w:rsid w:val="00D870B2"/>
    <w:rsid w:val="00D87A08"/>
    <w:rsid w:val="00D87A6F"/>
    <w:rsid w:val="00D87E00"/>
    <w:rsid w:val="00D9008B"/>
    <w:rsid w:val="00D9058F"/>
    <w:rsid w:val="00D9134D"/>
    <w:rsid w:val="00D91BCA"/>
    <w:rsid w:val="00D92D27"/>
    <w:rsid w:val="00D94221"/>
    <w:rsid w:val="00D9557F"/>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63C4"/>
    <w:rsid w:val="00DA7A03"/>
    <w:rsid w:val="00DB033E"/>
    <w:rsid w:val="00DB1818"/>
    <w:rsid w:val="00DB276F"/>
    <w:rsid w:val="00DB2B5D"/>
    <w:rsid w:val="00DB4BA8"/>
    <w:rsid w:val="00DB66CC"/>
    <w:rsid w:val="00DB6E8D"/>
    <w:rsid w:val="00DB72F8"/>
    <w:rsid w:val="00DB7EB4"/>
    <w:rsid w:val="00DC17FD"/>
    <w:rsid w:val="00DC309B"/>
    <w:rsid w:val="00DC41E9"/>
    <w:rsid w:val="00DC4DA2"/>
    <w:rsid w:val="00DC50B4"/>
    <w:rsid w:val="00DC51E9"/>
    <w:rsid w:val="00DC59DE"/>
    <w:rsid w:val="00DC5F65"/>
    <w:rsid w:val="00DC615A"/>
    <w:rsid w:val="00DC7854"/>
    <w:rsid w:val="00DC7B62"/>
    <w:rsid w:val="00DC7FCD"/>
    <w:rsid w:val="00DD06F0"/>
    <w:rsid w:val="00DD07BD"/>
    <w:rsid w:val="00DD102D"/>
    <w:rsid w:val="00DD12FD"/>
    <w:rsid w:val="00DD1931"/>
    <w:rsid w:val="00DD1F65"/>
    <w:rsid w:val="00DD2B04"/>
    <w:rsid w:val="00DD36F4"/>
    <w:rsid w:val="00DD43BA"/>
    <w:rsid w:val="00DD53E3"/>
    <w:rsid w:val="00DD575A"/>
    <w:rsid w:val="00DD5BF0"/>
    <w:rsid w:val="00DD6470"/>
    <w:rsid w:val="00DD6F88"/>
    <w:rsid w:val="00DD70FA"/>
    <w:rsid w:val="00DD722F"/>
    <w:rsid w:val="00DD7721"/>
    <w:rsid w:val="00DE0D91"/>
    <w:rsid w:val="00DE17D1"/>
    <w:rsid w:val="00DE3B5B"/>
    <w:rsid w:val="00DE3D65"/>
    <w:rsid w:val="00DE44B0"/>
    <w:rsid w:val="00DE4A98"/>
    <w:rsid w:val="00DE56A5"/>
    <w:rsid w:val="00DE63F7"/>
    <w:rsid w:val="00DE6DD1"/>
    <w:rsid w:val="00DF0433"/>
    <w:rsid w:val="00DF08B7"/>
    <w:rsid w:val="00DF0C8E"/>
    <w:rsid w:val="00DF1C8F"/>
    <w:rsid w:val="00DF2582"/>
    <w:rsid w:val="00DF29AE"/>
    <w:rsid w:val="00DF2B7B"/>
    <w:rsid w:val="00DF5B0C"/>
    <w:rsid w:val="00DF6E81"/>
    <w:rsid w:val="00E01445"/>
    <w:rsid w:val="00E023DE"/>
    <w:rsid w:val="00E0293D"/>
    <w:rsid w:val="00E02F6A"/>
    <w:rsid w:val="00E03198"/>
    <w:rsid w:val="00E03A46"/>
    <w:rsid w:val="00E03F18"/>
    <w:rsid w:val="00E0409F"/>
    <w:rsid w:val="00E040A2"/>
    <w:rsid w:val="00E0415B"/>
    <w:rsid w:val="00E04844"/>
    <w:rsid w:val="00E0581F"/>
    <w:rsid w:val="00E06135"/>
    <w:rsid w:val="00E062E3"/>
    <w:rsid w:val="00E074BA"/>
    <w:rsid w:val="00E074C7"/>
    <w:rsid w:val="00E113C0"/>
    <w:rsid w:val="00E120E6"/>
    <w:rsid w:val="00E12543"/>
    <w:rsid w:val="00E12C7B"/>
    <w:rsid w:val="00E157BC"/>
    <w:rsid w:val="00E16E40"/>
    <w:rsid w:val="00E22243"/>
    <w:rsid w:val="00E23537"/>
    <w:rsid w:val="00E23ADB"/>
    <w:rsid w:val="00E25BEF"/>
    <w:rsid w:val="00E25C19"/>
    <w:rsid w:val="00E272B5"/>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4026E"/>
    <w:rsid w:val="00E40E41"/>
    <w:rsid w:val="00E42D93"/>
    <w:rsid w:val="00E432B8"/>
    <w:rsid w:val="00E43BCD"/>
    <w:rsid w:val="00E44449"/>
    <w:rsid w:val="00E448A1"/>
    <w:rsid w:val="00E44B69"/>
    <w:rsid w:val="00E45328"/>
    <w:rsid w:val="00E460F2"/>
    <w:rsid w:val="00E4673B"/>
    <w:rsid w:val="00E50281"/>
    <w:rsid w:val="00E50F6F"/>
    <w:rsid w:val="00E51616"/>
    <w:rsid w:val="00E51DC4"/>
    <w:rsid w:val="00E521E8"/>
    <w:rsid w:val="00E528F3"/>
    <w:rsid w:val="00E539D7"/>
    <w:rsid w:val="00E53CCB"/>
    <w:rsid w:val="00E54361"/>
    <w:rsid w:val="00E546AB"/>
    <w:rsid w:val="00E556FA"/>
    <w:rsid w:val="00E55943"/>
    <w:rsid w:val="00E55A81"/>
    <w:rsid w:val="00E56E91"/>
    <w:rsid w:val="00E56EEF"/>
    <w:rsid w:val="00E57D18"/>
    <w:rsid w:val="00E6077B"/>
    <w:rsid w:val="00E60CAF"/>
    <w:rsid w:val="00E61B39"/>
    <w:rsid w:val="00E62835"/>
    <w:rsid w:val="00E62D5D"/>
    <w:rsid w:val="00E64523"/>
    <w:rsid w:val="00E6528D"/>
    <w:rsid w:val="00E65433"/>
    <w:rsid w:val="00E66160"/>
    <w:rsid w:val="00E667A9"/>
    <w:rsid w:val="00E6683D"/>
    <w:rsid w:val="00E66B24"/>
    <w:rsid w:val="00E7041F"/>
    <w:rsid w:val="00E70A06"/>
    <w:rsid w:val="00E73610"/>
    <w:rsid w:val="00E73923"/>
    <w:rsid w:val="00E73C2C"/>
    <w:rsid w:val="00E751E7"/>
    <w:rsid w:val="00E76317"/>
    <w:rsid w:val="00E76946"/>
    <w:rsid w:val="00E769AC"/>
    <w:rsid w:val="00E76F26"/>
    <w:rsid w:val="00E76F35"/>
    <w:rsid w:val="00E77645"/>
    <w:rsid w:val="00E77A2C"/>
    <w:rsid w:val="00E77AE3"/>
    <w:rsid w:val="00E77E21"/>
    <w:rsid w:val="00E8059B"/>
    <w:rsid w:val="00E810BF"/>
    <w:rsid w:val="00E8337C"/>
    <w:rsid w:val="00E83697"/>
    <w:rsid w:val="00E83810"/>
    <w:rsid w:val="00E854D4"/>
    <w:rsid w:val="00E854EE"/>
    <w:rsid w:val="00E858CD"/>
    <w:rsid w:val="00E870A0"/>
    <w:rsid w:val="00E913FE"/>
    <w:rsid w:val="00E91487"/>
    <w:rsid w:val="00E91DDC"/>
    <w:rsid w:val="00E91FD3"/>
    <w:rsid w:val="00E925C9"/>
    <w:rsid w:val="00E93A9D"/>
    <w:rsid w:val="00E9444B"/>
    <w:rsid w:val="00E94C85"/>
    <w:rsid w:val="00E94D61"/>
    <w:rsid w:val="00E95D07"/>
    <w:rsid w:val="00E95F7D"/>
    <w:rsid w:val="00E96358"/>
    <w:rsid w:val="00EA0AAF"/>
    <w:rsid w:val="00EA0B9B"/>
    <w:rsid w:val="00EA0E7E"/>
    <w:rsid w:val="00EA1745"/>
    <w:rsid w:val="00EA1DC3"/>
    <w:rsid w:val="00EA1ED6"/>
    <w:rsid w:val="00EA346E"/>
    <w:rsid w:val="00EA6CB4"/>
    <w:rsid w:val="00EB026F"/>
    <w:rsid w:val="00EB0940"/>
    <w:rsid w:val="00EB2431"/>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6A06"/>
    <w:rsid w:val="00EC717A"/>
    <w:rsid w:val="00ED0185"/>
    <w:rsid w:val="00ED09BF"/>
    <w:rsid w:val="00ED0F9F"/>
    <w:rsid w:val="00ED128B"/>
    <w:rsid w:val="00ED1472"/>
    <w:rsid w:val="00ED1D93"/>
    <w:rsid w:val="00ED20B1"/>
    <w:rsid w:val="00ED2329"/>
    <w:rsid w:val="00ED33E0"/>
    <w:rsid w:val="00ED3797"/>
    <w:rsid w:val="00ED42B0"/>
    <w:rsid w:val="00ED43A5"/>
    <w:rsid w:val="00ED46CB"/>
    <w:rsid w:val="00ED5CCC"/>
    <w:rsid w:val="00ED6DE3"/>
    <w:rsid w:val="00ED71CC"/>
    <w:rsid w:val="00EE0E6E"/>
    <w:rsid w:val="00EE13CF"/>
    <w:rsid w:val="00EE14FA"/>
    <w:rsid w:val="00EE1512"/>
    <w:rsid w:val="00EE217F"/>
    <w:rsid w:val="00EE36F9"/>
    <w:rsid w:val="00EE4120"/>
    <w:rsid w:val="00EE44AD"/>
    <w:rsid w:val="00EE46C7"/>
    <w:rsid w:val="00EE4B62"/>
    <w:rsid w:val="00EE4F4E"/>
    <w:rsid w:val="00EE53F9"/>
    <w:rsid w:val="00EE54EF"/>
    <w:rsid w:val="00EE7D61"/>
    <w:rsid w:val="00EF0219"/>
    <w:rsid w:val="00EF1E0A"/>
    <w:rsid w:val="00EF267F"/>
    <w:rsid w:val="00EF2F1F"/>
    <w:rsid w:val="00EF3E19"/>
    <w:rsid w:val="00EF3F83"/>
    <w:rsid w:val="00EF4494"/>
    <w:rsid w:val="00EF4E32"/>
    <w:rsid w:val="00EF550E"/>
    <w:rsid w:val="00EF5820"/>
    <w:rsid w:val="00F01076"/>
    <w:rsid w:val="00F025A2"/>
    <w:rsid w:val="00F04C08"/>
    <w:rsid w:val="00F04C43"/>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F93"/>
    <w:rsid w:val="00F17066"/>
    <w:rsid w:val="00F2026E"/>
    <w:rsid w:val="00F20B49"/>
    <w:rsid w:val="00F20C7B"/>
    <w:rsid w:val="00F2210A"/>
    <w:rsid w:val="00F2264C"/>
    <w:rsid w:val="00F22CAA"/>
    <w:rsid w:val="00F22D77"/>
    <w:rsid w:val="00F24379"/>
    <w:rsid w:val="00F24ADE"/>
    <w:rsid w:val="00F25011"/>
    <w:rsid w:val="00F2595D"/>
    <w:rsid w:val="00F2754C"/>
    <w:rsid w:val="00F305CC"/>
    <w:rsid w:val="00F30CF6"/>
    <w:rsid w:val="00F30DED"/>
    <w:rsid w:val="00F31951"/>
    <w:rsid w:val="00F31CC8"/>
    <w:rsid w:val="00F32173"/>
    <w:rsid w:val="00F3250E"/>
    <w:rsid w:val="00F326D6"/>
    <w:rsid w:val="00F32EE5"/>
    <w:rsid w:val="00F33361"/>
    <w:rsid w:val="00F37743"/>
    <w:rsid w:val="00F40310"/>
    <w:rsid w:val="00F40A48"/>
    <w:rsid w:val="00F420BB"/>
    <w:rsid w:val="00F42B86"/>
    <w:rsid w:val="00F44B2D"/>
    <w:rsid w:val="00F44FCE"/>
    <w:rsid w:val="00F4537F"/>
    <w:rsid w:val="00F47078"/>
    <w:rsid w:val="00F4731F"/>
    <w:rsid w:val="00F47EC4"/>
    <w:rsid w:val="00F52DBE"/>
    <w:rsid w:val="00F53AAD"/>
    <w:rsid w:val="00F5490A"/>
    <w:rsid w:val="00F54A3D"/>
    <w:rsid w:val="00F54F7D"/>
    <w:rsid w:val="00F556B9"/>
    <w:rsid w:val="00F5657D"/>
    <w:rsid w:val="00F57BF9"/>
    <w:rsid w:val="00F57E8E"/>
    <w:rsid w:val="00F60482"/>
    <w:rsid w:val="00F61CE2"/>
    <w:rsid w:val="00F61F5B"/>
    <w:rsid w:val="00F62456"/>
    <w:rsid w:val="00F63A22"/>
    <w:rsid w:val="00F64C8F"/>
    <w:rsid w:val="00F653B8"/>
    <w:rsid w:val="00F6666B"/>
    <w:rsid w:val="00F66E5B"/>
    <w:rsid w:val="00F6782D"/>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18D1"/>
    <w:rsid w:val="00F933CC"/>
    <w:rsid w:val="00F941A4"/>
    <w:rsid w:val="00F95EE3"/>
    <w:rsid w:val="00F963E1"/>
    <w:rsid w:val="00F97D6E"/>
    <w:rsid w:val="00FA0274"/>
    <w:rsid w:val="00FA02D7"/>
    <w:rsid w:val="00FA040C"/>
    <w:rsid w:val="00FA0D44"/>
    <w:rsid w:val="00FA0E97"/>
    <w:rsid w:val="00FA101C"/>
    <w:rsid w:val="00FA1266"/>
    <w:rsid w:val="00FA1C5C"/>
    <w:rsid w:val="00FA2EA8"/>
    <w:rsid w:val="00FA3D3E"/>
    <w:rsid w:val="00FA427F"/>
    <w:rsid w:val="00FA42CD"/>
    <w:rsid w:val="00FA4B15"/>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C08E8"/>
    <w:rsid w:val="00FC0B77"/>
    <w:rsid w:val="00FC1192"/>
    <w:rsid w:val="00FC11D2"/>
    <w:rsid w:val="00FC2E31"/>
    <w:rsid w:val="00FC40D3"/>
    <w:rsid w:val="00FC4356"/>
    <w:rsid w:val="00FC5133"/>
    <w:rsid w:val="00FC68EE"/>
    <w:rsid w:val="00FC7261"/>
    <w:rsid w:val="00FC77D8"/>
    <w:rsid w:val="00FD03E5"/>
    <w:rsid w:val="00FD0D38"/>
    <w:rsid w:val="00FD1FA7"/>
    <w:rsid w:val="00FD2CBF"/>
    <w:rsid w:val="00FD428F"/>
    <w:rsid w:val="00FD4EDD"/>
    <w:rsid w:val="00FD5224"/>
    <w:rsid w:val="00FD7710"/>
    <w:rsid w:val="00FE0DB2"/>
    <w:rsid w:val="00FE1DEE"/>
    <w:rsid w:val="00FE2BAC"/>
    <w:rsid w:val="00FE33D3"/>
    <w:rsid w:val="00FE55FB"/>
    <w:rsid w:val="00FE5909"/>
    <w:rsid w:val="00FF05DE"/>
    <w:rsid w:val="00FF0BC3"/>
    <w:rsid w:val="00FF17FF"/>
    <w:rsid w:val="00FF2549"/>
    <w:rsid w:val="00FF3120"/>
    <w:rsid w:val="00FF3826"/>
    <w:rsid w:val="00FF3C83"/>
    <w:rsid w:val="00FF4802"/>
    <w:rsid w:val="00FF4FF4"/>
    <w:rsid w:val="00FF5002"/>
    <w:rsid w:val="00FF77D0"/>
    <w:rsid w:val="18B5410B"/>
    <w:rsid w:val="5BC2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2"/>
    <w:qFormat/>
    <w:uiPriority w:val="0"/>
    <w:pPr>
      <w:pBdr>
        <w:top w:val="none" w:color="auto" w:sz="0" w:space="0"/>
      </w:pBdr>
      <w:spacing w:before="180"/>
      <w:outlineLvl w:val="1"/>
    </w:pPr>
    <w:rPr>
      <w:sz w:val="32"/>
    </w:rPr>
  </w:style>
  <w:style w:type="paragraph" w:styleId="4">
    <w:name w:val="heading 3"/>
    <w:basedOn w:val="3"/>
    <w:next w:val="1"/>
    <w:link w:val="113"/>
    <w:qFormat/>
    <w:uiPriority w:val="0"/>
    <w:pPr>
      <w:spacing w:before="120"/>
      <w:outlineLvl w:val="2"/>
    </w:pPr>
    <w:rPr>
      <w:sz w:val="28"/>
    </w:rPr>
  </w:style>
  <w:style w:type="paragraph" w:styleId="5">
    <w:name w:val="heading 4"/>
    <w:basedOn w:val="4"/>
    <w:next w:val="1"/>
    <w:link w:val="11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115"/>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link w:val="116"/>
    <w:qFormat/>
    <w:uiPriority w:val="0"/>
    <w:pPr>
      <w:ind w:left="0" w:firstLine="0"/>
      <w:outlineLvl w:val="7"/>
    </w:pPr>
  </w:style>
  <w:style w:type="paragraph" w:styleId="11">
    <w:name w:val="heading 9"/>
    <w:basedOn w:val="10"/>
    <w:next w:val="1"/>
    <w:link w:val="117"/>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19">
    <w:name w:val="Document Map"/>
    <w:basedOn w:val="1"/>
    <w:link w:val="104"/>
    <w:qFormat/>
    <w:uiPriority w:val="0"/>
    <w:pPr>
      <w:spacing w:line="259" w:lineRule="auto"/>
    </w:pPr>
    <w:rPr>
      <w:rFonts w:ascii="Tahoma" w:hAnsi="Tahoma" w:eastAsia="宋体" w:cs="Tahoma"/>
      <w:sz w:val="16"/>
      <w:szCs w:val="16"/>
    </w:rPr>
  </w:style>
  <w:style w:type="paragraph" w:styleId="20">
    <w:name w:val="annotation text"/>
    <w:basedOn w:val="1"/>
    <w:link w:val="87"/>
    <w:qFormat/>
    <w:uiPriority w:val="99"/>
  </w:style>
  <w:style w:type="paragraph" w:styleId="21">
    <w:name w:val="toc 8"/>
    <w:basedOn w:val="18"/>
    <w:next w:val="1"/>
    <w:qFormat/>
    <w:uiPriority w:val="39"/>
    <w:pPr>
      <w:spacing w:before="180"/>
      <w:ind w:left="2693" w:hanging="2693"/>
    </w:pPr>
    <w:rPr>
      <w:b/>
    </w:rPr>
  </w:style>
  <w:style w:type="paragraph" w:styleId="22">
    <w:name w:val="Balloon Text"/>
    <w:basedOn w:val="1"/>
    <w:link w:val="73"/>
    <w:semiHidden/>
    <w:unhideWhenUsed/>
    <w:qFormat/>
    <w:uiPriority w:val="0"/>
    <w:pPr>
      <w:spacing w:after="0"/>
    </w:pPr>
    <w:rPr>
      <w:rFonts w:ascii="Segoe UI" w:hAnsi="Segoe UI" w:cs="Segoe UI"/>
      <w:sz w:val="18"/>
      <w:szCs w:val="18"/>
    </w:rPr>
  </w:style>
  <w:style w:type="paragraph" w:styleId="23">
    <w:name w:val="footer"/>
    <w:basedOn w:val="24"/>
    <w:link w:val="124"/>
    <w:qFormat/>
    <w:uiPriority w:val="0"/>
    <w:pPr>
      <w:jc w:val="center"/>
    </w:pPr>
    <w:rPr>
      <w:i/>
    </w:rPr>
  </w:style>
  <w:style w:type="paragraph" w:styleId="24">
    <w:name w:val="header"/>
    <w:link w:val="7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25">
    <w:name w:val="toc 9"/>
    <w:basedOn w:val="21"/>
    <w:next w:val="1"/>
    <w:uiPriority w:val="39"/>
    <w:pPr>
      <w:ind w:left="1418" w:hanging="1418"/>
    </w:pPr>
  </w:style>
  <w:style w:type="paragraph" w:styleId="26">
    <w:name w:val="index 1"/>
    <w:basedOn w:val="1"/>
    <w:next w:val="1"/>
    <w:qFormat/>
    <w:uiPriority w:val="0"/>
    <w:pPr>
      <w:spacing w:after="0"/>
      <w:ind w:left="200" w:hanging="200"/>
    </w:pPr>
  </w:style>
  <w:style w:type="paragraph" w:styleId="27">
    <w:name w:val="index 2"/>
    <w:basedOn w:val="26"/>
    <w:next w:val="1"/>
    <w:qFormat/>
    <w:uiPriority w:val="0"/>
    <w:pPr>
      <w:keepLines/>
      <w:ind w:left="284" w:firstLine="0"/>
    </w:pPr>
  </w:style>
  <w:style w:type="paragraph" w:styleId="28">
    <w:name w:val="annotation subject"/>
    <w:basedOn w:val="20"/>
    <w:next w:val="20"/>
    <w:link w:val="88"/>
    <w:unhideWhenUsed/>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uiPriority w:val="0"/>
    <w:rPr>
      <w:color w:val="0000FF"/>
      <w:u w:val="single"/>
    </w:rPr>
  </w:style>
  <w:style w:type="character" w:styleId="34">
    <w:name w:val="annotation reference"/>
    <w:qFormat/>
    <w:uiPriority w:val="99"/>
    <w:rPr>
      <w:sz w:val="16"/>
      <w:szCs w:val="16"/>
    </w:rPr>
  </w:style>
  <w:style w:type="paragraph" w:customStyle="1" w:styleId="35">
    <w:name w:val="EQ"/>
    <w:basedOn w:val="1"/>
    <w:next w:val="1"/>
    <w:qFormat/>
    <w:uiPriority w:val="0"/>
    <w:pPr>
      <w:keepLines/>
      <w:tabs>
        <w:tab w:val="center" w:pos="4536"/>
        <w:tab w:val="right" w:pos="9072"/>
      </w:tabs>
    </w:pPr>
  </w:style>
  <w:style w:type="character" w:customStyle="1" w:styleId="36">
    <w:name w:val="ZGSM"/>
    <w:uiPriority w:val="0"/>
  </w:style>
  <w:style w:type="paragraph" w:customStyle="1" w:styleId="37">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uiPriority w:val="0"/>
    <w:pPr>
      <w:keepNext/>
      <w:spacing w:after="0"/>
    </w:pPr>
    <w:rPr>
      <w:rFonts w:ascii="Arial" w:hAnsi="Arial"/>
      <w:sz w:val="18"/>
    </w:rPr>
  </w:style>
  <w:style w:type="paragraph" w:customStyle="1" w:styleId="40">
    <w:name w:val="NO"/>
    <w:basedOn w:val="1"/>
    <w:link w:val="94"/>
    <w:qFormat/>
    <w:uiPriority w:val="0"/>
    <w:pPr>
      <w:keepLines/>
      <w:ind w:left="1135" w:hanging="851"/>
    </w:pPr>
  </w:style>
  <w:style w:type="paragraph" w:customStyle="1" w:styleId="41">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42">
    <w:name w:val="TAR"/>
    <w:basedOn w:val="43"/>
    <w:uiPriority w:val="0"/>
    <w:pPr>
      <w:jc w:val="right"/>
    </w:pPr>
  </w:style>
  <w:style w:type="paragraph" w:customStyle="1" w:styleId="43">
    <w:name w:val="TAL"/>
    <w:basedOn w:val="1"/>
    <w:link w:val="100"/>
    <w:qFormat/>
    <w:uiPriority w:val="0"/>
    <w:pPr>
      <w:keepNext/>
      <w:keepLines/>
      <w:spacing w:after="0"/>
    </w:pPr>
    <w:rPr>
      <w:rFonts w:ascii="Arial" w:hAnsi="Arial"/>
      <w:sz w:val="18"/>
    </w:rPr>
  </w:style>
  <w:style w:type="paragraph" w:customStyle="1" w:styleId="44">
    <w:name w:val="TAH"/>
    <w:basedOn w:val="45"/>
    <w:link w:val="102"/>
    <w:qFormat/>
    <w:uiPriority w:val="0"/>
    <w:rPr>
      <w:b/>
    </w:rPr>
  </w:style>
  <w:style w:type="paragraph" w:customStyle="1" w:styleId="45">
    <w:name w:val="TAC"/>
    <w:basedOn w:val="43"/>
    <w:link w:val="99"/>
    <w:qFormat/>
    <w:uiPriority w:val="0"/>
    <w:pPr>
      <w:jc w:val="center"/>
    </w:pPr>
  </w:style>
  <w:style w:type="paragraph" w:customStyle="1" w:styleId="46">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47">
    <w:name w:val="EX"/>
    <w:basedOn w:val="1"/>
    <w:link w:val="118"/>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uiPriority w:val="0"/>
    <w:pPr>
      <w:spacing w:after="0"/>
    </w:pPr>
  </w:style>
  <w:style w:type="paragraph" w:customStyle="1" w:styleId="50">
    <w:name w:val="EW"/>
    <w:basedOn w:val="47"/>
    <w:uiPriority w:val="0"/>
    <w:pPr>
      <w:spacing w:after="0"/>
    </w:pPr>
  </w:style>
  <w:style w:type="paragraph" w:customStyle="1" w:styleId="51">
    <w:name w:val="B1"/>
    <w:basedOn w:val="1"/>
    <w:link w:val="91"/>
    <w:qFormat/>
    <w:uiPriority w:val="0"/>
    <w:pPr>
      <w:ind w:left="568" w:hanging="284"/>
    </w:pPr>
  </w:style>
  <w:style w:type="paragraph" w:customStyle="1" w:styleId="52">
    <w:name w:val="Editor's Note"/>
    <w:basedOn w:val="40"/>
    <w:link w:val="97"/>
    <w:qFormat/>
    <w:uiPriority w:val="0"/>
    <w:rPr>
      <w:color w:val="FF0000"/>
    </w:rPr>
  </w:style>
  <w:style w:type="paragraph" w:customStyle="1" w:styleId="53">
    <w:name w:val="TH"/>
    <w:basedOn w:val="1"/>
    <w:link w:val="93"/>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0">
    <w:name w:val="TF"/>
    <w:basedOn w:val="53"/>
    <w:link w:val="92"/>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62">
    <w:name w:val="B2"/>
    <w:basedOn w:val="1"/>
    <w:link w:val="107"/>
    <w:qFormat/>
    <w:uiPriority w:val="0"/>
    <w:pPr>
      <w:ind w:left="851" w:hanging="284"/>
    </w:pPr>
  </w:style>
  <w:style w:type="paragraph" w:customStyle="1" w:styleId="63">
    <w:name w:val="B3"/>
    <w:basedOn w:val="1"/>
    <w:link w:val="119"/>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Header Char"/>
    <w:link w:val="24"/>
    <w:qFormat/>
    <w:uiPriority w:val="0"/>
    <w:rPr>
      <w:rFonts w:ascii="Arial" w:hAnsi="Arial"/>
      <w:b/>
      <w:sz w:val="18"/>
      <w:lang w:val="en-GB" w:eastAsia="ja-JP" w:bidi="ar-SA"/>
    </w:rPr>
  </w:style>
  <w:style w:type="paragraph" w:customStyle="1" w:styleId="71">
    <w:name w:val="CR Cover Page"/>
    <w:link w:val="76"/>
    <w:qFormat/>
    <w:uiPriority w:val="0"/>
    <w:pPr>
      <w:spacing w:after="120"/>
    </w:pPr>
    <w:rPr>
      <w:rFonts w:ascii="Arial" w:hAnsi="Arial" w:eastAsia="MS Mincho" w:cs="Times New Roman"/>
      <w:lang w:val="en-GB" w:eastAsia="en-US" w:bidi="ar-SA"/>
    </w:rPr>
  </w:style>
  <w:style w:type="paragraph" w:styleId="72">
    <w:name w:val="List Paragraph"/>
    <w:basedOn w:val="1"/>
    <w:link w:val="78"/>
    <w:qFormat/>
    <w:uiPriority w:val="34"/>
    <w:pPr>
      <w:ind w:left="720"/>
      <w:contextualSpacing/>
    </w:pPr>
  </w:style>
  <w:style w:type="character" w:customStyle="1" w:styleId="73">
    <w:name w:val="Balloon Text Char"/>
    <w:link w:val="22"/>
    <w:semiHidden/>
    <w:uiPriority w:val="0"/>
    <w:rPr>
      <w:rFonts w:ascii="Segoe UI" w:hAnsi="Segoe UI" w:cs="Segoe UI"/>
      <w:sz w:val="18"/>
      <w:szCs w:val="18"/>
      <w:lang w:eastAsia="en-US"/>
    </w:rPr>
  </w:style>
  <w:style w:type="paragraph" w:customStyle="1" w:styleId="74">
    <w:name w:val="main text"/>
    <w:basedOn w:val="1"/>
    <w:link w:val="75"/>
    <w:qFormat/>
    <w:uiPriority w:val="0"/>
    <w:pPr>
      <w:spacing w:before="60" w:after="60" w:line="288" w:lineRule="auto"/>
      <w:ind w:firstLine="200" w:firstLineChars="200"/>
      <w:jc w:val="both"/>
    </w:pPr>
    <w:rPr>
      <w:rFonts w:eastAsia="Malgun Gothic" w:cs="Batang"/>
      <w:lang w:eastAsia="ko-KR"/>
    </w:rPr>
  </w:style>
  <w:style w:type="character" w:customStyle="1" w:styleId="75">
    <w:name w:val="main text Char"/>
    <w:link w:val="74"/>
    <w:qFormat/>
    <w:uiPriority w:val="0"/>
    <w:rPr>
      <w:rFonts w:eastAsia="Malgun Gothic" w:cs="Batang"/>
      <w:lang w:val="en-GB" w:eastAsia="ko-KR"/>
    </w:rPr>
  </w:style>
  <w:style w:type="character" w:customStyle="1" w:styleId="76">
    <w:name w:val="CR Cover Page Zchn"/>
    <w:link w:val="71"/>
    <w:qFormat/>
    <w:uiPriority w:val="0"/>
    <w:rPr>
      <w:rFonts w:ascii="Arial" w:hAnsi="Arial" w:eastAsia="MS Mincho"/>
      <w:lang w:val="en-GB"/>
    </w:rPr>
  </w:style>
  <w:style w:type="paragraph" w:customStyle="1" w:styleId="77">
    <w:name w:val="DocInfo"/>
    <w:basedOn w:val="1"/>
    <w:qFormat/>
    <w:uiPriority w:val="0"/>
    <w:pPr>
      <w:tabs>
        <w:tab w:val="left" w:pos="2160"/>
      </w:tabs>
      <w:spacing w:before="120" w:after="120"/>
    </w:pPr>
    <w:rPr>
      <w:rFonts w:eastAsia="宋体"/>
      <w:sz w:val="28"/>
      <w:szCs w:val="28"/>
    </w:rPr>
  </w:style>
  <w:style w:type="character" w:customStyle="1" w:styleId="78">
    <w:name w:val="List Paragraph Char"/>
    <w:link w:val="72"/>
    <w:qFormat/>
    <w:locked/>
    <w:uiPriority w:val="34"/>
    <w:rPr>
      <w:lang w:val="en-GB"/>
    </w:rPr>
  </w:style>
  <w:style w:type="paragraph" w:customStyle="1" w:styleId="79">
    <w:name w:val="Doc-title"/>
    <w:basedOn w:val="1"/>
    <w:next w:val="80"/>
    <w:link w:val="82"/>
    <w:qFormat/>
    <w:uiPriority w:val="0"/>
    <w:pPr>
      <w:spacing w:before="60" w:after="0"/>
      <w:ind w:left="1259" w:hanging="1259"/>
    </w:pPr>
    <w:rPr>
      <w:rFonts w:ascii="Arial" w:hAnsi="Arial" w:eastAsia="MS Mincho"/>
      <w:szCs w:val="24"/>
      <w:lang w:eastAsia="en-GB"/>
    </w:rPr>
  </w:style>
  <w:style w:type="paragraph" w:customStyle="1" w:styleId="80">
    <w:name w:val="Doc-text2"/>
    <w:basedOn w:val="1"/>
    <w:link w:val="81"/>
    <w:qFormat/>
    <w:uiPriority w:val="0"/>
    <w:pPr>
      <w:tabs>
        <w:tab w:val="left" w:pos="1622"/>
      </w:tabs>
      <w:spacing w:after="0"/>
      <w:ind w:left="1622" w:hanging="363"/>
    </w:pPr>
    <w:rPr>
      <w:rFonts w:ascii="Arial" w:hAnsi="Arial" w:eastAsia="MS Mincho"/>
      <w:szCs w:val="24"/>
      <w:lang w:eastAsia="en-GB"/>
    </w:rPr>
  </w:style>
  <w:style w:type="character" w:customStyle="1" w:styleId="81">
    <w:name w:val="Doc-text2 Char"/>
    <w:link w:val="80"/>
    <w:qFormat/>
    <w:uiPriority w:val="0"/>
    <w:rPr>
      <w:rFonts w:ascii="Arial" w:hAnsi="Arial" w:eastAsia="MS Mincho"/>
      <w:szCs w:val="24"/>
      <w:lang w:val="en-GB" w:eastAsia="en-GB"/>
    </w:rPr>
  </w:style>
  <w:style w:type="character" w:customStyle="1" w:styleId="82">
    <w:name w:val="Doc-title Char"/>
    <w:link w:val="79"/>
    <w:qFormat/>
    <w:uiPriority w:val="0"/>
    <w:rPr>
      <w:rFonts w:ascii="Arial" w:hAnsi="Arial" w:eastAsia="MS Mincho"/>
      <w:szCs w:val="24"/>
      <w:lang w:val="en-GB" w:eastAsia="en-GB"/>
    </w:rPr>
  </w:style>
  <w:style w:type="paragraph" w:customStyle="1" w:styleId="83">
    <w:name w:val="Agreement"/>
    <w:basedOn w:val="1"/>
    <w:next w:val="80"/>
    <w:qFormat/>
    <w:uiPriority w:val="99"/>
    <w:pPr>
      <w:numPr>
        <w:ilvl w:val="0"/>
        <w:numId w:val="1"/>
      </w:numPr>
      <w:spacing w:before="60" w:after="0"/>
    </w:pPr>
    <w:rPr>
      <w:rFonts w:ascii="Arial" w:hAnsi="Arial" w:eastAsia="MS Mincho"/>
      <w:b/>
      <w:szCs w:val="24"/>
      <w:lang w:eastAsia="en-GB"/>
    </w:rPr>
  </w:style>
  <w:style w:type="paragraph" w:customStyle="1" w:styleId="84">
    <w:name w:val="EmailDiscussion"/>
    <w:basedOn w:val="1"/>
    <w:next w:val="85"/>
    <w:link w:val="86"/>
    <w:qFormat/>
    <w:uiPriority w:val="0"/>
    <w:pPr>
      <w:numPr>
        <w:ilvl w:val="0"/>
        <w:numId w:val="2"/>
      </w:numPr>
      <w:spacing w:before="40" w:after="0"/>
    </w:pPr>
    <w:rPr>
      <w:rFonts w:ascii="Arial" w:hAnsi="Arial" w:eastAsia="MS Mincho"/>
      <w:b/>
      <w:szCs w:val="24"/>
      <w:lang w:eastAsia="en-GB"/>
    </w:rPr>
  </w:style>
  <w:style w:type="paragraph" w:customStyle="1" w:styleId="85">
    <w:name w:val="EmailDiscussion2"/>
    <w:basedOn w:val="80"/>
    <w:qFormat/>
    <w:uiPriority w:val="0"/>
  </w:style>
  <w:style w:type="character" w:customStyle="1" w:styleId="86">
    <w:name w:val="EmailDiscussion Char"/>
    <w:link w:val="84"/>
    <w:uiPriority w:val="0"/>
    <w:rPr>
      <w:rFonts w:ascii="Arial" w:hAnsi="Arial" w:eastAsia="MS Mincho"/>
      <w:b/>
      <w:szCs w:val="24"/>
      <w:lang w:val="en-GB" w:eastAsia="en-GB"/>
    </w:rPr>
  </w:style>
  <w:style w:type="character" w:customStyle="1" w:styleId="87">
    <w:name w:val="Comment Text Char"/>
    <w:basedOn w:val="31"/>
    <w:link w:val="20"/>
    <w:qFormat/>
    <w:uiPriority w:val="99"/>
    <w:rPr>
      <w:lang w:val="en-GB"/>
    </w:rPr>
  </w:style>
  <w:style w:type="character" w:customStyle="1" w:styleId="88">
    <w:name w:val="Comment Subject Char"/>
    <w:basedOn w:val="87"/>
    <w:link w:val="28"/>
    <w:qFormat/>
    <w:uiPriority w:val="0"/>
    <w:rPr>
      <w:b/>
      <w:bCs/>
      <w:lang w:val="en-GB"/>
    </w:rPr>
  </w:style>
  <w:style w:type="paragraph" w:customStyle="1" w:styleId="89">
    <w:name w:val="Revision"/>
    <w:hidden/>
    <w:semiHidden/>
    <w:qFormat/>
    <w:uiPriority w:val="99"/>
    <w:rPr>
      <w:rFonts w:ascii="Times New Roman" w:hAnsi="Times New Roman" w:cs="Times New Roman" w:eastAsiaTheme="minorEastAsia"/>
      <w:lang w:val="en-GB" w:eastAsia="en-US" w:bidi="ar-SA"/>
    </w:rPr>
  </w:style>
  <w:style w:type="character" w:customStyle="1" w:styleId="90">
    <w:name w:val="16"/>
    <w:uiPriority w:val="0"/>
    <w:rPr>
      <w:rFonts w:hint="default" w:ascii="Times New Roman" w:hAnsi="Times New Roman" w:cs="Times New Roman"/>
      <w:color w:val="0000FF"/>
      <w:u w:val="single"/>
    </w:rPr>
  </w:style>
  <w:style w:type="character" w:customStyle="1" w:styleId="91">
    <w:name w:val="B1 Zchn"/>
    <w:link w:val="51"/>
    <w:qFormat/>
    <w:uiPriority w:val="0"/>
    <w:rPr>
      <w:lang w:val="en-GB"/>
    </w:rPr>
  </w:style>
  <w:style w:type="character" w:customStyle="1" w:styleId="92">
    <w:name w:val="TF Char"/>
    <w:link w:val="60"/>
    <w:qFormat/>
    <w:uiPriority w:val="0"/>
    <w:rPr>
      <w:rFonts w:ascii="Arial" w:hAnsi="Arial"/>
      <w:b/>
      <w:lang w:val="en-GB"/>
    </w:rPr>
  </w:style>
  <w:style w:type="character" w:customStyle="1" w:styleId="93">
    <w:name w:val="TH Char"/>
    <w:link w:val="53"/>
    <w:qFormat/>
    <w:uiPriority w:val="0"/>
    <w:rPr>
      <w:rFonts w:ascii="Arial" w:hAnsi="Arial"/>
      <w:b/>
      <w:lang w:val="en-GB"/>
    </w:rPr>
  </w:style>
  <w:style w:type="character" w:customStyle="1" w:styleId="94">
    <w:name w:val="NO Zchn"/>
    <w:link w:val="40"/>
    <w:qFormat/>
    <w:locked/>
    <w:uiPriority w:val="0"/>
    <w:rPr>
      <w:lang w:val="en-GB"/>
    </w:rPr>
  </w:style>
  <w:style w:type="character" w:customStyle="1" w:styleId="95">
    <w:name w:val="15"/>
    <w:qFormat/>
    <w:uiPriority w:val="0"/>
    <w:rPr>
      <w:rFonts w:hint="default" w:ascii="CG Times (WN)" w:hAnsi="CG Times (WN)"/>
      <w:color w:val="0000FF"/>
      <w:u w:val="single"/>
    </w:rPr>
  </w:style>
  <w:style w:type="character" w:customStyle="1" w:styleId="96">
    <w:name w:val="B1 Char"/>
    <w:qFormat/>
    <w:uiPriority w:val="0"/>
  </w:style>
  <w:style w:type="character" w:customStyle="1" w:styleId="97">
    <w:name w:val="Editor's Note Char"/>
    <w:link w:val="52"/>
    <w:qFormat/>
    <w:uiPriority w:val="0"/>
    <w:rPr>
      <w:color w:val="FF0000"/>
      <w:lang w:val="en-GB"/>
    </w:rPr>
  </w:style>
  <w:style w:type="character" w:customStyle="1" w:styleId="98">
    <w:name w:val="NO Char"/>
    <w:qFormat/>
    <w:uiPriority w:val="0"/>
    <w:rPr>
      <w:lang w:val="en-GB" w:eastAsia="en-US" w:bidi="ar-SA"/>
    </w:rPr>
  </w:style>
  <w:style w:type="character" w:customStyle="1" w:styleId="99">
    <w:name w:val="TAC Char"/>
    <w:link w:val="45"/>
    <w:qFormat/>
    <w:locked/>
    <w:uiPriority w:val="0"/>
    <w:rPr>
      <w:rFonts w:ascii="Arial" w:hAnsi="Arial"/>
      <w:sz w:val="18"/>
      <w:lang w:val="en-GB"/>
    </w:rPr>
  </w:style>
  <w:style w:type="character" w:customStyle="1" w:styleId="100">
    <w:name w:val="TAL Car"/>
    <w:link w:val="43"/>
    <w:qFormat/>
    <w:uiPriority w:val="0"/>
    <w:rPr>
      <w:rFonts w:ascii="Arial" w:hAnsi="Arial"/>
      <w:sz w:val="18"/>
      <w:lang w:val="en-GB"/>
    </w:rPr>
  </w:style>
  <w:style w:type="paragraph" w:customStyle="1" w:styleId="101">
    <w:name w:val="First Change"/>
    <w:basedOn w:val="1"/>
    <w:uiPriority w:val="0"/>
    <w:pPr>
      <w:jc w:val="center"/>
    </w:pPr>
    <w:rPr>
      <w:rFonts w:eastAsia="宋体"/>
      <w:color w:val="FF0000"/>
    </w:rPr>
  </w:style>
  <w:style w:type="character" w:customStyle="1" w:styleId="102">
    <w:name w:val="TAH Car"/>
    <w:link w:val="44"/>
    <w:qFormat/>
    <w:locked/>
    <w:uiPriority w:val="0"/>
    <w:rPr>
      <w:rFonts w:ascii="Arial" w:hAnsi="Arial"/>
      <w:b/>
      <w:sz w:val="18"/>
      <w:lang w:val="en-GB"/>
    </w:rPr>
  </w:style>
  <w:style w:type="character" w:customStyle="1" w:styleId="103">
    <w:name w:val="PL Char"/>
    <w:link w:val="41"/>
    <w:qFormat/>
    <w:uiPriority w:val="0"/>
    <w:rPr>
      <w:rFonts w:ascii="Courier New" w:hAnsi="Courier New"/>
      <w:sz w:val="16"/>
      <w:lang w:val="en-GB"/>
    </w:rPr>
  </w:style>
  <w:style w:type="character" w:customStyle="1" w:styleId="104">
    <w:name w:val="Document Map Char"/>
    <w:basedOn w:val="31"/>
    <w:link w:val="19"/>
    <w:qFormat/>
    <w:uiPriority w:val="0"/>
    <w:rPr>
      <w:rFonts w:ascii="Tahoma" w:hAnsi="Tahoma" w:eastAsia="宋体" w:cs="Tahoma"/>
      <w:sz w:val="16"/>
      <w:szCs w:val="16"/>
      <w:lang w:val="en-GB"/>
    </w:rPr>
  </w:style>
  <w:style w:type="paragraph" w:customStyle="1" w:styleId="105">
    <w:name w:val="00 BodyText"/>
    <w:basedOn w:val="1"/>
    <w:qFormat/>
    <w:uiPriority w:val="0"/>
    <w:pPr>
      <w:spacing w:after="220" w:line="259" w:lineRule="auto"/>
    </w:pPr>
    <w:rPr>
      <w:rFonts w:ascii="Arial" w:hAnsi="Arial" w:eastAsia="宋体"/>
      <w:sz w:val="22"/>
      <w:lang w:val="en-US"/>
    </w:rPr>
  </w:style>
  <w:style w:type="character" w:customStyle="1" w:styleId="106">
    <w:name w:val="NO Char1"/>
    <w:qFormat/>
    <w:uiPriority w:val="0"/>
    <w:rPr>
      <w:lang w:val="en-GB" w:eastAsia="en-US"/>
    </w:rPr>
  </w:style>
  <w:style w:type="character" w:customStyle="1" w:styleId="107">
    <w:name w:val="B2 Char"/>
    <w:link w:val="62"/>
    <w:qFormat/>
    <w:uiPriority w:val="0"/>
    <w:rPr>
      <w:lang w:val="en-GB"/>
    </w:rPr>
  </w:style>
  <w:style w:type="character" w:customStyle="1" w:styleId="108">
    <w:name w:val="B1 Char1"/>
    <w:qFormat/>
    <w:uiPriority w:val="0"/>
    <w:rPr>
      <w:rFonts w:ascii="Arial" w:hAnsi="Arial"/>
      <w:lang w:val="en-GB" w:eastAsia="en-US"/>
    </w:rPr>
  </w:style>
  <w:style w:type="character" w:customStyle="1" w:styleId="109">
    <w:name w:val="TAL Char"/>
    <w:qFormat/>
    <w:locked/>
    <w:uiPriority w:val="0"/>
    <w:rPr>
      <w:rFonts w:ascii="Arial" w:hAnsi="Arial" w:cs="Arial"/>
      <w:sz w:val="18"/>
    </w:rPr>
  </w:style>
  <w:style w:type="character" w:customStyle="1" w:styleId="110">
    <w:name w:val="TAH Char"/>
    <w:qFormat/>
    <w:locked/>
    <w:uiPriority w:val="0"/>
    <w:rPr>
      <w:rFonts w:ascii="Arial" w:hAnsi="Arial"/>
      <w:b/>
      <w:sz w:val="18"/>
      <w:lang w:val="en-GB" w:eastAsia="en-US"/>
    </w:rPr>
  </w:style>
  <w:style w:type="character" w:customStyle="1" w:styleId="111">
    <w:name w:val="Heading 1 Char"/>
    <w:link w:val="2"/>
    <w:qFormat/>
    <w:uiPriority w:val="0"/>
    <w:rPr>
      <w:rFonts w:ascii="Arial" w:hAnsi="Arial"/>
      <w:sz w:val="36"/>
      <w:lang w:val="en-GB"/>
    </w:rPr>
  </w:style>
  <w:style w:type="character" w:customStyle="1" w:styleId="112">
    <w:name w:val="Heading 2 Char"/>
    <w:link w:val="3"/>
    <w:qFormat/>
    <w:uiPriority w:val="0"/>
    <w:rPr>
      <w:rFonts w:ascii="Arial" w:hAnsi="Arial"/>
      <w:sz w:val="32"/>
      <w:lang w:val="en-GB"/>
    </w:rPr>
  </w:style>
  <w:style w:type="character" w:customStyle="1" w:styleId="113">
    <w:name w:val="Heading 3 Char"/>
    <w:link w:val="4"/>
    <w:qFormat/>
    <w:uiPriority w:val="0"/>
    <w:rPr>
      <w:rFonts w:ascii="Arial" w:hAnsi="Arial"/>
      <w:sz w:val="28"/>
      <w:lang w:val="en-GB"/>
    </w:rPr>
  </w:style>
  <w:style w:type="character" w:customStyle="1" w:styleId="114">
    <w:name w:val="Heading 4 Char"/>
    <w:link w:val="5"/>
    <w:qFormat/>
    <w:uiPriority w:val="0"/>
    <w:rPr>
      <w:rFonts w:ascii="Arial" w:hAnsi="Arial"/>
      <w:sz w:val="24"/>
      <w:lang w:val="en-GB"/>
    </w:rPr>
  </w:style>
  <w:style w:type="character" w:customStyle="1" w:styleId="115">
    <w:name w:val="Heading 6 Char"/>
    <w:link w:val="7"/>
    <w:qFormat/>
    <w:uiPriority w:val="0"/>
    <w:rPr>
      <w:rFonts w:ascii="Arial" w:hAnsi="Arial"/>
      <w:lang w:val="en-GB"/>
    </w:rPr>
  </w:style>
  <w:style w:type="character" w:customStyle="1" w:styleId="116">
    <w:name w:val="Heading 8 Char"/>
    <w:link w:val="10"/>
    <w:qFormat/>
    <w:uiPriority w:val="0"/>
    <w:rPr>
      <w:rFonts w:ascii="Arial" w:hAnsi="Arial"/>
      <w:sz w:val="36"/>
      <w:lang w:val="en-GB"/>
    </w:rPr>
  </w:style>
  <w:style w:type="character" w:customStyle="1" w:styleId="117">
    <w:name w:val="Heading 9 Char"/>
    <w:link w:val="11"/>
    <w:qFormat/>
    <w:uiPriority w:val="0"/>
    <w:rPr>
      <w:rFonts w:ascii="Arial" w:hAnsi="Arial"/>
      <w:sz w:val="36"/>
      <w:lang w:val="en-GB"/>
    </w:rPr>
  </w:style>
  <w:style w:type="character" w:customStyle="1" w:styleId="118">
    <w:name w:val="EX Char"/>
    <w:link w:val="47"/>
    <w:qFormat/>
    <w:locked/>
    <w:uiPriority w:val="0"/>
    <w:rPr>
      <w:lang w:val="en-GB"/>
    </w:rPr>
  </w:style>
  <w:style w:type="character" w:customStyle="1" w:styleId="119">
    <w:name w:val="B3 Char"/>
    <w:link w:val="63"/>
    <w:qFormat/>
    <w:uiPriority w:val="0"/>
    <w:rPr>
      <w:lang w:val="en-GB"/>
    </w:rPr>
  </w:style>
  <w:style w:type="paragraph" w:customStyle="1" w:styleId="120">
    <w:name w:val="TAL + Left:  1 cm"/>
    <w:basedOn w:val="43"/>
    <w:qFormat/>
    <w:uiPriority w:val="0"/>
    <w:pPr>
      <w:overflowPunct w:val="0"/>
      <w:autoSpaceDE w:val="0"/>
      <w:autoSpaceDN w:val="0"/>
      <w:adjustRightInd w:val="0"/>
      <w:spacing w:line="259" w:lineRule="auto"/>
      <w:ind w:left="567"/>
      <w:textAlignment w:val="baseline"/>
    </w:pPr>
    <w:rPr>
      <w:rFonts w:eastAsia="Times New Roman"/>
      <w:lang w:val="zh-CN" w:eastAsia="en-GB"/>
    </w:rPr>
  </w:style>
  <w:style w:type="paragraph" w:customStyle="1" w:styleId="121">
    <w:name w:val="修订1"/>
    <w:hidden/>
    <w:semiHidden/>
    <w:qFormat/>
    <w:uiPriority w:val="99"/>
    <w:pPr>
      <w:spacing w:after="160" w:line="259" w:lineRule="auto"/>
    </w:pPr>
    <w:rPr>
      <w:rFonts w:ascii="Times New Roman" w:hAnsi="Times New Roman" w:eastAsia="Times New Roman" w:cs="Times New Roman"/>
      <w:lang w:val="en-GB" w:eastAsia="en-US" w:bidi="ar-SA"/>
    </w:rPr>
  </w:style>
  <w:style w:type="character" w:customStyle="1" w:styleId="122">
    <w:name w:val="@他1"/>
    <w:semiHidden/>
    <w:unhideWhenUsed/>
    <w:uiPriority w:val="99"/>
    <w:rPr>
      <w:color w:val="2B579A"/>
      <w:shd w:val="clear" w:color="auto" w:fill="E6E6E6"/>
    </w:rPr>
  </w:style>
  <w:style w:type="paragraph" w:customStyle="1" w:styleId="123">
    <w:name w:val="3GPP_Header"/>
    <w:basedOn w:val="1"/>
    <w:qFormat/>
    <w:uiPriority w:val="0"/>
    <w:pPr>
      <w:tabs>
        <w:tab w:val="left" w:pos="1701"/>
        <w:tab w:val="right" w:pos="9639"/>
      </w:tabs>
      <w:overflowPunct w:val="0"/>
      <w:autoSpaceDE w:val="0"/>
      <w:autoSpaceDN w:val="0"/>
      <w:adjustRightInd w:val="0"/>
      <w:spacing w:after="240" w:line="259" w:lineRule="auto"/>
      <w:jc w:val="both"/>
      <w:textAlignment w:val="baseline"/>
    </w:pPr>
    <w:rPr>
      <w:rFonts w:ascii="Arial" w:hAnsi="Arial" w:eastAsia="Times New Roman"/>
      <w:b/>
      <w:sz w:val="24"/>
      <w:lang w:eastAsia="zh-CN"/>
    </w:rPr>
  </w:style>
  <w:style w:type="character" w:customStyle="1" w:styleId="124">
    <w:name w:val="Footer Char"/>
    <w:basedOn w:val="31"/>
    <w:link w:val="23"/>
    <w:qFormat/>
    <w:uiPriority w:val="0"/>
    <w:rPr>
      <w:rFonts w:ascii="Arial" w:hAnsi="Arial"/>
      <w:b/>
      <w:i/>
      <w:sz w:val="18"/>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8600D-6A7D-4901-B2AE-FB61E9D43D2E}">
  <ds:schemaRefs/>
</ds:datastoreItem>
</file>

<file path=customXml/itemProps3.xml><?xml version="1.0" encoding="utf-8"?>
<ds:datastoreItem xmlns:ds="http://schemas.openxmlformats.org/officeDocument/2006/customXml" ds:itemID="{A1BD98CB-4F34-400B-822A-18455540A26C}">
  <ds:schemaRefs/>
</ds:datastoreItem>
</file>

<file path=customXml/itemProps4.xml><?xml version="1.0" encoding="utf-8"?>
<ds:datastoreItem xmlns:ds="http://schemas.openxmlformats.org/officeDocument/2006/customXml" ds:itemID="{91E2603E-40F4-448A-9800-D3537A860EDC}">
  <ds:schemaRefs/>
</ds:datastoreItem>
</file>

<file path=customXml/itemProps5.xml><?xml version="1.0" encoding="utf-8"?>
<ds:datastoreItem xmlns:ds="http://schemas.openxmlformats.org/officeDocument/2006/customXml" ds:itemID="{E8EDFA05-CD50-438D-A79F-CBCA108C7678}">
  <ds:schemaRefs/>
</ds:datastoreItem>
</file>

<file path=docProps/app.xml><?xml version="1.0" encoding="utf-8"?>
<Properties xmlns="http://schemas.openxmlformats.org/officeDocument/2006/extended-properties" xmlns:vt="http://schemas.openxmlformats.org/officeDocument/2006/docPropsVTypes">
  <Template>3GPP TDoc</Template>
  <Company>Nokia Siemens Networks</Company>
  <Pages>8</Pages>
  <Words>3526</Words>
  <Characters>20104</Characters>
  <Lines>167</Lines>
  <Paragraphs>47</Paragraphs>
  <TotalTime>1</TotalTime>
  <ScaleCrop>false</ScaleCrop>
  <LinksUpToDate>false</LinksUpToDate>
  <CharactersWithSpaces>23583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2024-02-27T17:06:00Z</dcterms:created>
  <dc:creator>Nokia</dc:creator>
  <cp:lastModifiedBy>ZTE</cp:lastModifiedBy>
  <dcterms:modified xsi:type="dcterms:W3CDTF">2024-02-27T21:22:18Z</dcterms:modified>
  <dc:subject>&lt;Title 1; Title 2&gt; (Release 13 |12 |11 | 10 | 9 | 8 | 7 | 6 | 5 | 4)</dc:subject>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1709020730</vt:lpwstr>
  </property>
  <property fmtid="{D5CDD505-2E9C-101B-9397-08002B2CF9AE}" pid="12" name="MSIP_Label_a7295cc1-d279-42ac-ab4d-3b0f4fece050_Enabled">
    <vt:lpwstr>true</vt:lpwstr>
  </property>
  <property fmtid="{D5CDD505-2E9C-101B-9397-08002B2CF9AE}" pid="13" name="MSIP_Label_a7295cc1-d279-42ac-ab4d-3b0f4fece050_SetDate">
    <vt:lpwstr>2024-02-27T16:28:00Z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13269f39-b4c0-4b04-9428-888d8fe02964</vt:lpwstr>
  </property>
  <property fmtid="{D5CDD505-2E9C-101B-9397-08002B2CF9AE}" pid="18" name="MSIP_Label_a7295cc1-d279-42ac-ab4d-3b0f4fece050_ContentBits">
    <vt:lpwstr>0</vt:lpwstr>
  </property>
  <property fmtid="{D5CDD505-2E9C-101B-9397-08002B2CF9AE}" pid="19" name="KSOProductBuildVer">
    <vt:lpwstr>2052-11.8.2.12085</vt:lpwstr>
  </property>
  <property fmtid="{D5CDD505-2E9C-101B-9397-08002B2CF9AE}" pid="20" name="ICV">
    <vt:lpwstr>AFB022DE2A18441283A910C50A39F09B</vt:lpwstr>
  </property>
</Properties>
</file>