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6B25" w14:textId="26889B60"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DC3007">
        <w:rPr>
          <w:rFonts w:cs="Arial"/>
          <w:noProof w:val="0"/>
          <w:sz w:val="24"/>
          <w:szCs w:val="24"/>
        </w:rPr>
        <w:t>2</w:t>
      </w:r>
      <w:r w:rsidR="003B5037">
        <w:rPr>
          <w:rFonts w:cs="Arial"/>
          <w:noProof w:val="0"/>
          <w:sz w:val="24"/>
          <w:szCs w:val="24"/>
        </w:rPr>
        <w:t>3</w:t>
      </w:r>
      <w:r w:rsidR="001634D2">
        <w:rPr>
          <w:rFonts w:cs="Arial"/>
          <w:noProof w:val="0"/>
          <w:sz w:val="24"/>
          <w:szCs w:val="24"/>
        </w:rPr>
        <w:t>bis</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3B5037">
        <w:rPr>
          <w:rFonts w:cs="Arial"/>
          <w:bCs/>
          <w:noProof w:val="0"/>
          <w:sz w:val="24"/>
          <w:lang w:eastAsia="ja-JP"/>
        </w:rPr>
        <w:t>4</w:t>
      </w:r>
      <w:r w:rsidR="00E059CB">
        <w:rPr>
          <w:rFonts w:cs="Arial"/>
          <w:bCs/>
          <w:noProof w:val="0"/>
          <w:sz w:val="24"/>
          <w:lang w:eastAsia="ja-JP"/>
        </w:rPr>
        <w:t>1635</w:t>
      </w:r>
    </w:p>
    <w:p w14:paraId="3EA64900" w14:textId="29A00315" w:rsidR="004F4425" w:rsidRDefault="001634D2" w:rsidP="000D77DB">
      <w:pPr>
        <w:pStyle w:val="CRCoverPage"/>
        <w:rPr>
          <w:b/>
          <w:noProof/>
          <w:sz w:val="24"/>
        </w:rPr>
      </w:pPr>
      <w:r>
        <w:rPr>
          <w:b/>
          <w:noProof/>
          <w:sz w:val="24"/>
        </w:rPr>
        <w:t>Changsha, P.R. China, 15</w:t>
      </w:r>
      <w:r w:rsidRPr="001634D2">
        <w:rPr>
          <w:b/>
          <w:noProof/>
          <w:sz w:val="24"/>
          <w:vertAlign w:val="superscript"/>
        </w:rPr>
        <w:t>th</w:t>
      </w:r>
      <w:r>
        <w:rPr>
          <w:b/>
          <w:noProof/>
          <w:sz w:val="24"/>
        </w:rPr>
        <w:t xml:space="preserve"> – 19</w:t>
      </w:r>
      <w:r w:rsidRPr="001634D2">
        <w:rPr>
          <w:b/>
          <w:noProof/>
          <w:sz w:val="24"/>
          <w:vertAlign w:val="superscript"/>
        </w:rPr>
        <w:t>th</w:t>
      </w:r>
      <w:r>
        <w:rPr>
          <w:b/>
          <w:noProof/>
          <w:sz w:val="24"/>
        </w:rPr>
        <w:t xml:space="preserve"> April</w:t>
      </w:r>
      <w:r w:rsidR="00707B18">
        <w:rPr>
          <w:b/>
          <w:noProof/>
          <w:sz w:val="24"/>
        </w:rPr>
        <w:t xml:space="preserve"> 202</w:t>
      </w:r>
      <w:r w:rsidR="003B5037">
        <w:rPr>
          <w:b/>
          <w:noProof/>
          <w:sz w:val="24"/>
        </w:rPr>
        <w:t>4</w:t>
      </w:r>
    </w:p>
    <w:p w14:paraId="0C4B67AF" w14:textId="77777777" w:rsidR="00501135" w:rsidRDefault="00501135">
      <w:pPr>
        <w:pStyle w:val="Header"/>
        <w:rPr>
          <w:rFonts w:cs="Arial"/>
          <w:bCs/>
          <w:noProof w:val="0"/>
          <w:sz w:val="24"/>
          <w:lang w:val="en-GB" w:eastAsia="ja-JP"/>
        </w:rPr>
      </w:pPr>
    </w:p>
    <w:p w14:paraId="43D56084" w14:textId="2DC2B9BA"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B32845">
        <w:rPr>
          <w:rFonts w:cs="Arial"/>
          <w:b/>
          <w:bCs/>
          <w:color w:val="000000"/>
          <w:sz w:val="24"/>
          <w:szCs w:val="24"/>
          <w:lang w:val="en-US"/>
        </w:rPr>
        <w:t>16.2</w:t>
      </w:r>
    </w:p>
    <w:p w14:paraId="6BE48DC7" w14:textId="43493A2E"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974B70">
        <w:rPr>
          <w:rFonts w:cs="Arial"/>
          <w:b/>
          <w:bCs/>
          <w:sz w:val="24"/>
          <w:lang w:val="en-US"/>
        </w:rPr>
        <w:t>Ericsson</w:t>
      </w:r>
    </w:p>
    <w:p w14:paraId="3A2005BA" w14:textId="4509B039"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974B70">
        <w:rPr>
          <w:rFonts w:cs="Arial"/>
          <w:b/>
          <w:bCs/>
          <w:color w:val="000000"/>
          <w:sz w:val="24"/>
          <w:szCs w:val="24"/>
        </w:rPr>
        <w:t xml:space="preserve">On </w:t>
      </w:r>
      <w:r w:rsidR="00E01172">
        <w:rPr>
          <w:rFonts w:cs="Arial"/>
          <w:b/>
          <w:bCs/>
          <w:color w:val="000000"/>
          <w:sz w:val="24"/>
          <w:szCs w:val="24"/>
        </w:rPr>
        <w:t xml:space="preserve">Requirements and Use Cases in </w:t>
      </w:r>
      <w:r w:rsidR="00974B70">
        <w:rPr>
          <w:rFonts w:cs="Arial"/>
          <w:b/>
          <w:bCs/>
          <w:color w:val="000000"/>
          <w:sz w:val="24"/>
          <w:szCs w:val="24"/>
        </w:rPr>
        <w:t xml:space="preserve">Ambient IoT </w:t>
      </w:r>
      <w:r w:rsidR="0077229F">
        <w:rPr>
          <w:rFonts w:cs="Arial"/>
          <w:b/>
          <w:bCs/>
          <w:color w:val="000000"/>
          <w:sz w:val="24"/>
          <w:szCs w:val="24"/>
        </w:rPr>
        <w:t>study</w:t>
      </w:r>
      <w:r w:rsidR="00974B70">
        <w:rPr>
          <w:rFonts w:cs="Arial"/>
          <w:b/>
          <w:bCs/>
          <w:color w:val="000000"/>
          <w:sz w:val="24"/>
          <w:szCs w:val="24"/>
        </w:rPr>
        <w:t xml:space="preserve"> in 3GPP Rel-19</w:t>
      </w:r>
    </w:p>
    <w:p w14:paraId="798882EA" w14:textId="6EA44920"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974B70">
        <w:rPr>
          <w:rFonts w:cs="Arial"/>
          <w:b/>
          <w:bCs/>
          <w:sz w:val="24"/>
          <w:szCs w:val="24"/>
        </w:rPr>
        <w:t>Discussion and Agreement</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E0E6166" w14:textId="70378F25" w:rsidR="00CD7395" w:rsidRDefault="00B32845" w:rsidP="00117327">
      <w:r>
        <w:t xml:space="preserve">This document starts discussion on the TSG RAN WGs Rel-19 Study Item on </w:t>
      </w:r>
      <w:r w:rsidRPr="00E059CB">
        <w:rPr>
          <w:i/>
          <w:iCs/>
        </w:rPr>
        <w:t>Study on solutions for Ambient IoT (Internet of Things) in NR</w:t>
      </w:r>
      <w:r w:rsidRPr="00B32845">
        <w:t>.</w:t>
      </w:r>
    </w:p>
    <w:p w14:paraId="18BB631E"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4149C5AD" w14:textId="51142D49" w:rsidR="00966FF5" w:rsidRDefault="00966FF5" w:rsidP="00E01172">
      <w:pPr>
        <w:pStyle w:val="Heading2"/>
      </w:pPr>
      <w:r>
        <w:t>2.1</w:t>
      </w:r>
      <w:r>
        <w:tab/>
        <w:t>Study on AIoT in RAN3, embedded in a 3GPP wide study activity</w:t>
      </w:r>
    </w:p>
    <w:p w14:paraId="1D5FFC37" w14:textId="77777777" w:rsidR="00966FF5" w:rsidRDefault="00966FF5" w:rsidP="00966FF5">
      <w:r>
        <w:t>The RAN3 Items of study are as follows (see latest SID in RP-240826 [1]):</w:t>
      </w:r>
    </w:p>
    <w:p w14:paraId="065B8028" w14:textId="77777777" w:rsidR="00966FF5" w:rsidRPr="006F7663" w:rsidRDefault="00966FF5" w:rsidP="00966FF5">
      <w:pPr>
        <w:numPr>
          <w:ilvl w:val="0"/>
          <w:numId w:val="14"/>
        </w:numPr>
        <w:ind w:right="-96"/>
        <w:jc w:val="both"/>
        <w:rPr>
          <w:rFonts w:eastAsia="SimSun"/>
          <w:i/>
          <w:iCs/>
          <w:color w:val="002060"/>
          <w:lang w:val="en-US" w:eastAsia="ja-JP"/>
        </w:rPr>
      </w:pPr>
      <w:r w:rsidRPr="006F7663">
        <w:rPr>
          <w:rFonts w:eastAsia="SimSun"/>
          <w:i/>
          <w:iCs/>
          <w:color w:val="002060"/>
          <w:lang w:val="en-US" w:eastAsia="ja-JP"/>
        </w:rPr>
        <w:t>RAN3-led:</w:t>
      </w:r>
    </w:p>
    <w:p w14:paraId="7F503E84" w14:textId="77777777" w:rsidR="00966FF5" w:rsidRPr="006F7663" w:rsidRDefault="00966FF5" w:rsidP="00966FF5">
      <w:pPr>
        <w:numPr>
          <w:ilvl w:val="1"/>
          <w:numId w:val="14"/>
        </w:numPr>
        <w:ind w:right="-96"/>
        <w:jc w:val="both"/>
        <w:rPr>
          <w:rFonts w:eastAsia="SimSun"/>
          <w:i/>
          <w:iCs/>
          <w:color w:val="002060"/>
          <w:lang w:val="en-US" w:eastAsia="ja-JP"/>
        </w:rPr>
      </w:pPr>
      <w:r w:rsidRPr="006F7663">
        <w:rPr>
          <w:rFonts w:eastAsia="SimSun"/>
          <w:i/>
          <w:iCs/>
          <w:color w:val="002060"/>
          <w:lang w:val="en-US" w:eastAsia="ja-JP"/>
        </w:rPr>
        <w:t>Identify necessary impacts on signaling and procedures for CN-RAN interface, to enable:</w:t>
      </w:r>
    </w:p>
    <w:p w14:paraId="447B52CD" w14:textId="77777777" w:rsidR="00966FF5" w:rsidRPr="006F7663" w:rsidRDefault="00966FF5" w:rsidP="00966FF5">
      <w:pPr>
        <w:numPr>
          <w:ilvl w:val="2"/>
          <w:numId w:val="14"/>
        </w:numPr>
        <w:ind w:right="-96"/>
        <w:jc w:val="both"/>
        <w:rPr>
          <w:rFonts w:eastAsia="SimSun"/>
          <w:i/>
          <w:iCs/>
          <w:color w:val="002060"/>
          <w:lang w:val="en-US" w:eastAsia="ja-JP"/>
        </w:rPr>
      </w:pPr>
      <w:r w:rsidRPr="006F7663">
        <w:rPr>
          <w:rFonts w:eastAsia="SimSun"/>
          <w:i/>
          <w:iCs/>
          <w:color w:val="002060"/>
          <w:lang w:val="en-US" w:eastAsia="ja-JP"/>
        </w:rPr>
        <w:t xml:space="preserve">Paging  </w:t>
      </w:r>
    </w:p>
    <w:p w14:paraId="4A245E42" w14:textId="77777777" w:rsidR="00966FF5" w:rsidRPr="006F7663" w:rsidRDefault="00966FF5" w:rsidP="00966FF5">
      <w:pPr>
        <w:numPr>
          <w:ilvl w:val="2"/>
          <w:numId w:val="14"/>
        </w:numPr>
        <w:ind w:right="-96"/>
        <w:jc w:val="both"/>
        <w:rPr>
          <w:rFonts w:eastAsia="SimSun"/>
          <w:i/>
          <w:iCs/>
          <w:color w:val="002060"/>
          <w:lang w:val="en-US" w:eastAsia="ja-JP"/>
        </w:rPr>
      </w:pPr>
      <w:r w:rsidRPr="006F7663">
        <w:rPr>
          <w:rFonts w:eastAsia="SimSun"/>
          <w:i/>
          <w:iCs/>
          <w:color w:val="002060"/>
          <w:lang w:val="en-US" w:eastAsia="ja-JP"/>
        </w:rPr>
        <w:t>Device context management</w:t>
      </w:r>
    </w:p>
    <w:p w14:paraId="7040F75F" w14:textId="77777777" w:rsidR="00966FF5" w:rsidRPr="006F7663" w:rsidRDefault="00966FF5" w:rsidP="00966FF5">
      <w:pPr>
        <w:numPr>
          <w:ilvl w:val="2"/>
          <w:numId w:val="14"/>
        </w:numPr>
        <w:ind w:right="-96"/>
        <w:jc w:val="both"/>
        <w:rPr>
          <w:rFonts w:eastAsia="SimSun"/>
          <w:i/>
          <w:iCs/>
          <w:color w:val="002060"/>
          <w:lang w:val="en-US" w:eastAsia="ja-JP"/>
        </w:rPr>
      </w:pPr>
      <w:r w:rsidRPr="006F7663">
        <w:rPr>
          <w:rFonts w:eastAsia="SimSun"/>
          <w:i/>
          <w:iCs/>
          <w:color w:val="002060"/>
          <w:lang w:val="en-US" w:eastAsia="ja-JP"/>
        </w:rPr>
        <w:t>Data transport</w:t>
      </w:r>
    </w:p>
    <w:p w14:paraId="075ED8D9" w14:textId="77777777" w:rsidR="00966FF5" w:rsidRPr="006F7663" w:rsidRDefault="00966FF5" w:rsidP="00966FF5">
      <w:pPr>
        <w:numPr>
          <w:ilvl w:val="1"/>
          <w:numId w:val="14"/>
        </w:numPr>
        <w:ind w:right="-96"/>
        <w:jc w:val="both"/>
        <w:rPr>
          <w:rFonts w:eastAsia="SimSun"/>
          <w:i/>
          <w:iCs/>
          <w:color w:val="002060"/>
          <w:lang w:val="en-US" w:eastAsia="ja-JP"/>
        </w:rPr>
      </w:pPr>
      <w:r w:rsidRPr="006F7663">
        <w:rPr>
          <w:rFonts w:eastAsia="SimSun"/>
          <w:i/>
          <w:iCs/>
          <w:color w:val="002060"/>
          <w:lang w:val="en-US" w:eastAsia="ja-JP"/>
        </w:rPr>
        <w:t>Identify RAN architecture aspects, including whether support for split architecture is necessary.</w:t>
      </w:r>
    </w:p>
    <w:p w14:paraId="5CB1AE82" w14:textId="77777777" w:rsidR="00966FF5" w:rsidRPr="006F7663" w:rsidRDefault="00966FF5" w:rsidP="00966FF5">
      <w:pPr>
        <w:numPr>
          <w:ilvl w:val="1"/>
          <w:numId w:val="14"/>
        </w:numPr>
        <w:ind w:right="-96"/>
        <w:jc w:val="both"/>
        <w:rPr>
          <w:rFonts w:eastAsia="SimSun"/>
          <w:i/>
          <w:iCs/>
          <w:color w:val="002060"/>
          <w:lang w:val="en-US" w:eastAsia="ja-JP"/>
        </w:rPr>
      </w:pPr>
      <w:r w:rsidRPr="006F7663">
        <w:rPr>
          <w:rFonts w:eastAsia="SimSun"/>
          <w:i/>
          <w:iCs/>
          <w:color w:val="002060"/>
          <w:lang w:val="en-US" w:eastAsia="ja-JP"/>
        </w:rPr>
        <w:t>Identify potential solutions for locating an Ambient IoT device with no specification impact, e.g. reusing existing user location report, or minimal specification impact to convey location information to core network.</w:t>
      </w:r>
    </w:p>
    <w:p w14:paraId="27809B7A" w14:textId="77777777" w:rsidR="00966FF5" w:rsidRDefault="00966FF5" w:rsidP="00966FF5">
      <w:r>
        <w:t>This RAN3-led items have to be considered within the “general scope” stated in the RAN SID [1]. Some highlights:</w:t>
      </w:r>
    </w:p>
    <w:p w14:paraId="0BD96087" w14:textId="77777777" w:rsidR="00966FF5" w:rsidRDefault="00966FF5" w:rsidP="00966FF5">
      <w:pPr>
        <w:pStyle w:val="B1"/>
      </w:pPr>
      <w:r>
        <w:t>-</w:t>
      </w:r>
      <w:r>
        <w:tab/>
      </w:r>
      <w:r w:rsidRPr="000C583C">
        <w:rPr>
          <w:i/>
          <w:iCs/>
          <w:color w:val="002060"/>
        </w:rPr>
        <w:t>study a harmonized air interface design with minimized differences ... to enable</w:t>
      </w:r>
      <w:r>
        <w:t xml:space="preserve"> devices which </w:t>
      </w:r>
      <w:r w:rsidRPr="000C583C">
        <w:rPr>
          <w:i/>
          <w:iCs/>
          <w:color w:val="002060"/>
        </w:rPr>
        <w:t>UL transmission is backscattered on a carrier wave provided externally</w:t>
      </w:r>
      <w:r>
        <w:t xml:space="preserve"> (</w:t>
      </w:r>
      <w:r w:rsidRPr="000C583C">
        <w:rPr>
          <w:i/>
          <w:iCs/>
          <w:color w:val="002060"/>
        </w:rPr>
        <w:t>1</w:t>
      </w:r>
      <w:r w:rsidRPr="000C583C">
        <w:rPr>
          <w:i/>
          <w:iCs/>
          <w:color w:val="002060"/>
        </w:rPr>
        <w:sym w:font="Symbol" w:char="F06D"/>
      </w:r>
      <w:r w:rsidRPr="000C583C">
        <w:rPr>
          <w:i/>
          <w:iCs/>
          <w:color w:val="002060"/>
        </w:rPr>
        <w:t>W peak power consumption</w:t>
      </w:r>
      <w:r>
        <w:t xml:space="preserve">) or with </w:t>
      </w:r>
      <w:r w:rsidRPr="000C583C">
        <w:rPr>
          <w:i/>
          <w:iCs/>
          <w:color w:val="002060"/>
        </w:rPr>
        <w:t>energy storage</w:t>
      </w:r>
      <w:r>
        <w:t xml:space="preserve"> and the </w:t>
      </w:r>
      <w:r w:rsidRPr="000C583C">
        <w:rPr>
          <w:rFonts w:eastAsia="SimSun"/>
          <w:i/>
          <w:iCs/>
          <w:color w:val="002060"/>
          <w:lang w:val="en-US" w:eastAsia="ja-JP"/>
        </w:rPr>
        <w:t>UL transmission may be generated internally by the device</w:t>
      </w:r>
      <w:r>
        <w:t>.</w:t>
      </w:r>
      <w:r w:rsidRPr="000C583C">
        <w:t xml:space="preserve"> </w:t>
      </w:r>
      <w:r>
        <w:t>(</w:t>
      </w:r>
      <w:r w:rsidRPr="000C583C">
        <w:rPr>
          <w:i/>
          <w:iCs/>
          <w:color w:val="002060"/>
        </w:rPr>
        <w:t xml:space="preserve">few hundred </w:t>
      </w:r>
      <w:r w:rsidRPr="000C583C">
        <w:rPr>
          <w:i/>
          <w:iCs/>
          <w:color w:val="002060"/>
        </w:rPr>
        <w:sym w:font="Symbol" w:char="F06D"/>
      </w:r>
      <w:r w:rsidRPr="000C583C">
        <w:rPr>
          <w:i/>
          <w:iCs/>
          <w:color w:val="002060"/>
        </w:rPr>
        <w:t>W peak power consumption</w:t>
      </w:r>
      <w:r>
        <w:t>).</w:t>
      </w:r>
    </w:p>
    <w:p w14:paraId="2D58E047" w14:textId="77777777" w:rsidR="00966FF5" w:rsidRDefault="00966FF5" w:rsidP="00966FF5">
      <w:pPr>
        <w:pStyle w:val="B1"/>
      </w:pPr>
      <w:r>
        <w:t>-</w:t>
      </w:r>
      <w:r>
        <w:tab/>
      </w:r>
      <w:r w:rsidRPr="00DC52F2">
        <w:rPr>
          <w:i/>
          <w:iCs/>
          <w:color w:val="002060"/>
        </w:rPr>
        <w:t xml:space="preserve">... with no RRC states, no </w:t>
      </w:r>
      <w:r w:rsidRPr="00DC52F2">
        <w:rPr>
          <w:rFonts w:eastAsia="SimSun"/>
          <w:i/>
          <w:iCs/>
          <w:color w:val="002060"/>
          <w:lang w:val="en-US" w:eastAsia="ja-JP"/>
        </w:rPr>
        <w:t>mobility (i.e. at least no cell selection/re-selection -like function), no HARQ, no ARQ.</w:t>
      </w:r>
      <w:r>
        <w:t xml:space="preserve"> </w:t>
      </w:r>
    </w:p>
    <w:p w14:paraId="45A0D757" w14:textId="77777777" w:rsidR="00966FF5" w:rsidRDefault="00966FF5" w:rsidP="00966FF5">
      <w:pPr>
        <w:pStyle w:val="B1"/>
      </w:pPr>
      <w:r>
        <w:t>-</w:t>
      </w:r>
      <w:r>
        <w:tab/>
        <w:t>deployment scenarios with(a) AIoT devices indoors, basestation indoors with Topology 1 (AIoT device directly communicates with the basestation) and (b) AIoT devices indoors, basestation outdoors with Topology 2 (AIoT communicates with the basestation via an intermediate node)</w:t>
      </w:r>
    </w:p>
    <w:p w14:paraId="4671EC63" w14:textId="77777777" w:rsidR="00966FF5" w:rsidRDefault="00966FF5" w:rsidP="00966FF5">
      <w:pPr>
        <w:pStyle w:val="B1"/>
      </w:pPr>
      <w:r>
        <w:t>-</w:t>
      </w:r>
      <w:r>
        <w:tab/>
        <w:t>traffic types DO-DTT (Device Originated – Device Terminated Triggered) and DT (Device Terminated) with focus on use cases “inventory” and “command”, as defined in TS 22.369 [2] and TR 38.848 [3].</w:t>
      </w:r>
    </w:p>
    <w:p w14:paraId="0EF3CEBC" w14:textId="77777777" w:rsidR="00966FF5" w:rsidRDefault="00966FF5" w:rsidP="00966FF5">
      <w:r>
        <w:t xml:space="preserve">The RAN WGs’ studies have to be reviewed in the context of past and ongoing parallel studies conducted by </w:t>
      </w:r>
    </w:p>
    <w:p w14:paraId="3A4EC2F6" w14:textId="77777777" w:rsidR="00966FF5" w:rsidRDefault="00966FF5" w:rsidP="00966FF5">
      <w:pPr>
        <w:pStyle w:val="B1"/>
      </w:pPr>
      <w:r>
        <w:lastRenderedPageBreak/>
        <w:t>-</w:t>
      </w:r>
      <w:r>
        <w:tab/>
        <w:t xml:space="preserve">SA1 (see TS 22.369 on </w:t>
      </w:r>
      <w:r w:rsidRPr="00B32845">
        <w:rPr>
          <w:i/>
          <w:iCs/>
        </w:rPr>
        <w:t>Service requirements for ambient power-enabled IoT; Stage 1</w:t>
      </w:r>
      <w:r>
        <w:t xml:space="preserve"> [2])</w:t>
      </w:r>
    </w:p>
    <w:p w14:paraId="7A9A27D6" w14:textId="77777777" w:rsidR="00966FF5" w:rsidRDefault="00966FF5" w:rsidP="00966FF5">
      <w:pPr>
        <w:pStyle w:val="B1"/>
      </w:pPr>
      <w:r>
        <w:t>-</w:t>
      </w:r>
      <w:r>
        <w:tab/>
        <w:t xml:space="preserve">TSG RAN (see TS </w:t>
      </w:r>
      <w:r w:rsidRPr="006F7663">
        <w:rPr>
          <w:i/>
          <w:iCs/>
        </w:rPr>
        <w:t>38.848 Study on Ambient IoT (Internet of Things) in RAN</w:t>
      </w:r>
      <w:r>
        <w:t xml:space="preserve"> [3])</w:t>
      </w:r>
    </w:p>
    <w:p w14:paraId="06F74018" w14:textId="77777777" w:rsidR="00966FF5" w:rsidRDefault="00966FF5" w:rsidP="00966FF5">
      <w:pPr>
        <w:pStyle w:val="B1"/>
      </w:pPr>
      <w:r>
        <w:t>-</w:t>
      </w:r>
      <w:r>
        <w:tab/>
        <w:t xml:space="preserve">SA2 (ongoing study, see TS 23.700-13 </w:t>
      </w:r>
      <w:r w:rsidRPr="006F7663">
        <w:rPr>
          <w:i/>
          <w:iCs/>
        </w:rPr>
        <w:t>Study on Architecture support of Ambient power-enabled Internet of Things</w:t>
      </w:r>
      <w:r>
        <w:t xml:space="preserve"> [4] and latest SID SP-23)</w:t>
      </w:r>
    </w:p>
    <w:p w14:paraId="56629C3A" w14:textId="77777777" w:rsidR="00966FF5" w:rsidRPr="00117327" w:rsidRDefault="00966FF5" w:rsidP="00966FF5">
      <w:pPr>
        <w:pStyle w:val="B1"/>
      </w:pPr>
      <w:r>
        <w:t>-</w:t>
      </w:r>
      <w:r>
        <w:tab/>
        <w:t>SA3 (ongoing study, see latest SID SP-240507 [6])</w:t>
      </w:r>
    </w:p>
    <w:p w14:paraId="277893E7" w14:textId="77777777" w:rsidR="00966FF5" w:rsidRDefault="00966FF5" w:rsidP="00966FF5">
      <w:pPr>
        <w:pStyle w:val="Eyecatcher"/>
      </w:pPr>
      <w:r>
        <w:t>Observation 1:</w:t>
      </w:r>
      <w:r>
        <w:tab/>
        <w:t>3GPP has been conducting already work on requirements in SA1 (see TS 22.369) and a TSG RAN level study (see 38.848), which are reflected in the TSG RAN WG level Study Item Description [1].</w:t>
      </w:r>
    </w:p>
    <w:p w14:paraId="1CA62AF0" w14:textId="662439BF" w:rsidR="00966FF5" w:rsidRDefault="00966FF5" w:rsidP="00966FF5">
      <w:pPr>
        <w:pStyle w:val="Eyecatcher"/>
      </w:pPr>
      <w:r>
        <w:t>Observation 2:</w:t>
      </w:r>
      <w:r>
        <w:tab/>
        <w:t>RAN3 work on the AIoT study is dependent on work in and needs cooperation with SA2, SA3 and RAN2 (at least).</w:t>
      </w:r>
    </w:p>
    <w:p w14:paraId="7B855FE4" w14:textId="2DB48D59" w:rsidR="00E01172" w:rsidRDefault="00E01172" w:rsidP="00E01172">
      <w:pPr>
        <w:pStyle w:val="Heading2"/>
      </w:pPr>
      <w:r>
        <w:t>2.</w:t>
      </w:r>
      <w:r w:rsidR="00966FF5">
        <w:t>2</w:t>
      </w:r>
      <w:r>
        <w:tab/>
      </w:r>
      <w:r w:rsidR="0063798D">
        <w:t xml:space="preserve">Service </w:t>
      </w:r>
      <w:r>
        <w:t>Requirements</w:t>
      </w:r>
    </w:p>
    <w:p w14:paraId="67D6404D" w14:textId="497EF3EC" w:rsidR="00DB5364" w:rsidRDefault="00B32845" w:rsidP="00DB5364">
      <w:r>
        <w:t xml:space="preserve">Service </w:t>
      </w:r>
      <w:r w:rsidR="008466AA">
        <w:t xml:space="preserve">requirements are defined by SA1, the result of the normative work is specified in </w:t>
      </w:r>
      <w:r w:rsidR="0063798D">
        <w:t>TS 22.369 [</w:t>
      </w:r>
      <w:r>
        <w:t>2</w:t>
      </w:r>
      <w:r w:rsidR="0063798D">
        <w:t>]</w:t>
      </w:r>
      <w:r w:rsidR="009A1102">
        <w:t>:</w:t>
      </w:r>
    </w:p>
    <w:p w14:paraId="5DF329F0" w14:textId="02AA468C" w:rsidR="009A1102" w:rsidRPr="00BB1C26" w:rsidRDefault="009A1102" w:rsidP="00DB5364">
      <w:pPr>
        <w:rPr>
          <w:b/>
          <w:bCs/>
          <w:u w:val="single"/>
        </w:rPr>
      </w:pPr>
      <w:r w:rsidRPr="00BB1C26">
        <w:rPr>
          <w:b/>
          <w:bCs/>
          <w:u w:val="single"/>
        </w:rPr>
        <w:t>Communication aspects:</w:t>
      </w:r>
    </w:p>
    <w:p w14:paraId="7FD066A9" w14:textId="4AD67E0B" w:rsidR="009A1102" w:rsidRDefault="009A1102" w:rsidP="00DB5364">
      <w:r>
        <w:t xml:space="preserve">TS 22.369 [2] introduces “communication modes” what TSG RAN will later call “topologies”, for direct communication between the AIoT device and the 5G network and indirect communication via an intermediate node/AIoT capable UE. A third communication mode does not show the 5G network </w:t>
      </w:r>
      <w:r w:rsidR="00912B83">
        <w:t xml:space="preserve">being involved in the communication </w:t>
      </w:r>
      <w:r>
        <w:t>at all.</w:t>
      </w:r>
    </w:p>
    <w:p w14:paraId="19C46BE3" w14:textId="32CC555F" w:rsidR="009A1102" w:rsidRDefault="009A1102" w:rsidP="009A1102">
      <w:pPr>
        <w:pStyle w:val="Eyecatcher"/>
      </w:pPr>
      <w:r>
        <w:t>Observation</w:t>
      </w:r>
      <w:r w:rsidR="00966FF5">
        <w:t xml:space="preserve"> 3</w:t>
      </w:r>
      <w:r>
        <w:t>:</w:t>
      </w:r>
      <w:r>
        <w:tab/>
      </w:r>
      <w:r w:rsidR="00912B83">
        <w:t>Communication modes of 5G system for AIoT devices, along TS 22.369, show modes which involve the 5G network, and those which does not involve the 5G network at all (5GS used a mere data-pipe, “over the top”)</w:t>
      </w:r>
      <w:r>
        <w:t>.</w:t>
      </w:r>
      <w:r w:rsidR="00912B83">
        <w:t xml:space="preserve"> The latter one is not part of the Rel-19 study.</w:t>
      </w:r>
    </w:p>
    <w:p w14:paraId="2E6204D1" w14:textId="6F7C3A31" w:rsidR="00912B83" w:rsidRPr="00BB1C26" w:rsidRDefault="00912B83" w:rsidP="00912B83">
      <w:pPr>
        <w:rPr>
          <w:b/>
          <w:bCs/>
          <w:u w:val="single"/>
        </w:rPr>
      </w:pPr>
      <w:r w:rsidRPr="00BB1C26">
        <w:rPr>
          <w:b/>
          <w:bCs/>
          <w:u w:val="single"/>
        </w:rPr>
        <w:t>Positioning:</w:t>
      </w:r>
    </w:p>
    <w:p w14:paraId="13C3EE99" w14:textId="1AF2D58F" w:rsidR="00912B83" w:rsidRDefault="00912B83" w:rsidP="00912B83">
      <w:r>
        <w:t>One of the major aspects of AIoT in 5GS is the possibility to locate an AIoT device. It is obviously not sufficient. to know that an AIoT device is “indoors, within the range of basestation”, if “indoors” means a multi-storey warehouse are a large storeroom with a sophisticated and automated shelf/rack system. Respective positioning methods, usable for real-life use-cases would for sure need to go beyond what the Rel-19 SID requires RAN3 to look into.</w:t>
      </w:r>
    </w:p>
    <w:p w14:paraId="489E2C87" w14:textId="55562C92" w:rsidR="00912B83" w:rsidRDefault="00912B83" w:rsidP="00912B83">
      <w:pPr>
        <w:pStyle w:val="Eyecatcher"/>
      </w:pPr>
      <w:r>
        <w:t>Observation</w:t>
      </w:r>
      <w:r w:rsidR="00966FF5">
        <w:t xml:space="preserve"> 4</w:t>
      </w:r>
      <w:r>
        <w:t>:</w:t>
      </w:r>
      <w:r>
        <w:tab/>
        <w:t xml:space="preserve">Positioning of AIoT devices </w:t>
      </w:r>
      <w:r w:rsidR="00BB1C26">
        <w:t xml:space="preserve">with </w:t>
      </w:r>
      <w:r>
        <w:t>a sufficiently high accuracy</w:t>
      </w:r>
      <w:r w:rsidR="00BB1C26">
        <w:t>, dependent on the use case,</w:t>
      </w:r>
      <w:r>
        <w:t xml:space="preserve"> is expected to be an important part of real-life </w:t>
      </w:r>
      <w:r w:rsidR="00BB1C26">
        <w:t>deployments</w:t>
      </w:r>
      <w:r>
        <w:t xml:space="preserve"> and </w:t>
      </w:r>
      <w:r w:rsidR="00BB1C26">
        <w:t xml:space="preserve">it is expected that </w:t>
      </w:r>
      <w:r>
        <w:t xml:space="preserve">respective accuracy </w:t>
      </w:r>
      <w:r w:rsidR="00BB1C26">
        <w:t xml:space="preserve">supported by 5GS </w:t>
      </w:r>
      <w:r>
        <w:t>will have to go beyond what is requested from RAN3 to study along the Rel-19 SID.</w:t>
      </w:r>
    </w:p>
    <w:p w14:paraId="783788EF" w14:textId="784FCD4E" w:rsidR="001043EA" w:rsidRPr="00BB1C26" w:rsidRDefault="001043EA" w:rsidP="00BB1C26">
      <w:pPr>
        <w:rPr>
          <w:b/>
          <w:bCs/>
          <w:u w:val="single"/>
          <w:lang w:val="en-US"/>
        </w:rPr>
      </w:pPr>
      <w:r w:rsidRPr="00BB1C26">
        <w:rPr>
          <w:b/>
          <w:bCs/>
          <w:u w:val="single"/>
          <w:lang w:val="en-US"/>
        </w:rPr>
        <w:t>Privacy and Security</w:t>
      </w:r>
    </w:p>
    <w:p w14:paraId="636471A7" w14:textId="49869B37" w:rsidR="00966FF5" w:rsidRDefault="00E46158" w:rsidP="001043EA">
      <w:pPr>
        <w:rPr>
          <w:lang w:val="en-US"/>
        </w:rPr>
      </w:pPr>
      <w:r w:rsidRPr="00BF3BC8">
        <w:rPr>
          <w:lang w:val="en-US"/>
        </w:rPr>
        <w:t xml:space="preserve">One of expected advantages of </w:t>
      </w:r>
      <w:r w:rsidR="00966FF5">
        <w:rPr>
          <w:lang w:val="en-US"/>
        </w:rPr>
        <w:t xml:space="preserve">3GPP </w:t>
      </w:r>
      <w:r w:rsidR="00BB1C26">
        <w:rPr>
          <w:lang w:val="en-US"/>
        </w:rPr>
        <w:t xml:space="preserve">5G </w:t>
      </w:r>
      <w:r w:rsidRPr="00BF3BC8">
        <w:rPr>
          <w:lang w:val="en-US"/>
        </w:rPr>
        <w:t xml:space="preserve">AIoT </w:t>
      </w:r>
      <w:r w:rsidR="00BB1C26">
        <w:rPr>
          <w:lang w:val="en-US"/>
        </w:rPr>
        <w:t xml:space="preserve">systems </w:t>
      </w:r>
      <w:r w:rsidRPr="00BF3BC8">
        <w:rPr>
          <w:lang w:val="en-US"/>
        </w:rPr>
        <w:t>compared to non-</w:t>
      </w:r>
      <w:r w:rsidR="00BB1C26">
        <w:rPr>
          <w:lang w:val="en-US"/>
        </w:rPr>
        <w:t>5G</w:t>
      </w:r>
      <w:r w:rsidRPr="00BF3BC8">
        <w:rPr>
          <w:lang w:val="en-US"/>
        </w:rPr>
        <w:t xml:space="preserve"> IoT systems (e.g., C1G2 RFID) i</w:t>
      </w:r>
      <w:r w:rsidRPr="00B93EF2">
        <w:rPr>
          <w:lang w:val="en-US"/>
        </w:rPr>
        <w:t xml:space="preserve">s security. </w:t>
      </w:r>
      <w:r>
        <w:rPr>
          <w:lang w:val="en-US"/>
        </w:rPr>
        <w:t>Security and privacy is clearly required from 5GS in TS 22.369 [</w:t>
      </w:r>
      <w:r w:rsidR="001043EA">
        <w:rPr>
          <w:i/>
          <w:lang w:val="en-US"/>
        </w:rPr>
        <w:t>2</w:t>
      </w:r>
      <w:r>
        <w:rPr>
          <w:lang w:val="en-US"/>
        </w:rPr>
        <w:t>] (section 5.2.6)</w:t>
      </w:r>
      <w:r w:rsidR="00966FF5">
        <w:rPr>
          <w:lang w:val="en-US"/>
        </w:rPr>
        <w:t>:</w:t>
      </w:r>
    </w:p>
    <w:p w14:paraId="12C145FF" w14:textId="77777777" w:rsidR="00966FF5" w:rsidRPr="00966FF5" w:rsidRDefault="00966FF5" w:rsidP="00966FF5">
      <w:pPr>
        <w:ind w:left="720"/>
        <w:rPr>
          <w:i/>
          <w:iCs/>
          <w:color w:val="002060"/>
          <w:lang w:val="en-US" w:eastAsia="zh-CN"/>
        </w:rPr>
      </w:pPr>
      <w:r w:rsidRPr="00966FF5">
        <w:rPr>
          <w:i/>
          <w:iCs/>
          <w:color w:val="002060"/>
          <w:lang w:val="en-US" w:eastAsia="zh-CN"/>
        </w:rPr>
        <w:t xml:space="preserve">The 5G system shall enable security protection suitable for Ambient IoT, without compromising overall 5G security protection. </w:t>
      </w:r>
    </w:p>
    <w:p w14:paraId="1BA712DE" w14:textId="77777777" w:rsidR="00966FF5" w:rsidRPr="00966FF5" w:rsidRDefault="00966FF5" w:rsidP="00966FF5">
      <w:pPr>
        <w:ind w:left="720"/>
        <w:rPr>
          <w:i/>
          <w:iCs/>
          <w:color w:val="002060"/>
          <w:lang w:val="en-US" w:eastAsia="zh-CN"/>
        </w:rPr>
      </w:pPr>
      <w:r w:rsidRPr="00966FF5">
        <w:rPr>
          <w:i/>
          <w:iCs/>
          <w:color w:val="002060"/>
          <w:lang w:val="en-US" w:eastAsia="zh-CN"/>
        </w:rPr>
        <w:t>The 5G system shall be able to provide a mechanism to protect the privacy of information (e.g., location and identity) exchanged during communication between an Ambient IoT device and the 5G network or an Ambient IoT capable UE.</w:t>
      </w:r>
    </w:p>
    <w:p w14:paraId="738B9035" w14:textId="77777777" w:rsidR="00966FF5" w:rsidRPr="00966FF5" w:rsidRDefault="00966FF5" w:rsidP="00966FF5">
      <w:pPr>
        <w:ind w:left="720"/>
        <w:rPr>
          <w:rFonts w:eastAsia="SimSun"/>
          <w:i/>
          <w:iCs/>
          <w:color w:val="002060"/>
          <w:lang w:val="en-US" w:eastAsia="zh-CN"/>
        </w:rPr>
      </w:pPr>
      <w:r w:rsidRPr="00966FF5">
        <w:rPr>
          <w:i/>
          <w:iCs/>
          <w:color w:val="002060"/>
          <w:lang w:val="en-US" w:eastAsia="zh-CN"/>
        </w:rPr>
        <w:t xml:space="preserve">Based on subscription and operator policies, the 5G system shall authorize an Ambient IoT capable UE to communicate with a specific Ambient IoT device or with a group of Ambient IoT devices. </w:t>
      </w:r>
    </w:p>
    <w:p w14:paraId="4C478264" w14:textId="6FD5427C" w:rsidR="00E46158" w:rsidRDefault="00E46158" w:rsidP="001043EA">
      <w:pPr>
        <w:rPr>
          <w:i/>
          <w:iCs/>
          <w:lang w:val="en-US"/>
        </w:rPr>
      </w:pPr>
      <w:r w:rsidRPr="00B93EF2">
        <w:rPr>
          <w:lang w:val="en-US"/>
        </w:rPr>
        <w:t xml:space="preserve">Therefore, </w:t>
      </w:r>
      <w:r>
        <w:rPr>
          <w:lang w:val="en-US"/>
        </w:rPr>
        <w:t xml:space="preserve">studies in TSG </w:t>
      </w:r>
      <w:r w:rsidRPr="00B93EF2">
        <w:rPr>
          <w:lang w:val="en-US"/>
        </w:rPr>
        <w:t xml:space="preserve">RAN </w:t>
      </w:r>
      <w:r>
        <w:rPr>
          <w:lang w:val="en-US"/>
        </w:rPr>
        <w:t xml:space="preserve">can assume availability of mechanisms to protect the privacy of information (e.g. location and identity) and as well as mechanisms to protect unauthorized access of 5GS (resources). Therefore, we can </w:t>
      </w:r>
      <w:r w:rsidRPr="00B93EF2">
        <w:rPr>
          <w:lang w:val="en-US"/>
        </w:rPr>
        <w:t xml:space="preserve">assume </w:t>
      </w:r>
      <w:r>
        <w:rPr>
          <w:lang w:val="en-US"/>
        </w:rPr>
        <w:t>privacy protection</w:t>
      </w:r>
      <w:r w:rsidRPr="00B93EF2">
        <w:rPr>
          <w:lang w:val="en-US"/>
        </w:rPr>
        <w:t xml:space="preserve"> for both user data and control signaling related to</w:t>
      </w:r>
      <w:r>
        <w:rPr>
          <w:lang w:val="en-US"/>
        </w:rPr>
        <w:t xml:space="preserve"> or </w:t>
      </w:r>
      <w:r w:rsidRPr="00B93EF2">
        <w:rPr>
          <w:lang w:val="en-US"/>
        </w:rPr>
        <w:t>associated with</w:t>
      </w:r>
      <w:r>
        <w:rPr>
          <w:lang w:val="en-US"/>
        </w:rPr>
        <w:t xml:space="preserve"> a</w:t>
      </w:r>
      <w:r w:rsidRPr="00B93EF2">
        <w:rPr>
          <w:lang w:val="en-US"/>
        </w:rPr>
        <w:t xml:space="preserve"> data session within </w:t>
      </w:r>
      <w:r>
        <w:rPr>
          <w:lang w:val="en-US"/>
        </w:rPr>
        <w:t xml:space="preserve">the </w:t>
      </w:r>
      <w:r w:rsidRPr="00B93EF2">
        <w:rPr>
          <w:lang w:val="en-US"/>
        </w:rPr>
        <w:t>5G NR system.</w:t>
      </w:r>
    </w:p>
    <w:p w14:paraId="6E621D47" w14:textId="191C1D4C" w:rsidR="00E46158" w:rsidRDefault="001043EA" w:rsidP="001043EA">
      <w:pPr>
        <w:rPr>
          <w:i/>
          <w:iCs/>
          <w:lang w:val="en-US"/>
        </w:rPr>
      </w:pPr>
      <w:r w:rsidRPr="00792B2F">
        <w:rPr>
          <w:lang w:val="en-US"/>
        </w:rPr>
        <w:lastRenderedPageBreak/>
        <w:t>While security mechanisms for AIoT devices would need to be studied by SA3, the studies in RAN WGs could start</w:t>
      </w:r>
      <w:r w:rsidR="00E46158" w:rsidRPr="00792B2F">
        <w:rPr>
          <w:lang w:val="en-US"/>
        </w:rPr>
        <w:t xml:space="preserve"> by assuming </w:t>
      </w:r>
      <w:r w:rsidRPr="00792B2F">
        <w:rPr>
          <w:lang w:val="en-US"/>
        </w:rPr>
        <w:t xml:space="preserve">the </w:t>
      </w:r>
      <w:r w:rsidR="00E46158" w:rsidRPr="00792B2F">
        <w:rPr>
          <w:lang w:val="en-US"/>
        </w:rPr>
        <w:t>existence of “NAS security”,</w:t>
      </w:r>
      <w:r w:rsidR="00E46158">
        <w:rPr>
          <w:lang w:val="en-US"/>
        </w:rPr>
        <w:t xml:space="preserve"> i.e. means to authenticate an AIoT device and to establish secured communication between the AIoT device and the 5G </w:t>
      </w:r>
      <w:r>
        <w:rPr>
          <w:i/>
          <w:iCs/>
          <w:lang w:val="en-US"/>
        </w:rPr>
        <w:t>system</w:t>
      </w:r>
      <w:r w:rsidR="00E46158">
        <w:rPr>
          <w:lang w:val="en-US"/>
        </w:rPr>
        <w:t>.</w:t>
      </w:r>
      <w:r w:rsidR="00E46158" w:rsidRPr="00BF3BC8">
        <w:rPr>
          <w:lang w:val="en-US"/>
        </w:rPr>
        <w:t xml:space="preserve"> </w:t>
      </w:r>
      <w:r w:rsidR="00E46158">
        <w:rPr>
          <w:lang w:val="en-US"/>
        </w:rPr>
        <w:t>By that</w:t>
      </w:r>
      <w:r w:rsidR="00E46158" w:rsidRPr="00BF3BC8">
        <w:rPr>
          <w:lang w:val="en-US"/>
        </w:rPr>
        <w:t xml:space="preserve"> both network and devices are protected</w:t>
      </w:r>
      <w:r>
        <w:rPr>
          <w:i/>
          <w:iCs/>
          <w:lang w:val="en-US"/>
        </w:rPr>
        <w:t>, networks</w:t>
      </w:r>
      <w:r w:rsidR="00E46158" w:rsidRPr="00BF3BC8">
        <w:rPr>
          <w:lang w:val="en-US"/>
        </w:rPr>
        <w:t xml:space="preserve"> from misbehaving</w:t>
      </w:r>
      <w:r w:rsidR="00E46158">
        <w:rPr>
          <w:lang w:val="en-US"/>
        </w:rPr>
        <w:t xml:space="preserve"> devices and </w:t>
      </w:r>
      <w:r w:rsidR="00E46158" w:rsidRPr="00BF3BC8">
        <w:rPr>
          <w:lang w:val="en-US"/>
        </w:rPr>
        <w:t>attackers</w:t>
      </w:r>
      <w:r>
        <w:rPr>
          <w:i/>
          <w:iCs/>
          <w:lang w:val="en-US"/>
        </w:rPr>
        <w:t xml:space="preserve"> and devices from unauthorized exposure of their identity, location and data</w:t>
      </w:r>
      <w:r w:rsidR="00E46158" w:rsidRPr="00BF3BC8">
        <w:rPr>
          <w:lang w:val="en-US"/>
        </w:rPr>
        <w:t xml:space="preserve">. Whether AS security is needed </w:t>
      </w:r>
      <w:r w:rsidR="00E46158">
        <w:rPr>
          <w:lang w:val="en-US"/>
        </w:rPr>
        <w:t xml:space="preserve">is </w:t>
      </w:r>
      <w:r w:rsidR="00E46158" w:rsidRPr="00BF3BC8">
        <w:rPr>
          <w:lang w:val="en-US"/>
        </w:rPr>
        <w:t>depend</w:t>
      </w:r>
      <w:r w:rsidR="00E46158">
        <w:rPr>
          <w:lang w:val="en-US"/>
        </w:rPr>
        <w:t xml:space="preserve">ent on mechanisms available for protecting </w:t>
      </w:r>
      <w:r w:rsidR="00E46158" w:rsidRPr="00BF3BC8">
        <w:rPr>
          <w:lang w:val="en-US"/>
        </w:rPr>
        <w:t>user data (e.g., for command use case)</w:t>
      </w:r>
      <w:r w:rsidR="00E46158">
        <w:rPr>
          <w:lang w:val="en-US"/>
        </w:rPr>
        <w:t>, e.g. whether</w:t>
      </w:r>
      <w:r w:rsidR="00E46158" w:rsidRPr="00BF3BC8">
        <w:rPr>
          <w:lang w:val="en-US"/>
        </w:rPr>
        <w:t xml:space="preserve"> </w:t>
      </w:r>
      <w:r w:rsidR="00E46158">
        <w:rPr>
          <w:lang w:val="en-US"/>
        </w:rPr>
        <w:t xml:space="preserve">user data </w:t>
      </w:r>
      <w:r w:rsidR="00E46158" w:rsidRPr="00BF3BC8">
        <w:rPr>
          <w:lang w:val="en-US"/>
        </w:rPr>
        <w:t xml:space="preserve">is delivered via </w:t>
      </w:r>
      <w:r w:rsidR="00E46158">
        <w:rPr>
          <w:lang w:val="en-US"/>
        </w:rPr>
        <w:t xml:space="preserve">a </w:t>
      </w:r>
      <w:r w:rsidR="00E46158" w:rsidRPr="00BF3BC8">
        <w:rPr>
          <w:lang w:val="en-US"/>
        </w:rPr>
        <w:t xml:space="preserve">user plane path (UP solution) or as part of </w:t>
      </w:r>
      <w:r w:rsidR="00E46158">
        <w:rPr>
          <w:lang w:val="en-US"/>
        </w:rPr>
        <w:t xml:space="preserve">a </w:t>
      </w:r>
      <w:r w:rsidR="00E46158" w:rsidRPr="00BF3BC8">
        <w:rPr>
          <w:lang w:val="en-US"/>
        </w:rPr>
        <w:t>control signaling (CP solution</w:t>
      </w:r>
      <w:r w:rsidR="00E46158">
        <w:rPr>
          <w:lang w:val="en-US"/>
        </w:rPr>
        <w:t>)</w:t>
      </w:r>
      <w:r w:rsidR="00E46158" w:rsidRPr="00BF3BC8">
        <w:rPr>
          <w:lang w:val="en-US"/>
        </w:rPr>
        <w:t xml:space="preserve">. </w:t>
      </w:r>
    </w:p>
    <w:p w14:paraId="450A1CA9" w14:textId="77777777" w:rsidR="00E46158" w:rsidRPr="00DA1DD4" w:rsidRDefault="00E46158" w:rsidP="00E46158">
      <w:pPr>
        <w:pStyle w:val="NO"/>
        <w:rPr>
          <w:rFonts w:cs="Arial"/>
          <w:lang w:val="en-US"/>
        </w:rPr>
      </w:pPr>
      <w:r w:rsidRPr="00DA1DD4">
        <w:rPr>
          <w:rFonts w:cs="Arial"/>
          <w:lang w:val="en-US"/>
        </w:rPr>
        <w:t>NOTE:</w:t>
      </w:r>
      <w:r w:rsidRPr="00DA1DD4">
        <w:rPr>
          <w:rFonts w:cs="Arial"/>
          <w:lang w:val="en-US"/>
        </w:rPr>
        <w:tab/>
        <w:t>Usage of terms like “NAS security”, “AS security”, “UP” and “CP” may need to be (re-)discussed in the context of AIoT.</w:t>
      </w:r>
    </w:p>
    <w:p w14:paraId="2FFA6094" w14:textId="0A976E95" w:rsidR="00E46158" w:rsidRPr="00A64DEC" w:rsidRDefault="00E46158" w:rsidP="001043EA">
      <w:pPr>
        <w:rPr>
          <w:lang w:val="en-US"/>
        </w:rPr>
      </w:pPr>
      <w:r>
        <w:rPr>
          <w:lang w:val="en-US"/>
        </w:rPr>
        <w:t>As an additional aspect, it needs to be considered that</w:t>
      </w:r>
      <w:r w:rsidRPr="00BF3BC8">
        <w:rPr>
          <w:lang w:val="en-US"/>
        </w:rPr>
        <w:t xml:space="preserve"> </w:t>
      </w:r>
      <w:r>
        <w:rPr>
          <w:lang w:val="en-US"/>
        </w:rPr>
        <w:t xml:space="preserve">an </w:t>
      </w:r>
      <w:r w:rsidRPr="00BF3BC8">
        <w:rPr>
          <w:lang w:val="en-US"/>
        </w:rPr>
        <w:t xml:space="preserve">AIoT </w:t>
      </w:r>
      <w:r>
        <w:rPr>
          <w:lang w:val="en-US"/>
        </w:rPr>
        <w:t xml:space="preserve">device </w:t>
      </w:r>
      <w:r w:rsidRPr="00BF3BC8">
        <w:rPr>
          <w:lang w:val="en-US"/>
        </w:rPr>
        <w:t xml:space="preserve">is limited in capability and thus </w:t>
      </w:r>
      <w:r>
        <w:rPr>
          <w:lang w:val="en-US"/>
        </w:rPr>
        <w:t xml:space="preserve">applicable </w:t>
      </w:r>
      <w:r w:rsidRPr="00BF3BC8">
        <w:rPr>
          <w:lang w:val="en-US"/>
        </w:rPr>
        <w:t>security mechanism</w:t>
      </w:r>
      <w:r>
        <w:rPr>
          <w:lang w:val="en-US"/>
        </w:rPr>
        <w:t>s</w:t>
      </w:r>
      <w:r w:rsidRPr="00BF3BC8">
        <w:rPr>
          <w:lang w:val="en-US"/>
        </w:rPr>
        <w:t xml:space="preserve"> and </w:t>
      </w:r>
      <w:r>
        <w:rPr>
          <w:lang w:val="en-US"/>
        </w:rPr>
        <w:t xml:space="preserve">5GS </w:t>
      </w:r>
      <w:r w:rsidRPr="00BF3BC8">
        <w:rPr>
          <w:lang w:val="en-US"/>
        </w:rPr>
        <w:t xml:space="preserve">architecture </w:t>
      </w:r>
      <w:r>
        <w:rPr>
          <w:lang w:val="en-US"/>
        </w:rPr>
        <w:t>might need to be revisited</w:t>
      </w:r>
      <w:r w:rsidRPr="00BF3BC8">
        <w:rPr>
          <w:lang w:val="en-US"/>
        </w:rPr>
        <w:t>.</w:t>
      </w:r>
    </w:p>
    <w:p w14:paraId="7B728DA4" w14:textId="2AC1AF2A" w:rsidR="00E46158" w:rsidRPr="00432258" w:rsidRDefault="00966FF5" w:rsidP="00966FF5">
      <w:pPr>
        <w:pStyle w:val="Eyecatcher"/>
      </w:pPr>
      <w:bookmarkStart w:id="15" w:name="_Toc162511404"/>
      <w:bookmarkStart w:id="16" w:name="_Toc162562984"/>
      <w:r>
        <w:t>Observation 5:</w:t>
      </w:r>
      <w:r>
        <w:tab/>
      </w:r>
      <w:r w:rsidR="00E46158" w:rsidRPr="00BF3BC8">
        <w:t xml:space="preserve">Security </w:t>
      </w:r>
      <w:r w:rsidR="00E46158">
        <w:t>requirements as of TS 22.369 are quite explicit and represent a major</w:t>
      </w:r>
      <w:r w:rsidR="00E46158" w:rsidRPr="00BF3BC8">
        <w:t xml:space="preserve"> advantage of </w:t>
      </w:r>
      <w:r w:rsidR="00E46158">
        <w:t xml:space="preserve">a 3GPP </w:t>
      </w:r>
      <w:r>
        <w:t xml:space="preserve">5G </w:t>
      </w:r>
      <w:r w:rsidR="00E46158">
        <w:t xml:space="preserve">based </w:t>
      </w:r>
      <w:r w:rsidR="00E46158" w:rsidRPr="00BF3BC8">
        <w:t xml:space="preserve">AIoT </w:t>
      </w:r>
      <w:r w:rsidR="00E46158">
        <w:t xml:space="preserve">system as </w:t>
      </w:r>
      <w:r w:rsidR="00E46158" w:rsidRPr="00BF3BC8">
        <w:t xml:space="preserve">compared to </w:t>
      </w:r>
      <w:r w:rsidR="00E46158">
        <w:t xml:space="preserve">its </w:t>
      </w:r>
      <w:r>
        <w:t>(</w:t>
      </w:r>
      <w:r w:rsidR="00E46158" w:rsidRPr="00BF3BC8">
        <w:t>non-cellular</w:t>
      </w:r>
      <w:r>
        <w:t>)</w:t>
      </w:r>
      <w:r w:rsidR="00E46158" w:rsidRPr="00BF3BC8">
        <w:t xml:space="preserve"> counterpart (e.g., RFID)</w:t>
      </w:r>
      <w:r w:rsidR="00EC4F12">
        <w:t>.</w:t>
      </w:r>
      <w:r w:rsidR="00EC4F12">
        <w:br/>
        <w:t>We expect 3GPP to specify methods that allows secure operation of AIoT devices in terms of privacy protection of the ambient IoT device, i.e. the respective communication content (e.g. its identity, some sensor data) and the device’s location, as well as protection from cloning such devices</w:t>
      </w:r>
      <w:r w:rsidR="00A2062A">
        <w:t>. T</w:t>
      </w:r>
      <w:r w:rsidR="00E46158">
        <w:t>herefore RAN</w:t>
      </w:r>
      <w:r w:rsidR="001043EA">
        <w:t xml:space="preserve"> WGs</w:t>
      </w:r>
      <w:r w:rsidR="00E46158">
        <w:t xml:space="preserve"> can assume availability of s</w:t>
      </w:r>
      <w:r w:rsidR="00E46158" w:rsidRPr="00BF3BC8">
        <w:t xml:space="preserve">ecurity protection </w:t>
      </w:r>
      <w:r w:rsidR="00E46158">
        <w:t>for</w:t>
      </w:r>
      <w:r w:rsidR="00E46158" w:rsidRPr="00BF3BC8">
        <w:t xml:space="preserve"> both user data and associated control signaling for AIoT.</w:t>
      </w:r>
      <w:bookmarkEnd w:id="15"/>
      <w:bookmarkEnd w:id="16"/>
      <w:r w:rsidR="00E46158">
        <w:t xml:space="preserve"> Coordination with SA3 is necessary.</w:t>
      </w:r>
    </w:p>
    <w:p w14:paraId="3B963E75" w14:textId="2A8052B7" w:rsidR="00E46158" w:rsidRPr="0089162E" w:rsidRDefault="00966FF5" w:rsidP="00966FF5">
      <w:pPr>
        <w:pStyle w:val="Eyecatcher"/>
        <w:rPr>
          <w:lang w:eastAsia="ko-KR"/>
        </w:rPr>
      </w:pPr>
      <w:bookmarkStart w:id="17" w:name="_Toc162511478"/>
      <w:bookmarkStart w:id="18" w:name="_Toc162563482"/>
      <w:r>
        <w:t>Proposal 6:</w:t>
      </w:r>
      <w:r>
        <w:tab/>
      </w:r>
      <w:r w:rsidR="00E46158">
        <w:t xml:space="preserve">As a starting point, </w:t>
      </w:r>
      <w:r w:rsidR="00E46158" w:rsidRPr="0089162E">
        <w:t>RAN</w:t>
      </w:r>
      <w:r w:rsidR="001043EA">
        <w:t>3</w:t>
      </w:r>
      <w:r w:rsidR="00E46158" w:rsidRPr="0089162E">
        <w:t xml:space="preserve"> </w:t>
      </w:r>
      <w:r w:rsidR="00E46158">
        <w:t>assumes existence of “NAS security” catering for AIoT security requirements</w:t>
      </w:r>
      <w:r>
        <w:t xml:space="preserve"> required in TS 22.369</w:t>
      </w:r>
      <w:r w:rsidR="001043EA">
        <w:t>, and by that the need to authenticate AIoT devices and exchange of key-material for secure communication, actions usually resulting in UEs being “registered”.</w:t>
      </w:r>
      <w:bookmarkEnd w:id="17"/>
      <w:bookmarkEnd w:id="18"/>
    </w:p>
    <w:p w14:paraId="56CD9B56" w14:textId="265EA7DB" w:rsidR="00E01172" w:rsidRDefault="00E01172" w:rsidP="00E01172">
      <w:pPr>
        <w:pStyle w:val="Heading2"/>
      </w:pPr>
      <w:r>
        <w:t>2.</w:t>
      </w:r>
      <w:r w:rsidR="00966FF5">
        <w:t>3</w:t>
      </w:r>
      <w:r>
        <w:tab/>
      </w:r>
      <w:r w:rsidR="00966FF5">
        <w:t>First Conclusions on 5GS architecture</w:t>
      </w:r>
    </w:p>
    <w:p w14:paraId="28CD17C6" w14:textId="7F631794" w:rsidR="00E01172" w:rsidRDefault="00966FF5" w:rsidP="00E01172">
      <w:r>
        <w:t>Having the service requirements in mind, first conclusions can be drawn on an architectural level:</w:t>
      </w:r>
    </w:p>
    <w:p w14:paraId="6A313F8B" w14:textId="25530712" w:rsidR="00966FF5" w:rsidRDefault="00966FF5" w:rsidP="00E01172">
      <w:r>
        <w:t>With security and privacy requirements in mind, the 5GS has to be able to identify AIoT devices, authenticate them and establish secure communication</w:t>
      </w:r>
      <w:r w:rsidR="003F34E2">
        <w:t xml:space="preserve"> between it and the 5G network. At least the 5GC needs to host means to store AIoT device contexts and manage its “registration” status.</w:t>
      </w:r>
    </w:p>
    <w:p w14:paraId="1BF8A66E" w14:textId="10555A96" w:rsidR="003F34E2" w:rsidRDefault="003F34E2" w:rsidP="00E01172">
      <w:r>
        <w:t>With the 5GC hosting at least AIoT device context management and serving as a point-of-connection for applications making use of the information provided by an AIoT capable 5GS, we conclude that there will be still the split kept between NG-RAN and 5GC. About defining an explicit concrete task-split, further studies are needed.</w:t>
      </w:r>
    </w:p>
    <w:p w14:paraId="6EEE2B48" w14:textId="539BA754" w:rsidR="003F34E2" w:rsidRDefault="003F34E2" w:rsidP="003F34E2">
      <w:pPr>
        <w:pStyle w:val="Eyecatcher"/>
      </w:pPr>
      <w:r>
        <w:t>Proposal 7:</w:t>
      </w:r>
      <w:r>
        <w:tab/>
        <w:t>We propose to start work in RAN3 with the assumption that there an AIoT capable 5GS consists of an AIoT capable NG-RAN and AIoT capable 5GC.</w:t>
      </w:r>
    </w:p>
    <w:p w14:paraId="7879E3B8" w14:textId="22FE4979" w:rsidR="003F34E2" w:rsidRDefault="003F34E2" w:rsidP="003F34E2">
      <w:pPr>
        <w:pStyle w:val="Eyecatcher"/>
      </w:pPr>
      <w:r>
        <w:t>Proposal 8:</w:t>
      </w:r>
      <w:r>
        <w:tab/>
        <w:t>We further propose to assume that such AIoT capable 5GC hosts means to store AIoT device contexts and managing the AIoT device’s “registration” status.</w:t>
      </w:r>
    </w:p>
    <w:p w14:paraId="1BC92D0F" w14:textId="6CE9D1CD" w:rsidR="003F34E2" w:rsidRDefault="003F34E2" w:rsidP="00E01172">
      <w:r>
        <w:t>With NG-RAN providing radio resources for AIoT devices to operate, it is in the interest of all involved parties that on the one hand side, the network is protected from misusing its resources and on the other hand side, AIoT devices are protected from access by unauthorized parties – the latter aspect would require the network to identify itself towards the AIoT device, also after the AIoT device has performed registration. Whether such network identification needs to be performed in a secure manner, and whether this part of NAS or AS security at all is subject for further studies.</w:t>
      </w:r>
    </w:p>
    <w:p w14:paraId="2CFA54CF" w14:textId="0F7024D9" w:rsidR="003F34E2" w:rsidRDefault="003F34E2" w:rsidP="003F34E2">
      <w:pPr>
        <w:pStyle w:val="Eyecatcher"/>
      </w:pPr>
      <w:r>
        <w:t>Proposal 9:</w:t>
      </w:r>
      <w:r>
        <w:tab/>
        <w:t>Agree to assume that an AIoT capable NG-RAN needs to be able to provide to AIoT devices a “network” identification, most probably similar to what is provided in SIB1, i.e. at least a PLMN/SNPN ID.</w:t>
      </w:r>
    </w:p>
    <w:p w14:paraId="7F036D0B" w14:textId="2B27C79E" w:rsidR="003F34E2" w:rsidRDefault="003F34E2" w:rsidP="00E01172">
      <w:r>
        <w:lastRenderedPageBreak/>
        <w:t>Further, the process of authentication establishing a secure communication (“registration”) would need to be performed either on a regular basis (periodically) or when the AIoT device is moved to another location (mobility caused). Whether this needs the introduction of an AIoT specific area concept maybe subject for further studies.</w:t>
      </w:r>
    </w:p>
    <w:p w14:paraId="6052114E" w14:textId="33553379" w:rsidR="00E01172" w:rsidRDefault="00E01172" w:rsidP="00E01172">
      <w:pPr>
        <w:pStyle w:val="Eyecatcher"/>
      </w:pPr>
      <w:r>
        <w:t>Proposal</w:t>
      </w:r>
      <w:r w:rsidR="003F34E2">
        <w:t xml:space="preserve"> 10</w:t>
      </w:r>
      <w:r>
        <w:t>:</w:t>
      </w:r>
      <w:r>
        <w:tab/>
      </w:r>
      <w:r w:rsidR="003F34E2">
        <w:t>We further agree to continue studies, potentially in direct communication with other TSGs/WGs, on “periodic” and “mobility” “registration” updates of AIoT devices within a PLMN/SNPN</w:t>
      </w:r>
      <w:r w:rsidR="00005C4B">
        <w:t xml:space="preserve"> and its impact on NG-RAN</w:t>
      </w:r>
      <w:r w:rsidR="003F34E2">
        <w:t>.</w:t>
      </w:r>
    </w:p>
    <w:p w14:paraId="591324FC" w14:textId="77777777" w:rsidR="00501135" w:rsidRDefault="00501135">
      <w:pPr>
        <w:pStyle w:val="Heading1"/>
        <w:rPr>
          <w:rFonts w:cs="Arial"/>
        </w:rPr>
      </w:pPr>
      <w:bookmarkStart w:id="19" w:name="_Toc527283432"/>
      <w:bookmarkStart w:id="20" w:name="_Toc527283649"/>
      <w:bookmarkStart w:id="21" w:name="_Toc527283678"/>
      <w:bookmarkStart w:id="22" w:name="_Toc527283742"/>
      <w:bookmarkStart w:id="23" w:name="_Toc527283746"/>
      <w:bookmarkStart w:id="24" w:name="_Toc527283908"/>
      <w:bookmarkStart w:id="25" w:name="_Toc527283925"/>
      <w:bookmarkStart w:id="26" w:name="_Hlk16664956"/>
      <w:r>
        <w:rPr>
          <w:rFonts w:cs="Arial"/>
        </w:rPr>
        <w:t>3</w:t>
      </w:r>
      <w:r>
        <w:rPr>
          <w:rFonts w:cs="Arial"/>
        </w:rPr>
        <w:tab/>
      </w:r>
      <w:r w:rsidR="0001024C">
        <w:rPr>
          <w:rFonts w:cs="Arial"/>
        </w:rPr>
        <w:t>Conclusion and Proposals</w:t>
      </w:r>
      <w:bookmarkEnd w:id="19"/>
      <w:bookmarkEnd w:id="20"/>
      <w:bookmarkEnd w:id="21"/>
      <w:bookmarkEnd w:id="22"/>
      <w:bookmarkEnd w:id="23"/>
      <w:bookmarkEnd w:id="24"/>
      <w:bookmarkEnd w:id="25"/>
    </w:p>
    <w:p w14:paraId="4EBB654D" w14:textId="77777777" w:rsidR="00005C4B" w:rsidRDefault="00005C4B" w:rsidP="00D80F19">
      <w:r>
        <w:t>We have looked into the RAN WG SID [1] and the work conducted by SA1 [2] and TSG RAN [3] so far.</w:t>
      </w:r>
    </w:p>
    <w:p w14:paraId="6FF46B8B" w14:textId="77777777" w:rsidR="00005C4B" w:rsidRDefault="00005C4B" w:rsidP="00D80F19">
      <w:r>
        <w:t>We observe the following:</w:t>
      </w:r>
    </w:p>
    <w:p w14:paraId="04C119D2" w14:textId="77777777" w:rsidR="00005C4B" w:rsidRDefault="00005C4B" w:rsidP="00005C4B">
      <w:pPr>
        <w:pStyle w:val="Eyecatcher"/>
      </w:pPr>
      <w:r>
        <w:t>Observation 1:</w:t>
      </w:r>
      <w:r>
        <w:tab/>
        <w:t>3GPP has been conducting already work on requirements in SA1 (see TS 22.369) and a TSG RAN level study (see 38.848), which are reflected in the TSG RAN WG level Study Item Description [1].</w:t>
      </w:r>
    </w:p>
    <w:p w14:paraId="7F084E79" w14:textId="77777777" w:rsidR="00005C4B" w:rsidRDefault="00005C4B" w:rsidP="00005C4B">
      <w:pPr>
        <w:pStyle w:val="Eyecatcher"/>
      </w:pPr>
      <w:r>
        <w:t>Observation 2:</w:t>
      </w:r>
      <w:r>
        <w:tab/>
        <w:t>RAN3 work on the AIoT study is dependent on work in and needs cooperation with SA2, SA3 and RAN2 (at least).</w:t>
      </w:r>
    </w:p>
    <w:p w14:paraId="25B1CCD5" w14:textId="77777777" w:rsidR="00005C4B" w:rsidRDefault="00005C4B" w:rsidP="00005C4B">
      <w:pPr>
        <w:pStyle w:val="Eyecatcher"/>
      </w:pPr>
      <w:r>
        <w:t>Observation 3:</w:t>
      </w:r>
      <w:r>
        <w:tab/>
        <w:t>Communication modes of 5G system for AIoT devices, along TS 22.369, show modes which involve the 5G network, and those which does not involve the 5G network at all (5GS used a mere data-pipe, “over the top”). The latter one is not part of the Rel-19 study.</w:t>
      </w:r>
    </w:p>
    <w:p w14:paraId="2DE34901" w14:textId="77777777" w:rsidR="00005C4B" w:rsidRDefault="00005C4B" w:rsidP="00005C4B">
      <w:pPr>
        <w:pStyle w:val="Eyecatcher"/>
      </w:pPr>
      <w:r>
        <w:t>Observation 4:</w:t>
      </w:r>
      <w:r>
        <w:tab/>
        <w:t>Positioning of AIoT devices with a sufficiently high accuracy, dependent on the use case, is expected to be an important part of real-life deployments and it is expected that respective accuracy supported by 5GS will have to go beyond what is requested from RAN3 to study along the Rel-19 SID.</w:t>
      </w:r>
    </w:p>
    <w:p w14:paraId="23D71F3A" w14:textId="77777777" w:rsidR="00005C4B" w:rsidRPr="00432258" w:rsidRDefault="00005C4B" w:rsidP="00005C4B">
      <w:pPr>
        <w:pStyle w:val="Eyecatcher"/>
      </w:pPr>
      <w:r>
        <w:t>Observation 5:</w:t>
      </w:r>
      <w:r>
        <w:tab/>
      </w:r>
      <w:r w:rsidRPr="00BF3BC8">
        <w:t xml:space="preserve">Security </w:t>
      </w:r>
      <w:r>
        <w:t>requirements as of TS 22.369 are quite explicit and represent a major</w:t>
      </w:r>
      <w:r w:rsidRPr="00BF3BC8">
        <w:t xml:space="preserve"> advantage of </w:t>
      </w:r>
      <w:r>
        <w:t xml:space="preserve">a 3GPP 5G based </w:t>
      </w:r>
      <w:r w:rsidRPr="00BF3BC8">
        <w:t xml:space="preserve">AIoT </w:t>
      </w:r>
      <w:r>
        <w:t xml:space="preserve">system as </w:t>
      </w:r>
      <w:r w:rsidRPr="00BF3BC8">
        <w:t xml:space="preserve">compared to </w:t>
      </w:r>
      <w:r>
        <w:t>its (</w:t>
      </w:r>
      <w:r w:rsidRPr="00BF3BC8">
        <w:t>non-cellular</w:t>
      </w:r>
      <w:r>
        <w:t>)</w:t>
      </w:r>
      <w:r w:rsidRPr="00BF3BC8">
        <w:t xml:space="preserve"> counterpart (e.g., RFID)</w:t>
      </w:r>
      <w:r>
        <w:t>.</w:t>
      </w:r>
      <w:r>
        <w:br/>
        <w:t>We expect 3GPP to specify methods that allows secure operation of AIoT devices in terms of privacy protection of the ambient IoT device, i.e. the respective communication content (e.g. its identity, some sensor data) and the device’s location, as well as protection from cloning such devices. Therefore RAN WGs can assume availability of s</w:t>
      </w:r>
      <w:r w:rsidRPr="00BF3BC8">
        <w:t xml:space="preserve">ecurity protection </w:t>
      </w:r>
      <w:r>
        <w:t>for</w:t>
      </w:r>
      <w:r w:rsidRPr="00BF3BC8">
        <w:t xml:space="preserve"> both user data and associated control signaling for AIoT.</w:t>
      </w:r>
      <w:r>
        <w:t xml:space="preserve"> Coordination with SA3 is necessary.</w:t>
      </w:r>
    </w:p>
    <w:p w14:paraId="0B9460F8" w14:textId="77777777" w:rsidR="00005C4B" w:rsidRDefault="00005C4B" w:rsidP="00D80F19">
      <w:r>
        <w:t>We therefore propose:</w:t>
      </w:r>
    </w:p>
    <w:p w14:paraId="36E827C1" w14:textId="77777777" w:rsidR="00005C4B" w:rsidRPr="0089162E" w:rsidRDefault="00005C4B" w:rsidP="00005C4B">
      <w:pPr>
        <w:pStyle w:val="Eyecatcher"/>
        <w:rPr>
          <w:lang w:eastAsia="ko-KR"/>
        </w:rPr>
      </w:pPr>
      <w:r>
        <w:t>Proposal 6:</w:t>
      </w:r>
      <w:r>
        <w:tab/>
        <w:t xml:space="preserve">As a starting point, </w:t>
      </w:r>
      <w:r w:rsidRPr="0089162E">
        <w:t>RAN</w:t>
      </w:r>
      <w:r>
        <w:t>3</w:t>
      </w:r>
      <w:r w:rsidRPr="0089162E">
        <w:t xml:space="preserve"> </w:t>
      </w:r>
      <w:r>
        <w:t>assumes existence of “NAS security” catering for AIoT security requirements required in TS 22.369, and by that the need to authenticate AIoT devices and exchange of key-material for secure communication, actions usually resulting in UEs being “registered”.</w:t>
      </w:r>
    </w:p>
    <w:p w14:paraId="33520F04" w14:textId="77777777" w:rsidR="00005C4B" w:rsidRDefault="00005C4B" w:rsidP="00005C4B">
      <w:pPr>
        <w:pStyle w:val="Eyecatcher"/>
      </w:pPr>
      <w:r>
        <w:t>Proposal 7:</w:t>
      </w:r>
      <w:r>
        <w:tab/>
        <w:t>We propose to start work in RAN3 with the assumption that there an AIoT capable 5GS consists of an AIoT capable NG-RAN and AIoT capable 5GC..</w:t>
      </w:r>
    </w:p>
    <w:p w14:paraId="6E16DB33" w14:textId="77777777" w:rsidR="00005C4B" w:rsidRDefault="00005C4B" w:rsidP="00005C4B">
      <w:pPr>
        <w:pStyle w:val="Eyecatcher"/>
      </w:pPr>
      <w:r>
        <w:t>Proposal 8:</w:t>
      </w:r>
      <w:r>
        <w:tab/>
        <w:t>We further propose to assume that such AIoT capable 5GC hosts means to store AIoT device contexts and managing the AIoT device’s “registration” status.</w:t>
      </w:r>
    </w:p>
    <w:p w14:paraId="36148518" w14:textId="77777777" w:rsidR="00005C4B" w:rsidRDefault="00005C4B" w:rsidP="00005C4B">
      <w:pPr>
        <w:pStyle w:val="Eyecatcher"/>
      </w:pPr>
      <w:r>
        <w:t>Proposal 9:</w:t>
      </w:r>
      <w:r>
        <w:tab/>
        <w:t>Agree to assume that an AIoT capable NG-RAN needs to be able to provide to AIoT devices a “network” identification, most probably similar to what is provided in SIB1, i.e. at least a PLMN/SNPN ID.</w:t>
      </w:r>
    </w:p>
    <w:p w14:paraId="58B25DA6" w14:textId="32CA4607" w:rsidR="00005C4B" w:rsidRDefault="00005C4B" w:rsidP="00005C4B">
      <w:pPr>
        <w:pStyle w:val="Eyecatcher"/>
      </w:pPr>
      <w:bookmarkStart w:id="27" w:name="_Toc527283433"/>
      <w:bookmarkStart w:id="28" w:name="_Toc527283650"/>
      <w:bookmarkStart w:id="29" w:name="_Toc527283679"/>
      <w:bookmarkStart w:id="30" w:name="_Toc527283743"/>
      <w:bookmarkStart w:id="31" w:name="_Toc527283747"/>
      <w:bookmarkStart w:id="32" w:name="_Toc527283909"/>
      <w:bookmarkStart w:id="33" w:name="_Toc527283926"/>
      <w:r>
        <w:t>Proposal 10:</w:t>
      </w:r>
      <w:r>
        <w:tab/>
        <w:t>We further agree to continue studies, potentially in direct communication with other TSGs/WGs, on “periodic” and “mobility” “registration” updates of AIoT devices within a PLMN/SNPN and its impact on NG-RAN.</w:t>
      </w:r>
    </w:p>
    <w:p w14:paraId="100E7817" w14:textId="77777777" w:rsidR="00501135" w:rsidRDefault="00501135" w:rsidP="001601A9">
      <w:pPr>
        <w:pStyle w:val="Heading1"/>
        <w:rPr>
          <w:rFonts w:cs="Arial"/>
          <w:lang w:eastAsia="ja-JP"/>
        </w:rPr>
      </w:pPr>
      <w:r>
        <w:rPr>
          <w:rFonts w:cs="Arial"/>
        </w:rPr>
        <w:lastRenderedPageBreak/>
        <w:t>4</w:t>
      </w:r>
      <w:r>
        <w:rPr>
          <w:rFonts w:cs="Arial"/>
        </w:rPr>
        <w:tab/>
        <w:t>References</w:t>
      </w:r>
      <w:bookmarkEnd w:id="27"/>
      <w:bookmarkEnd w:id="28"/>
      <w:bookmarkEnd w:id="29"/>
      <w:bookmarkEnd w:id="30"/>
      <w:bookmarkEnd w:id="31"/>
      <w:bookmarkEnd w:id="32"/>
      <w:bookmarkEnd w:id="33"/>
    </w:p>
    <w:p w14:paraId="32654688" w14:textId="3BB3F3D9" w:rsidR="00B32845" w:rsidRDefault="00B32845" w:rsidP="00B32845">
      <w:pPr>
        <w:pStyle w:val="Reference"/>
      </w:pPr>
      <w:r>
        <w:rPr>
          <w:rFonts w:eastAsia="SimSun" w:hint="eastAsia"/>
          <w:bCs/>
          <w:lang w:eastAsia="zh-CN"/>
        </w:rPr>
        <w:t>[1]</w:t>
      </w:r>
      <w:r>
        <w:rPr>
          <w:rFonts w:eastAsia="SimSun" w:hint="eastAsia"/>
          <w:bCs/>
          <w:lang w:eastAsia="zh-CN"/>
        </w:rPr>
        <w:tab/>
      </w:r>
      <w:r>
        <w:rPr>
          <w:rFonts w:eastAsia="SimSun"/>
          <w:bCs/>
          <w:lang w:eastAsia="zh-CN"/>
        </w:rPr>
        <w:t xml:space="preserve">RP-240826 </w:t>
      </w:r>
      <w:r w:rsidRPr="00B32845">
        <w:rPr>
          <w:rFonts w:eastAsia="SimSun"/>
          <w:bCs/>
          <w:lang w:eastAsia="zh-CN"/>
        </w:rPr>
        <w:t>"</w:t>
      </w:r>
      <w:r w:rsidRPr="00B32845">
        <w:rPr>
          <w:rFonts w:eastAsia="SimSun" w:hint="eastAsia"/>
          <w:bCs/>
          <w:lang w:eastAsia="zh-CN"/>
        </w:rPr>
        <w:t>Revised</w:t>
      </w:r>
      <w:r w:rsidRPr="00B32845">
        <w:rPr>
          <w:rFonts w:eastAsia="SimSun"/>
          <w:bCs/>
          <w:lang w:eastAsia="zh-CN"/>
        </w:rPr>
        <w:t xml:space="preserve"> SID: </w:t>
      </w:r>
      <w:bookmarkStart w:id="34" w:name="_Hlk162939997"/>
      <w:r w:rsidRPr="00B32845">
        <w:rPr>
          <w:rFonts w:eastAsia="SimSun"/>
          <w:bCs/>
          <w:lang w:eastAsia="zh-CN"/>
        </w:rPr>
        <w:t>Study on solutions for Ambient IoT (Internet of Things) in NR</w:t>
      </w:r>
      <w:bookmarkEnd w:id="34"/>
      <w:r w:rsidRPr="00B32845">
        <w:rPr>
          <w:rFonts w:eastAsia="SimSun"/>
          <w:bCs/>
          <w:lang w:eastAsia="zh-CN"/>
        </w:rPr>
        <w:t>", revised SID</w:t>
      </w:r>
      <w:r>
        <w:t>, approved at RAN#103.</w:t>
      </w:r>
    </w:p>
    <w:p w14:paraId="1621B1C5" w14:textId="74C0ABB2" w:rsidR="00CD7395" w:rsidRDefault="00CD7395" w:rsidP="00EF403A">
      <w:pPr>
        <w:pStyle w:val="Reference"/>
      </w:pPr>
      <w:r>
        <w:rPr>
          <w:rFonts w:eastAsia="SimSun" w:hint="eastAsia"/>
          <w:bCs/>
          <w:lang w:eastAsia="zh-CN"/>
        </w:rPr>
        <w:t>[</w:t>
      </w:r>
      <w:r w:rsidR="00B32845">
        <w:rPr>
          <w:rFonts w:eastAsia="SimSun"/>
          <w:bCs/>
          <w:lang w:eastAsia="zh-CN"/>
        </w:rPr>
        <w:t>2</w:t>
      </w:r>
      <w:r>
        <w:rPr>
          <w:rFonts w:eastAsia="SimSun" w:hint="eastAsia"/>
          <w:bCs/>
          <w:lang w:eastAsia="zh-CN"/>
        </w:rPr>
        <w:t>]</w:t>
      </w:r>
      <w:r>
        <w:rPr>
          <w:rFonts w:eastAsia="SimSun" w:hint="eastAsia"/>
          <w:bCs/>
          <w:lang w:eastAsia="zh-CN"/>
        </w:rPr>
        <w:tab/>
      </w:r>
      <w:r w:rsidR="0063798D">
        <w:rPr>
          <w:rFonts w:eastAsia="SimSun"/>
          <w:bCs/>
          <w:lang w:eastAsia="zh-CN"/>
        </w:rPr>
        <w:t xml:space="preserve">TS 22.369 </w:t>
      </w:r>
      <w:r w:rsidR="00D80F19" w:rsidRPr="00D80F19">
        <w:t>"</w:t>
      </w:r>
      <w:r w:rsidR="0063798D">
        <w:t>Service requirements for ambient power-enabled IoT; Stage 1</w:t>
      </w:r>
      <w:r w:rsidR="00D80F19" w:rsidRPr="00D80F19">
        <w:t>"</w:t>
      </w:r>
      <w:bookmarkEnd w:id="26"/>
    </w:p>
    <w:p w14:paraId="4718A239" w14:textId="39937F25" w:rsidR="0063798D" w:rsidRDefault="0063798D" w:rsidP="0063798D">
      <w:pPr>
        <w:pStyle w:val="Reference"/>
      </w:pPr>
      <w:r>
        <w:t>[</w:t>
      </w:r>
      <w:r w:rsidR="006F7663">
        <w:t>3</w:t>
      </w:r>
      <w:r>
        <w:t>]</w:t>
      </w:r>
      <w:r>
        <w:tab/>
      </w:r>
      <w:r w:rsidR="006F7663">
        <w:t xml:space="preserve">TS 38.848 </w:t>
      </w:r>
      <w:r w:rsidRPr="00D80F19">
        <w:t>"</w:t>
      </w:r>
      <w:r w:rsidR="006F7663" w:rsidRPr="00206426">
        <w:t>Study on Ambient IoT (Internet of Things) in RAN</w:t>
      </w:r>
      <w:r w:rsidRPr="00D80F19">
        <w:t>"</w:t>
      </w:r>
    </w:p>
    <w:p w14:paraId="41F1AC6A" w14:textId="1415BC90" w:rsidR="0063798D" w:rsidRDefault="0063798D" w:rsidP="0063798D">
      <w:pPr>
        <w:pStyle w:val="Reference"/>
      </w:pPr>
      <w:r>
        <w:t>[</w:t>
      </w:r>
      <w:r w:rsidR="006F7663">
        <w:t>4</w:t>
      </w:r>
      <w:r>
        <w:t>]</w:t>
      </w:r>
      <w:r>
        <w:tab/>
      </w:r>
      <w:r w:rsidR="006F7663">
        <w:t xml:space="preserve">TS 23.700-13 </w:t>
      </w:r>
      <w:r w:rsidRPr="00D80F19">
        <w:t>"</w:t>
      </w:r>
      <w:r w:rsidR="006F7663" w:rsidRPr="00450ADE">
        <w:t>Study on Architecture support of</w:t>
      </w:r>
      <w:r w:rsidR="006F7663">
        <w:t xml:space="preserve"> </w:t>
      </w:r>
      <w:r w:rsidR="006F7663" w:rsidRPr="00450ADE">
        <w:t>Ambient power-enabled Internet of Things</w:t>
      </w:r>
      <w:r w:rsidRPr="00D80F19">
        <w:t>"</w:t>
      </w:r>
      <w:r w:rsidR="006F7663">
        <w:t>, latest available version</w:t>
      </w:r>
    </w:p>
    <w:p w14:paraId="1D05B5C0" w14:textId="0A6DDD83" w:rsidR="000474B9" w:rsidRDefault="000474B9" w:rsidP="0063798D">
      <w:pPr>
        <w:pStyle w:val="Reference"/>
      </w:pPr>
      <w:r>
        <w:t>[5]</w:t>
      </w:r>
      <w:r>
        <w:tab/>
        <w:t xml:space="preserve">SP-231803 </w:t>
      </w:r>
      <w:r w:rsidRPr="00D80F19">
        <w:t>"</w:t>
      </w:r>
      <w:r w:rsidRPr="000474B9">
        <w:t xml:space="preserve">New SID: </w:t>
      </w:r>
      <w:r w:rsidRPr="000474B9">
        <w:rPr>
          <w:rFonts w:hint="eastAsia"/>
        </w:rPr>
        <w:t>Study on</w:t>
      </w:r>
      <w:r w:rsidRPr="000474B9">
        <w:t xml:space="preserve"> Architecture support of Ambient power-</w:t>
      </w:r>
      <w:r w:rsidRPr="000474B9">
        <w:rPr>
          <w:rFonts w:hint="eastAsia"/>
        </w:rPr>
        <w:t>en</w:t>
      </w:r>
      <w:r w:rsidRPr="000474B9">
        <w:t>abled Internet of Things</w:t>
      </w:r>
      <w:r w:rsidRPr="00D80F19">
        <w:t>"</w:t>
      </w:r>
      <w:r>
        <w:t xml:space="preserve"> approved at SA#102</w:t>
      </w:r>
    </w:p>
    <w:p w14:paraId="6F70289C" w14:textId="404A29A4" w:rsidR="0063798D" w:rsidRDefault="0063798D" w:rsidP="0063798D">
      <w:pPr>
        <w:pStyle w:val="Reference"/>
      </w:pPr>
      <w:r>
        <w:t>[</w:t>
      </w:r>
      <w:r w:rsidR="000474B9">
        <w:t>6</w:t>
      </w:r>
      <w:r>
        <w:t>]</w:t>
      </w:r>
      <w:r>
        <w:tab/>
      </w:r>
      <w:r w:rsidR="006F7663">
        <w:t xml:space="preserve">SP-240507 </w:t>
      </w:r>
      <w:r w:rsidRPr="00D80F19">
        <w:t>"</w:t>
      </w:r>
      <w:r w:rsidR="006F7663" w:rsidRPr="00C266C2">
        <w:t>New SID on security aspects User Identities and Authentication</w:t>
      </w:r>
      <w:r w:rsidRPr="00D80F19">
        <w:t>"</w:t>
      </w:r>
      <w:r w:rsidR="006F7663">
        <w:t>, new SID, approved at SA#103</w:t>
      </w:r>
    </w:p>
    <w:sectPr w:rsidR="0063798D"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41767" w14:textId="77777777" w:rsidR="00EE0A7C" w:rsidRDefault="00EE0A7C">
      <w:r>
        <w:separator/>
      </w:r>
    </w:p>
  </w:endnote>
  <w:endnote w:type="continuationSeparator" w:id="0">
    <w:p w14:paraId="27348E5E" w14:textId="77777777" w:rsidR="00EE0A7C" w:rsidRDefault="00EE0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625E7" w14:textId="77777777" w:rsidR="00EE0A7C" w:rsidRDefault="00EE0A7C">
      <w:r>
        <w:separator/>
      </w:r>
    </w:p>
  </w:footnote>
  <w:footnote w:type="continuationSeparator" w:id="0">
    <w:p w14:paraId="56F941EE" w14:textId="77777777" w:rsidR="00EE0A7C" w:rsidRDefault="00EE0A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626A9A"/>
    <w:multiLevelType w:val="hybridMultilevel"/>
    <w:tmpl w:val="7CA8BEEE"/>
    <w:lvl w:ilvl="0" w:tplc="4A22496E">
      <w:start w:val="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2"/>
  </w:num>
  <w:num w:numId="12" w16cid:durableId="536897276">
    <w:abstractNumId w:val="13"/>
  </w:num>
  <w:num w:numId="13" w16cid:durableId="1399549895">
    <w:abstractNumId w:val="11"/>
  </w:num>
  <w:num w:numId="14" w16cid:durableId="1314988913">
    <w:abstractNumId w:val="14"/>
  </w:num>
  <w:num w:numId="15" w16cid:durableId="17301039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05C4B"/>
    <w:rsid w:val="0001024C"/>
    <w:rsid w:val="00026DC1"/>
    <w:rsid w:val="000401B6"/>
    <w:rsid w:val="000474B9"/>
    <w:rsid w:val="000640DF"/>
    <w:rsid w:val="000719E7"/>
    <w:rsid w:val="000A05B2"/>
    <w:rsid w:val="000A0A38"/>
    <w:rsid w:val="000B318F"/>
    <w:rsid w:val="000C2BFF"/>
    <w:rsid w:val="000C4F75"/>
    <w:rsid w:val="000C583C"/>
    <w:rsid w:val="000D77DB"/>
    <w:rsid w:val="000F02C3"/>
    <w:rsid w:val="000F7E1F"/>
    <w:rsid w:val="001043EA"/>
    <w:rsid w:val="0010503B"/>
    <w:rsid w:val="00117327"/>
    <w:rsid w:val="00122EA7"/>
    <w:rsid w:val="00126984"/>
    <w:rsid w:val="001601A9"/>
    <w:rsid w:val="00162A98"/>
    <w:rsid w:val="001634D2"/>
    <w:rsid w:val="00170904"/>
    <w:rsid w:val="001D1142"/>
    <w:rsid w:val="001D3360"/>
    <w:rsid w:val="00203F86"/>
    <w:rsid w:val="002174CA"/>
    <w:rsid w:val="002177A7"/>
    <w:rsid w:val="002300C6"/>
    <w:rsid w:val="00230764"/>
    <w:rsid w:val="002336F5"/>
    <w:rsid w:val="00237F7C"/>
    <w:rsid w:val="00247F22"/>
    <w:rsid w:val="00257E42"/>
    <w:rsid w:val="00294C24"/>
    <w:rsid w:val="002A739F"/>
    <w:rsid w:val="002B54A1"/>
    <w:rsid w:val="002B775B"/>
    <w:rsid w:val="00305FE0"/>
    <w:rsid w:val="00312F43"/>
    <w:rsid w:val="003229C8"/>
    <w:rsid w:val="003514CE"/>
    <w:rsid w:val="00362FD6"/>
    <w:rsid w:val="003658DB"/>
    <w:rsid w:val="00367303"/>
    <w:rsid w:val="00383916"/>
    <w:rsid w:val="003A0811"/>
    <w:rsid w:val="003A6BAA"/>
    <w:rsid w:val="003A72C5"/>
    <w:rsid w:val="003A7669"/>
    <w:rsid w:val="003B1332"/>
    <w:rsid w:val="003B5037"/>
    <w:rsid w:val="003B602E"/>
    <w:rsid w:val="003D108B"/>
    <w:rsid w:val="003D15C1"/>
    <w:rsid w:val="003F04CA"/>
    <w:rsid w:val="003F34E2"/>
    <w:rsid w:val="003F438B"/>
    <w:rsid w:val="003F49ED"/>
    <w:rsid w:val="00412C70"/>
    <w:rsid w:val="00431125"/>
    <w:rsid w:val="00436463"/>
    <w:rsid w:val="00440215"/>
    <w:rsid w:val="00440EB3"/>
    <w:rsid w:val="00456756"/>
    <w:rsid w:val="00456836"/>
    <w:rsid w:val="00464F3D"/>
    <w:rsid w:val="00474F20"/>
    <w:rsid w:val="00486CAA"/>
    <w:rsid w:val="00491BA2"/>
    <w:rsid w:val="0049743E"/>
    <w:rsid w:val="004A605A"/>
    <w:rsid w:val="004E3A07"/>
    <w:rsid w:val="004E3AF3"/>
    <w:rsid w:val="004F4425"/>
    <w:rsid w:val="00501135"/>
    <w:rsid w:val="00506D99"/>
    <w:rsid w:val="00507D9D"/>
    <w:rsid w:val="00523AA3"/>
    <w:rsid w:val="00536615"/>
    <w:rsid w:val="00543DB8"/>
    <w:rsid w:val="005475C5"/>
    <w:rsid w:val="005718AB"/>
    <w:rsid w:val="00580121"/>
    <w:rsid w:val="005855D2"/>
    <w:rsid w:val="005A1D2C"/>
    <w:rsid w:val="005B14C0"/>
    <w:rsid w:val="005C1208"/>
    <w:rsid w:val="005D0EC8"/>
    <w:rsid w:val="005E193E"/>
    <w:rsid w:val="005E51D2"/>
    <w:rsid w:val="005E68AB"/>
    <w:rsid w:val="006014A7"/>
    <w:rsid w:val="00604237"/>
    <w:rsid w:val="0060423C"/>
    <w:rsid w:val="006103E2"/>
    <w:rsid w:val="00612679"/>
    <w:rsid w:val="00617344"/>
    <w:rsid w:val="00620E77"/>
    <w:rsid w:val="00621D84"/>
    <w:rsid w:val="006264D8"/>
    <w:rsid w:val="00631729"/>
    <w:rsid w:val="00631954"/>
    <w:rsid w:val="006367F1"/>
    <w:rsid w:val="0063798D"/>
    <w:rsid w:val="0064585D"/>
    <w:rsid w:val="00665891"/>
    <w:rsid w:val="00671A7F"/>
    <w:rsid w:val="006A4516"/>
    <w:rsid w:val="006A461D"/>
    <w:rsid w:val="006A4FF6"/>
    <w:rsid w:val="006A693D"/>
    <w:rsid w:val="006C0235"/>
    <w:rsid w:val="006C7ADE"/>
    <w:rsid w:val="006F7663"/>
    <w:rsid w:val="00707B18"/>
    <w:rsid w:val="007159BF"/>
    <w:rsid w:val="007200BD"/>
    <w:rsid w:val="0073451F"/>
    <w:rsid w:val="007433DE"/>
    <w:rsid w:val="007466BD"/>
    <w:rsid w:val="00755255"/>
    <w:rsid w:val="0077229F"/>
    <w:rsid w:val="0079087F"/>
    <w:rsid w:val="00792B2F"/>
    <w:rsid w:val="00796EFE"/>
    <w:rsid w:val="0079764C"/>
    <w:rsid w:val="007B42A3"/>
    <w:rsid w:val="007D41E9"/>
    <w:rsid w:val="007F669C"/>
    <w:rsid w:val="00805AD4"/>
    <w:rsid w:val="008466AA"/>
    <w:rsid w:val="008514ED"/>
    <w:rsid w:val="00853BBD"/>
    <w:rsid w:val="008644A2"/>
    <w:rsid w:val="00873094"/>
    <w:rsid w:val="008775B7"/>
    <w:rsid w:val="008925B8"/>
    <w:rsid w:val="008A4843"/>
    <w:rsid w:val="008A4C1D"/>
    <w:rsid w:val="008A511A"/>
    <w:rsid w:val="008A647F"/>
    <w:rsid w:val="008B0AF2"/>
    <w:rsid w:val="008B4F57"/>
    <w:rsid w:val="008C7A1B"/>
    <w:rsid w:val="008E19D0"/>
    <w:rsid w:val="008E48CD"/>
    <w:rsid w:val="008F1B11"/>
    <w:rsid w:val="00906401"/>
    <w:rsid w:val="00907CF1"/>
    <w:rsid w:val="00912B83"/>
    <w:rsid w:val="00937DD6"/>
    <w:rsid w:val="00954330"/>
    <w:rsid w:val="00954912"/>
    <w:rsid w:val="00964DB6"/>
    <w:rsid w:val="00966FF5"/>
    <w:rsid w:val="00967136"/>
    <w:rsid w:val="00974B70"/>
    <w:rsid w:val="009813D8"/>
    <w:rsid w:val="009872F4"/>
    <w:rsid w:val="009928CD"/>
    <w:rsid w:val="00994162"/>
    <w:rsid w:val="009A1102"/>
    <w:rsid w:val="009A313D"/>
    <w:rsid w:val="009A6292"/>
    <w:rsid w:val="009B012E"/>
    <w:rsid w:val="009B0B0E"/>
    <w:rsid w:val="009E394B"/>
    <w:rsid w:val="009F6EC1"/>
    <w:rsid w:val="00A009DA"/>
    <w:rsid w:val="00A1281F"/>
    <w:rsid w:val="00A129B6"/>
    <w:rsid w:val="00A17E34"/>
    <w:rsid w:val="00A2062A"/>
    <w:rsid w:val="00A23F45"/>
    <w:rsid w:val="00A57FBC"/>
    <w:rsid w:val="00A71A00"/>
    <w:rsid w:val="00A72A5B"/>
    <w:rsid w:val="00A8073C"/>
    <w:rsid w:val="00A97481"/>
    <w:rsid w:val="00AA22F9"/>
    <w:rsid w:val="00AA3AC6"/>
    <w:rsid w:val="00AB4E41"/>
    <w:rsid w:val="00AE2347"/>
    <w:rsid w:val="00AF1555"/>
    <w:rsid w:val="00AF1A71"/>
    <w:rsid w:val="00AF780A"/>
    <w:rsid w:val="00B06C16"/>
    <w:rsid w:val="00B117E3"/>
    <w:rsid w:val="00B13580"/>
    <w:rsid w:val="00B15DB4"/>
    <w:rsid w:val="00B17533"/>
    <w:rsid w:val="00B231F4"/>
    <w:rsid w:val="00B32845"/>
    <w:rsid w:val="00B329D3"/>
    <w:rsid w:val="00B532EB"/>
    <w:rsid w:val="00B56F1A"/>
    <w:rsid w:val="00B7329F"/>
    <w:rsid w:val="00B85C0E"/>
    <w:rsid w:val="00B868C5"/>
    <w:rsid w:val="00BA0C6E"/>
    <w:rsid w:val="00BB1C26"/>
    <w:rsid w:val="00BB35EA"/>
    <w:rsid w:val="00BB7AD2"/>
    <w:rsid w:val="00BD509A"/>
    <w:rsid w:val="00BD588D"/>
    <w:rsid w:val="00BE4262"/>
    <w:rsid w:val="00BF2E54"/>
    <w:rsid w:val="00BF626B"/>
    <w:rsid w:val="00C04DB5"/>
    <w:rsid w:val="00C06704"/>
    <w:rsid w:val="00C17C56"/>
    <w:rsid w:val="00C24258"/>
    <w:rsid w:val="00C266C2"/>
    <w:rsid w:val="00C270D1"/>
    <w:rsid w:val="00C344A0"/>
    <w:rsid w:val="00C53883"/>
    <w:rsid w:val="00C61AA7"/>
    <w:rsid w:val="00C70DF4"/>
    <w:rsid w:val="00C778A5"/>
    <w:rsid w:val="00CB5951"/>
    <w:rsid w:val="00CC1F81"/>
    <w:rsid w:val="00CD0FFD"/>
    <w:rsid w:val="00CD6923"/>
    <w:rsid w:val="00CD7395"/>
    <w:rsid w:val="00CE153C"/>
    <w:rsid w:val="00CE3F90"/>
    <w:rsid w:val="00CF0789"/>
    <w:rsid w:val="00D0317F"/>
    <w:rsid w:val="00D115B3"/>
    <w:rsid w:val="00D25476"/>
    <w:rsid w:val="00D371F0"/>
    <w:rsid w:val="00D53C0D"/>
    <w:rsid w:val="00D67DC3"/>
    <w:rsid w:val="00D7590A"/>
    <w:rsid w:val="00D75F06"/>
    <w:rsid w:val="00D80F19"/>
    <w:rsid w:val="00D8543C"/>
    <w:rsid w:val="00D91A1D"/>
    <w:rsid w:val="00D9600A"/>
    <w:rsid w:val="00D971BA"/>
    <w:rsid w:val="00DB5364"/>
    <w:rsid w:val="00DB797B"/>
    <w:rsid w:val="00DC3007"/>
    <w:rsid w:val="00DC3BE7"/>
    <w:rsid w:val="00DC52F2"/>
    <w:rsid w:val="00DC53D2"/>
    <w:rsid w:val="00DD35C8"/>
    <w:rsid w:val="00E01172"/>
    <w:rsid w:val="00E04C9D"/>
    <w:rsid w:val="00E059CB"/>
    <w:rsid w:val="00E26242"/>
    <w:rsid w:val="00E27896"/>
    <w:rsid w:val="00E329B4"/>
    <w:rsid w:val="00E37069"/>
    <w:rsid w:val="00E40689"/>
    <w:rsid w:val="00E46158"/>
    <w:rsid w:val="00E57587"/>
    <w:rsid w:val="00E712C8"/>
    <w:rsid w:val="00E71F43"/>
    <w:rsid w:val="00E774D6"/>
    <w:rsid w:val="00E774EB"/>
    <w:rsid w:val="00E8005C"/>
    <w:rsid w:val="00E9780A"/>
    <w:rsid w:val="00EA51AA"/>
    <w:rsid w:val="00EB30BC"/>
    <w:rsid w:val="00EB7A94"/>
    <w:rsid w:val="00EB7D73"/>
    <w:rsid w:val="00EC0D9B"/>
    <w:rsid w:val="00EC33F2"/>
    <w:rsid w:val="00EC4F12"/>
    <w:rsid w:val="00ED65FE"/>
    <w:rsid w:val="00EE0A7C"/>
    <w:rsid w:val="00EE2847"/>
    <w:rsid w:val="00EE5227"/>
    <w:rsid w:val="00EF0D35"/>
    <w:rsid w:val="00EF1C71"/>
    <w:rsid w:val="00EF291A"/>
    <w:rsid w:val="00EF403A"/>
    <w:rsid w:val="00F14B26"/>
    <w:rsid w:val="00F278F3"/>
    <w:rsid w:val="00F31F35"/>
    <w:rsid w:val="00F6139A"/>
    <w:rsid w:val="00F6616C"/>
    <w:rsid w:val="00F812EA"/>
    <w:rsid w:val="00FA3CAD"/>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Char"/>
    <w:qFormat/>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qFormat/>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character" w:styleId="FollowedHyperlink">
    <w:name w:val="FollowedHyperlink"/>
    <w:unhideWhenUsed/>
    <w:rsid w:val="00E46158"/>
    <w:rPr>
      <w:color w:val="800080"/>
      <w:u w:val="single"/>
    </w:rPr>
  </w:style>
  <w:style w:type="character" w:styleId="CommentReference">
    <w:name w:val="annotation reference"/>
    <w:qFormat/>
    <w:rsid w:val="00E46158"/>
    <w:rPr>
      <w:sz w:val="16"/>
      <w:szCs w:val="16"/>
    </w:rPr>
  </w:style>
  <w:style w:type="paragraph" w:styleId="CommentText">
    <w:name w:val="annotation text"/>
    <w:basedOn w:val="Normal"/>
    <w:link w:val="CommentTextChar"/>
    <w:uiPriority w:val="99"/>
    <w:qFormat/>
    <w:rsid w:val="00E46158"/>
    <w:pPr>
      <w:spacing w:after="180"/>
    </w:pPr>
    <w:rPr>
      <w:rFonts w:ascii="Times New Roman" w:eastAsia="Times New Roman" w:hAnsi="Times New Roman"/>
      <w:lang w:eastAsia="ja-JP"/>
    </w:rPr>
  </w:style>
  <w:style w:type="character" w:customStyle="1" w:styleId="CommentTextChar">
    <w:name w:val="Comment Text Char"/>
    <w:basedOn w:val="DefaultParagraphFont"/>
    <w:link w:val="CommentText"/>
    <w:uiPriority w:val="99"/>
    <w:qFormat/>
    <w:rsid w:val="00E46158"/>
    <w:rPr>
      <w:lang w:eastAsia="ja-JP"/>
    </w:rPr>
  </w:style>
  <w:style w:type="character" w:customStyle="1" w:styleId="NOChar">
    <w:name w:val="NO Char"/>
    <w:link w:val="NO"/>
    <w:qFormat/>
    <w:rsid w:val="00E46158"/>
    <w:rPr>
      <w:rFonts w:ascii="Arial" w:eastAsia="MS Mincho" w:hAnsi="Arial"/>
      <w:lang w:eastAsia="en-US"/>
    </w:rPr>
  </w:style>
  <w:style w:type="character" w:customStyle="1" w:styleId="TALCar">
    <w:name w:val="TAL Car"/>
    <w:qFormat/>
    <w:rsid w:val="00E46158"/>
    <w:rPr>
      <w:rFonts w:ascii="Arial" w:hAnsi="Arial"/>
      <w:sz w:val="18"/>
      <w:lang w:val="x-none" w:eastAsia="x-none"/>
    </w:rPr>
  </w:style>
  <w:style w:type="character" w:customStyle="1" w:styleId="CommentsChar">
    <w:name w:val="Comments Char"/>
    <w:basedOn w:val="DefaultParagraphFont"/>
    <w:link w:val="Comments"/>
    <w:locked/>
    <w:rsid w:val="00E46158"/>
    <w:rPr>
      <w:rFonts w:ascii="Arial" w:hAnsi="Arial" w:cs="Arial"/>
      <w:i/>
      <w:iCs/>
    </w:rPr>
  </w:style>
  <w:style w:type="paragraph" w:customStyle="1" w:styleId="Comments">
    <w:name w:val="Comments"/>
    <w:basedOn w:val="Normal"/>
    <w:link w:val="CommentsChar"/>
    <w:rsid w:val="00E46158"/>
    <w:pPr>
      <w:overflowPunct/>
      <w:autoSpaceDE/>
      <w:autoSpaceDN/>
      <w:adjustRightInd/>
      <w:spacing w:before="40" w:after="0"/>
      <w:textAlignment w:val="auto"/>
    </w:pPr>
    <w:rPr>
      <w:rFonts w:eastAsia="Times New Roman" w:cs="Arial"/>
      <w:i/>
      <w:iCs/>
      <w:lang w:eastAsia="en-GB"/>
    </w:rPr>
  </w:style>
  <w:style w:type="paragraph" w:styleId="ListParagraph">
    <w:name w:val="List Paragraph"/>
    <w:basedOn w:val="Normal"/>
    <w:uiPriority w:val="34"/>
    <w:qFormat/>
    <w:rsid w:val="000C58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72B920E-1EBD-4111-B943-72A4BF915BD5}">
  <ds:schemaRefs>
    <ds:schemaRef ds:uri="http://schemas.microsoft.com/sharepoint/v3/contenttype/forms"/>
  </ds:schemaRefs>
</ds:datastoreItem>
</file>

<file path=customXml/itemProps2.xml><?xml version="1.0" encoding="utf-8"?>
<ds:datastoreItem xmlns:ds="http://schemas.openxmlformats.org/officeDocument/2006/customXml" ds:itemID="{E1AD06FD-5BD6-477D-9F21-EA39CC41F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4.xml><?xml version="1.0" encoding="utf-8"?>
<ds:datastoreItem xmlns:ds="http://schemas.openxmlformats.org/officeDocument/2006/customXml" ds:itemID="{3938EA9A-E36A-4600-B33D-A810704FE64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1982</Words>
  <Characters>11298</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123bis</vt:lpstr>
      <vt:lpstr>3GPP TSG-RAN WG3 Meeting #60</vt:lpstr>
    </vt:vector>
  </TitlesOfParts>
  <Company>Siemens AG</Company>
  <LinksUpToDate>false</LinksUpToDate>
  <CharactersWithSpaces>13254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123bis</dc:title>
  <dc:subject/>
  <dc:creator>Ericsson</dc:creator>
  <cp:keywords/>
  <cp:lastModifiedBy>Ericsson User</cp:lastModifiedBy>
  <cp:revision>3</cp:revision>
  <dcterms:created xsi:type="dcterms:W3CDTF">2024-04-05T13:10:00Z</dcterms:created>
  <dcterms:modified xsi:type="dcterms:W3CDTF">2024-04-05T13:52:00Z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