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WG3 121-bis</w:t>
        <w:tab/>
        <w:t>R3-235019</w:t>
      </w:r>
    </w:p>
    <w:p>
      <w:pPr>
        <w:pStyle w:val="LSHeader"/>
      </w:pPr>
      <w:r>
        <w:t>Xiamen, China, 09 - 13 October, 2023</w:t>
      </w:r>
      <w:r>
        <w:br/>
      </w:r>
    </w:p>
    <w:p w14:paraId="128FFD20" w14:textId="42E5494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B5AD2" w:rsidRPr="009B5AD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9B5AD2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B5AD2">
        <w:rPr>
          <w:rFonts w:cs="Arial"/>
          <w:bCs/>
          <w:sz w:val="22"/>
          <w:szCs w:val="22"/>
        </w:rPr>
        <w:t>#108</w:t>
      </w:r>
      <w:r w:rsidRPr="00DA53A0">
        <w:rPr>
          <w:rFonts w:cs="Arial"/>
          <w:bCs/>
          <w:sz w:val="22"/>
          <w:szCs w:val="22"/>
        </w:rPr>
        <w:tab/>
      </w:r>
      <w:r w:rsidR="009B5AD2">
        <w:rPr>
          <w:rFonts w:cs="Arial"/>
          <w:bCs/>
          <w:sz w:val="22"/>
          <w:szCs w:val="22"/>
        </w:rPr>
        <w:tab/>
        <w:t>R4-231</w:t>
      </w:r>
      <w:r w:rsidR="00163674">
        <w:rPr>
          <w:rFonts w:cs="Arial"/>
          <w:bCs/>
          <w:sz w:val="22"/>
          <w:szCs w:val="22"/>
        </w:rPr>
        <w:t>4455</w:t>
      </w:r>
    </w:p>
    <w:p w14:paraId="38EE63E8" w14:textId="77777777" w:rsidR="004E3939" w:rsidRPr="00DA53A0" w:rsidRDefault="009B5AD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France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21 Aug. 2023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25 Aug. 2023</w:t>
      </w:r>
    </w:p>
    <w:p w14:paraId="2C7B865C" w14:textId="77777777" w:rsidR="00B97703" w:rsidRDefault="00B97703">
      <w:pPr>
        <w:rPr>
          <w:rFonts w:ascii="Arial" w:hAnsi="Arial" w:cs="Arial"/>
        </w:rPr>
      </w:pPr>
    </w:p>
    <w:p w14:paraId="19DE516A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B5AD2" w:rsidRPr="009B5AD2">
        <w:rPr>
          <w:rFonts w:ascii="Arial" w:hAnsi="Arial" w:cs="Arial"/>
          <w:b/>
          <w:sz w:val="22"/>
          <w:szCs w:val="22"/>
        </w:rPr>
        <w:t>Reply LS on beam application time and UE based TA measurement for LTM</w:t>
      </w:r>
    </w:p>
    <w:p w14:paraId="00E608C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9B5AD2">
        <w:rPr>
          <w:rFonts w:ascii="Arial" w:hAnsi="Arial" w:cs="Arial"/>
          <w:b/>
          <w:bCs/>
          <w:sz w:val="22"/>
          <w:szCs w:val="22"/>
        </w:rPr>
        <w:t>R1-2306259</w:t>
      </w:r>
    </w:p>
    <w:p w14:paraId="13EAA54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BD2CA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9B5AD2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50A855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4EA25FE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B5AD2">
        <w:rPr>
          <w:rFonts w:ascii="Arial" w:hAnsi="Arial" w:cs="Arial"/>
          <w:b/>
          <w:sz w:val="22"/>
          <w:szCs w:val="22"/>
        </w:rPr>
        <w:t>RAN4</w:t>
      </w:r>
    </w:p>
    <w:p w14:paraId="05C0664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B5AD2">
        <w:rPr>
          <w:rFonts w:ascii="Arial" w:hAnsi="Arial" w:cs="Arial"/>
          <w:b/>
          <w:bCs/>
          <w:sz w:val="22"/>
          <w:szCs w:val="22"/>
        </w:rPr>
        <w:t>RAN1</w:t>
      </w:r>
      <w:bookmarkEnd w:id="8"/>
      <w:bookmarkEnd w:id="9"/>
      <w:bookmarkEnd w:id="10"/>
    </w:p>
    <w:p w14:paraId="412085F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RAN2, RAN3</w:t>
      </w:r>
    </w:p>
    <w:bookmarkEnd w:id="11"/>
    <w:bookmarkEnd w:id="12"/>
    <w:p w14:paraId="17BF215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6F596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Venkatarao Gonuguntla</w:t>
      </w:r>
    </w:p>
    <w:p w14:paraId="3CC4B65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Venkatarao.gonuguntla@ericsson.com</w:t>
      </w:r>
    </w:p>
    <w:p w14:paraId="61948BE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AC8551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753F5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0B49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AD2">
        <w:rPr>
          <w:rFonts w:ascii="Arial" w:hAnsi="Arial" w:cs="Arial"/>
          <w:bCs/>
        </w:rPr>
        <w:t>NA</w:t>
      </w:r>
    </w:p>
    <w:p w14:paraId="47110CAC" w14:textId="77777777" w:rsidR="00B97703" w:rsidRDefault="00B97703">
      <w:pPr>
        <w:rPr>
          <w:rFonts w:ascii="Arial" w:hAnsi="Arial" w:cs="Arial"/>
        </w:rPr>
      </w:pPr>
    </w:p>
    <w:p w14:paraId="741FFEA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78E9D2" w14:textId="53783D6D" w:rsidR="00B97703" w:rsidRPr="00FF6C41" w:rsidRDefault="009B5AD2" w:rsidP="000F6242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RAN4 would like to thank RAN1 for the LS. RAN4 discussed the beam application time and UE based TA </w:t>
      </w:r>
      <w:r w:rsidR="003617D6">
        <w:rPr>
          <w:rFonts w:ascii="Arial" w:hAnsi="Arial" w:cs="Arial"/>
        </w:rPr>
        <w:t>measurement</w:t>
      </w:r>
      <w:r w:rsidRPr="00FF6C41">
        <w:rPr>
          <w:rFonts w:ascii="Arial" w:hAnsi="Arial" w:cs="Arial"/>
        </w:rPr>
        <w:t xml:space="preserve"> and </w:t>
      </w:r>
      <w:r w:rsidR="00BC756D">
        <w:rPr>
          <w:rFonts w:ascii="Arial" w:hAnsi="Arial" w:cs="Arial"/>
        </w:rPr>
        <w:t xml:space="preserve">kindly </w:t>
      </w:r>
      <w:r w:rsidR="003617D6">
        <w:rPr>
          <w:rFonts w:ascii="Arial" w:hAnsi="Arial" w:cs="Arial"/>
        </w:rPr>
        <w:t>asks</w:t>
      </w:r>
      <w:r w:rsidR="003617D6" w:rsidRPr="00FF6C41">
        <w:rPr>
          <w:rFonts w:ascii="Arial" w:hAnsi="Arial" w:cs="Arial"/>
        </w:rPr>
        <w:t xml:space="preserve"> </w:t>
      </w:r>
      <w:r w:rsidRPr="00FF6C41">
        <w:rPr>
          <w:rFonts w:ascii="Arial" w:hAnsi="Arial" w:cs="Arial"/>
        </w:rPr>
        <w:t>RAN1 to consider following agreements for their future specification work.</w:t>
      </w:r>
    </w:p>
    <w:p w14:paraId="5BAEC3BA" w14:textId="77777777" w:rsidR="009B5AD2" w:rsidRPr="00FF6C41" w:rsidRDefault="009B5AD2" w:rsidP="009B5AD2">
      <w:pPr>
        <w:rPr>
          <w:rFonts w:ascii="Arial" w:hAnsi="Arial" w:cs="Arial"/>
        </w:rPr>
      </w:pPr>
    </w:p>
    <w:p w14:paraId="5A979760" w14:textId="77777777" w:rsidR="009B5AD2" w:rsidRPr="00FF6C41" w:rsidRDefault="009B5AD2" w:rsidP="009B5AD2">
      <w:pPr>
        <w:rPr>
          <w:rFonts w:ascii="Arial" w:hAnsi="Arial" w:cs="Arial"/>
          <w:u w:val="single"/>
        </w:rPr>
      </w:pPr>
      <w:r w:rsidRPr="00FF6C41">
        <w:rPr>
          <w:rFonts w:ascii="Arial" w:hAnsi="Arial" w:cs="Arial"/>
          <w:u w:val="single"/>
        </w:rPr>
        <w:t>Beam application time:</w:t>
      </w:r>
    </w:p>
    <w:p w14:paraId="049731CB" w14:textId="7A0AD5AE" w:rsidR="009B5AD2" w:rsidRPr="00FF6C41" w:rsidRDefault="009B5AD2" w:rsidP="009B5AD2">
      <w:pPr>
        <w:rPr>
          <w:rFonts w:ascii="Arial" w:hAnsi="Arial" w:cs="Arial"/>
        </w:rPr>
      </w:pPr>
      <w:r w:rsidRPr="00FF6C41">
        <w:rPr>
          <w:rFonts w:ascii="Arial" w:hAnsi="Arial" w:cs="Arial"/>
        </w:rPr>
        <w:t>RAN4 is still discussing whether beam application time shall be considered in RAN4 cell switch delay requirements</w:t>
      </w:r>
      <w:r w:rsidR="00FF6C41" w:rsidRPr="00FF6C41">
        <w:rPr>
          <w:rFonts w:ascii="Arial" w:hAnsi="Arial" w:cs="Arial"/>
        </w:rPr>
        <w:t xml:space="preserve"> </w:t>
      </w:r>
      <w:r w:rsidRPr="00FF6C41">
        <w:rPr>
          <w:rFonts w:ascii="Arial" w:hAnsi="Arial" w:cs="Arial"/>
        </w:rPr>
        <w:t>and the possible latency when UE is ready for PDCCH</w:t>
      </w:r>
      <w:r w:rsidR="00DA3A4E">
        <w:rPr>
          <w:rFonts w:ascii="Arial" w:hAnsi="Arial" w:cs="Arial"/>
        </w:rPr>
        <w:t xml:space="preserve"> reception</w:t>
      </w:r>
      <w:r w:rsidRPr="00FF6C41">
        <w:rPr>
          <w:rFonts w:ascii="Arial" w:hAnsi="Arial" w:cs="Arial"/>
        </w:rPr>
        <w:t xml:space="preserve"> in </w:t>
      </w:r>
      <w:r w:rsidR="007D3845">
        <w:rPr>
          <w:rFonts w:ascii="Arial" w:hAnsi="Arial" w:cs="Arial"/>
        </w:rPr>
        <w:t xml:space="preserve">the </w:t>
      </w:r>
      <w:r w:rsidRPr="00FF6C41">
        <w:rPr>
          <w:rFonts w:ascii="Arial" w:hAnsi="Arial" w:cs="Arial"/>
        </w:rPr>
        <w:t xml:space="preserve">target cell in different scenarios. </w:t>
      </w:r>
    </w:p>
    <w:p w14:paraId="375DEC26" w14:textId="77777777" w:rsidR="009B5AD2" w:rsidRPr="00FF6C41" w:rsidRDefault="009B5AD2" w:rsidP="009B5AD2">
      <w:pPr>
        <w:rPr>
          <w:rFonts w:ascii="Arial" w:hAnsi="Arial" w:cs="Arial"/>
        </w:rPr>
      </w:pPr>
    </w:p>
    <w:p w14:paraId="29393883" w14:textId="46D95B35" w:rsidR="009B5AD2" w:rsidRPr="00FF6C41" w:rsidRDefault="009B5AD2" w:rsidP="009B5AD2">
      <w:pPr>
        <w:rPr>
          <w:rFonts w:ascii="Arial" w:hAnsi="Arial" w:cs="Arial"/>
          <w:u w:val="single"/>
        </w:rPr>
      </w:pPr>
      <w:r w:rsidRPr="00FF6C41">
        <w:rPr>
          <w:rFonts w:ascii="Arial" w:hAnsi="Arial" w:cs="Arial"/>
          <w:u w:val="single"/>
        </w:rPr>
        <w:t xml:space="preserve">UE based TA </w:t>
      </w:r>
      <w:r w:rsidR="00BC756D">
        <w:rPr>
          <w:rFonts w:ascii="Arial" w:hAnsi="Arial" w:cs="Arial"/>
          <w:u w:val="single"/>
        </w:rPr>
        <w:t>measurement</w:t>
      </w:r>
      <w:r w:rsidRPr="00FF6C41">
        <w:rPr>
          <w:rFonts w:ascii="Arial" w:hAnsi="Arial" w:cs="Arial"/>
          <w:u w:val="single"/>
        </w:rPr>
        <w:t>:</w:t>
      </w:r>
    </w:p>
    <w:p w14:paraId="1339B0BD" w14:textId="163353EC" w:rsidR="009B5AD2" w:rsidRPr="00FF6C41" w:rsidRDefault="009B5AD2" w:rsidP="009B5AD2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Existing time alignment error (TAE) (from TS 38.104) is provided below. </w:t>
      </w:r>
    </w:p>
    <w:tbl>
      <w:tblPr>
        <w:tblW w:w="0" w:type="auto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0"/>
      </w:tblGrid>
      <w:tr w:rsidR="009B5AD2" w:rsidRPr="00FF6C41" w14:paraId="6DE08679" w14:textId="77777777" w:rsidTr="009B5AD2">
        <w:trPr>
          <w:trHeight w:val="1770"/>
        </w:trPr>
        <w:tc>
          <w:tcPr>
            <w:tcW w:w="9190" w:type="dxa"/>
          </w:tcPr>
          <w:p w14:paraId="130C40DE" w14:textId="77777777" w:rsidR="009B5AD2" w:rsidRPr="00FF6C41" w:rsidRDefault="009B5AD2" w:rsidP="009B5AD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MIMO transmission, at each carrier frequency, TAE shall not exceed 65 ns.</w:t>
            </w:r>
          </w:p>
          <w:p w14:paraId="58213EDE" w14:textId="77777777" w:rsidR="009B5AD2" w:rsidRPr="00FF6C41" w:rsidRDefault="009B5AD2" w:rsidP="009B5AD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intra-band contiguous carrier aggregation, with or without MIMO, TAE shall not exceed 260ns.</w:t>
            </w:r>
          </w:p>
          <w:p w14:paraId="0E75A9A9" w14:textId="77777777" w:rsidR="009B5AD2" w:rsidRPr="00FF6C41" w:rsidRDefault="009B5AD2" w:rsidP="009B5AD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intra-band non-contiguous carrier aggregation, with or without MIMO, TAE shall not exceed 3µs.</w:t>
            </w:r>
          </w:p>
          <w:p w14:paraId="52FA7828" w14:textId="77777777" w:rsidR="009B5AD2" w:rsidRPr="00FF6C41" w:rsidRDefault="009B5AD2" w:rsidP="009B5AD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inter-band carrier aggregation, with or without MIMO, TAE shall not exceed 3µs.</w:t>
            </w:r>
          </w:p>
        </w:tc>
      </w:tr>
    </w:tbl>
    <w:p w14:paraId="2F70368E" w14:textId="77777777" w:rsidR="00536A5B" w:rsidRDefault="00536A5B" w:rsidP="00FB6C23">
      <w:pPr>
        <w:rPr>
          <w:rFonts w:ascii="Arial" w:hAnsi="Arial" w:cs="Arial"/>
          <w:lang w:eastAsia="zh-CN"/>
        </w:rPr>
      </w:pPr>
    </w:p>
    <w:p w14:paraId="1307F04A" w14:textId="77829EBC" w:rsidR="009B5AD2" w:rsidRPr="00FF6C41" w:rsidRDefault="0059652B" w:rsidP="009B5AD2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536A5B">
        <w:rPr>
          <w:rFonts w:ascii="Arial" w:hAnsi="Arial" w:cs="Arial"/>
        </w:rPr>
        <w:t>ue to</w:t>
      </w:r>
      <w:r w:rsidR="00536A5B" w:rsidRPr="00FF6C41">
        <w:rPr>
          <w:rFonts w:ascii="Arial" w:hAnsi="Arial" w:cs="Arial"/>
        </w:rPr>
        <w:t xml:space="preserve"> TA</w:t>
      </w:r>
      <w:r w:rsidR="00536A5B">
        <w:rPr>
          <w:rFonts w:ascii="Arial" w:hAnsi="Arial" w:cs="Arial"/>
        </w:rPr>
        <w:t>E, DL timing</w:t>
      </w:r>
      <w:r w:rsidR="00536A5B" w:rsidRPr="00307AC1">
        <w:rPr>
          <w:rFonts w:eastAsia="DotumChe"/>
          <w:bCs/>
          <w:sz w:val="21"/>
          <w:szCs w:val="21"/>
          <w:lang w:eastAsia="en-US"/>
        </w:rPr>
        <w:t xml:space="preserve"> </w:t>
      </w:r>
      <w:r w:rsidR="00536A5B" w:rsidRPr="00307AC1">
        <w:rPr>
          <w:rFonts w:ascii="Arial" w:hAnsi="Arial" w:cs="Arial"/>
          <w:bCs/>
        </w:rPr>
        <w:t>estimation error</w:t>
      </w:r>
      <w:r w:rsidR="00536A5B">
        <w:rPr>
          <w:rFonts w:ascii="Arial" w:hAnsi="Arial" w:cs="Arial"/>
          <w:bCs/>
        </w:rPr>
        <w:t xml:space="preserve"> (of both serving and target cell)</w:t>
      </w:r>
      <w:r w:rsidR="00536A5B" w:rsidRPr="00307AC1">
        <w:rPr>
          <w:rFonts w:ascii="Arial" w:hAnsi="Arial" w:cs="Arial"/>
          <w:bCs/>
        </w:rPr>
        <w:t xml:space="preserve">, serving cell TA resolution </w:t>
      </w:r>
      <w:r w:rsidR="00536A5B">
        <w:rPr>
          <w:rFonts w:ascii="Arial" w:hAnsi="Arial" w:cs="Arial"/>
          <w:bCs/>
        </w:rPr>
        <w:t xml:space="preserve">error </w:t>
      </w:r>
      <w:r w:rsidR="00536A5B" w:rsidRPr="00307AC1">
        <w:rPr>
          <w:rFonts w:ascii="Arial" w:hAnsi="Arial" w:cs="Arial"/>
          <w:bCs/>
        </w:rPr>
        <w:t>and TA adjustment error</w:t>
      </w:r>
      <w:r w:rsidR="00536A5B">
        <w:rPr>
          <w:rFonts w:ascii="Arial" w:hAnsi="Arial" w:cs="Arial"/>
        </w:rPr>
        <w:t xml:space="preserve">, </w:t>
      </w:r>
      <w:r w:rsidR="00AF1158">
        <w:rPr>
          <w:rFonts w:ascii="Arial" w:hAnsi="Arial" w:cs="Arial"/>
        </w:rPr>
        <w:t xml:space="preserve">though UE may be able to derive the TA, </w:t>
      </w:r>
      <w:r w:rsidR="004116A3">
        <w:rPr>
          <w:rFonts w:ascii="Arial" w:hAnsi="Arial" w:cs="Arial"/>
        </w:rPr>
        <w:t xml:space="preserve">the actual UL Rx timing error at the target gNB may be </w:t>
      </w:r>
      <w:r w:rsidR="00C77672">
        <w:rPr>
          <w:rFonts w:ascii="Arial" w:hAnsi="Arial" w:cs="Arial"/>
        </w:rPr>
        <w:t>larger than</w:t>
      </w:r>
      <w:r w:rsidR="004116A3">
        <w:rPr>
          <w:rFonts w:ascii="Arial" w:hAnsi="Arial" w:cs="Arial"/>
        </w:rPr>
        <w:t xml:space="preserve"> CP</w:t>
      </w:r>
      <w:r w:rsidR="008979BD">
        <w:rPr>
          <w:rFonts w:ascii="Arial" w:hAnsi="Arial" w:cs="Arial"/>
        </w:rPr>
        <w:t xml:space="preserve"> and </w:t>
      </w:r>
      <w:r w:rsidR="006A4523">
        <w:rPr>
          <w:rFonts w:ascii="Arial" w:hAnsi="Arial" w:cs="Arial"/>
        </w:rPr>
        <w:t>may</w:t>
      </w:r>
      <w:r w:rsidR="00A72CCE">
        <w:rPr>
          <w:rFonts w:ascii="Arial" w:hAnsi="Arial" w:cs="Arial"/>
        </w:rPr>
        <w:t xml:space="preserve"> cause </w:t>
      </w:r>
      <w:r w:rsidR="004116A3">
        <w:rPr>
          <w:rFonts w:ascii="Arial" w:hAnsi="Arial" w:cs="Arial"/>
        </w:rPr>
        <w:t xml:space="preserve">performance degradation </w:t>
      </w:r>
      <w:r w:rsidR="00A72CCE">
        <w:rPr>
          <w:rFonts w:ascii="Arial" w:hAnsi="Arial" w:cs="Arial"/>
        </w:rPr>
        <w:t xml:space="preserve">at the gNB. </w:t>
      </w:r>
    </w:p>
    <w:p w14:paraId="18717E95" w14:textId="1DAE0C33" w:rsidR="00A72CCE" w:rsidRDefault="00455AA6" w:rsidP="009B5AD2">
      <w:pPr>
        <w:rPr>
          <w:rFonts w:ascii="Arial" w:hAnsi="Arial" w:cs="Arial"/>
        </w:rPr>
      </w:pPr>
      <w:r>
        <w:rPr>
          <w:rFonts w:ascii="Arial" w:hAnsi="Arial" w:cs="Arial"/>
        </w:rPr>
        <w:t>However, i</w:t>
      </w:r>
      <w:r w:rsidR="009B5AD2" w:rsidRPr="00FF6C41">
        <w:rPr>
          <w:rFonts w:ascii="Arial" w:hAnsi="Arial" w:cs="Arial"/>
        </w:rPr>
        <w:t>n some</w:t>
      </w:r>
      <w:r w:rsidR="003A52F6">
        <w:rPr>
          <w:rFonts w:ascii="Arial" w:hAnsi="Arial" w:cs="Arial"/>
        </w:rPr>
        <w:t xml:space="preserve"> specific</w:t>
      </w:r>
      <w:r w:rsidR="009B5AD2" w:rsidRPr="00FF6C41">
        <w:rPr>
          <w:rFonts w:ascii="Arial" w:hAnsi="Arial" w:cs="Arial"/>
        </w:rPr>
        <w:t xml:space="preserve"> scenarios, </w:t>
      </w:r>
      <w:r w:rsidR="007F24F9">
        <w:rPr>
          <w:rFonts w:ascii="Arial" w:hAnsi="Arial" w:cs="Arial"/>
        </w:rPr>
        <w:t>for example</w:t>
      </w:r>
      <w:r w:rsidR="00B034F2">
        <w:rPr>
          <w:rFonts w:ascii="Arial" w:hAnsi="Arial" w:cs="Arial"/>
        </w:rPr>
        <w:t>,</w:t>
      </w:r>
      <w:r w:rsidR="00605B68">
        <w:rPr>
          <w:rFonts w:ascii="Arial" w:hAnsi="Arial" w:cs="Arial"/>
        </w:rPr>
        <w:t xml:space="preserve"> </w:t>
      </w:r>
      <w:r w:rsidR="00605B68">
        <w:rPr>
          <w:rFonts w:ascii="Arial" w:hAnsi="Arial" w:cs="Arial"/>
        </w:rPr>
        <w:t>in FR1</w:t>
      </w:r>
      <w:r w:rsidR="007F24F9">
        <w:rPr>
          <w:rFonts w:ascii="Arial" w:hAnsi="Arial" w:cs="Arial"/>
        </w:rPr>
        <w:t xml:space="preserve">, </w:t>
      </w:r>
      <w:r w:rsidR="009B5AD2" w:rsidRPr="00FF6C41">
        <w:rPr>
          <w:rFonts w:ascii="Arial" w:hAnsi="Arial" w:cs="Arial"/>
        </w:rPr>
        <w:t xml:space="preserve">where the TAE between serving cell and candidate cell is within </w:t>
      </w:r>
      <w:r w:rsidR="00A72CCE">
        <w:rPr>
          <w:rFonts w:ascii="Arial" w:hAnsi="Arial" w:cs="Arial"/>
        </w:rPr>
        <w:t>260</w:t>
      </w:r>
      <w:r w:rsidR="00536A5B">
        <w:rPr>
          <w:rFonts w:ascii="Arial" w:hAnsi="Arial" w:cs="Arial"/>
        </w:rPr>
        <w:t>ns,</w:t>
      </w:r>
      <w:r w:rsidR="009B5AD2" w:rsidRPr="00FF6C41">
        <w:rPr>
          <w:rFonts w:ascii="Arial" w:hAnsi="Arial" w:cs="Arial"/>
        </w:rPr>
        <w:t xml:space="preserve"> UE may be able to </w:t>
      </w:r>
      <w:r w:rsidR="00C72EA2">
        <w:rPr>
          <w:rFonts w:ascii="Arial" w:hAnsi="Arial" w:cs="Arial"/>
        </w:rPr>
        <w:t xml:space="preserve">derive the TA based on UE based TA </w:t>
      </w:r>
      <w:r w:rsidR="00892060">
        <w:rPr>
          <w:rFonts w:ascii="Arial" w:hAnsi="Arial" w:cs="Arial"/>
        </w:rPr>
        <w:t>measurement</w:t>
      </w:r>
      <w:r w:rsidR="00307AC1">
        <w:rPr>
          <w:rFonts w:ascii="Arial" w:hAnsi="Arial" w:cs="Arial"/>
        </w:rPr>
        <w:t xml:space="preserve"> </w:t>
      </w:r>
      <w:r w:rsidR="00C72EA2">
        <w:rPr>
          <w:rFonts w:ascii="Arial" w:hAnsi="Arial" w:cs="Arial"/>
        </w:rPr>
        <w:t xml:space="preserve">and </w:t>
      </w:r>
      <w:r w:rsidR="00767135">
        <w:rPr>
          <w:rFonts w:ascii="Arial" w:hAnsi="Arial" w:cs="Arial"/>
        </w:rPr>
        <w:t xml:space="preserve">may </w:t>
      </w:r>
      <w:r w:rsidR="009B5AD2" w:rsidRPr="00FF6C41">
        <w:rPr>
          <w:rFonts w:ascii="Arial" w:hAnsi="Arial" w:cs="Arial"/>
        </w:rPr>
        <w:t>meet the UL transmit timing requirements</w:t>
      </w:r>
      <w:r w:rsidR="00307AC1" w:rsidRPr="00307AC1">
        <w:rPr>
          <w:rFonts w:ascii="Arial" w:hAnsi="Arial" w:cs="Arial"/>
        </w:rPr>
        <w:t xml:space="preserve"> </w:t>
      </w:r>
      <w:r w:rsidR="00307AC1">
        <w:rPr>
          <w:rFonts w:ascii="Arial" w:hAnsi="Arial" w:cs="Arial"/>
        </w:rPr>
        <w:t>under good SNR condition</w:t>
      </w:r>
      <w:r w:rsidR="004116A3">
        <w:rPr>
          <w:rFonts w:ascii="Arial" w:hAnsi="Arial" w:cs="Arial"/>
        </w:rPr>
        <w:t xml:space="preserve"> and </w:t>
      </w:r>
      <w:r w:rsidR="00735FEE">
        <w:rPr>
          <w:rFonts w:ascii="Arial" w:hAnsi="Arial" w:cs="Arial"/>
        </w:rPr>
        <w:t xml:space="preserve">may not cause any </w:t>
      </w:r>
      <w:r w:rsidR="004116A3">
        <w:rPr>
          <w:rFonts w:ascii="Arial" w:hAnsi="Arial" w:cs="Arial"/>
        </w:rPr>
        <w:t xml:space="preserve">performance degradation </w:t>
      </w:r>
      <w:r w:rsidR="00735FEE">
        <w:rPr>
          <w:rFonts w:ascii="Arial" w:hAnsi="Arial" w:cs="Arial"/>
        </w:rPr>
        <w:t xml:space="preserve">at the gNB. </w:t>
      </w:r>
      <w:r w:rsidR="009B5AD2" w:rsidRPr="00FF6C41">
        <w:rPr>
          <w:rFonts w:ascii="Arial" w:hAnsi="Arial" w:cs="Arial"/>
        </w:rPr>
        <w:t xml:space="preserve"> </w:t>
      </w:r>
    </w:p>
    <w:p w14:paraId="4A6A4512" w14:textId="77777777" w:rsidR="00A40A13" w:rsidRPr="00FF6C41" w:rsidRDefault="00A40A13" w:rsidP="00A40A13">
      <w:pPr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 w:hint="eastAsia"/>
          <w:lang w:eastAsia="zh-CN"/>
        </w:rPr>
        <w:lastRenderedPageBreak/>
        <w:t>Note:</w:t>
      </w:r>
      <w:r>
        <w:rPr>
          <w:rFonts w:ascii="Arial" w:hAnsi="Arial" w:cs="Arial"/>
        </w:rPr>
        <w:t xml:space="preserve"> TAE of 260ns corresponds to </w:t>
      </w:r>
      <w:r w:rsidRPr="00FF6C41">
        <w:rPr>
          <w:rFonts w:ascii="Arial" w:hAnsi="Arial" w:cs="Arial"/>
        </w:rPr>
        <w:t>Intra-band contiguous carrier aggregation</w:t>
      </w:r>
      <w:r>
        <w:rPr>
          <w:rFonts w:ascii="Arial" w:hAnsi="Arial" w:cs="Arial"/>
        </w:rPr>
        <w:t>, where the CC are collocated.</w:t>
      </w:r>
    </w:p>
    <w:p w14:paraId="56EE634C" w14:textId="77777777" w:rsidR="00A40A13" w:rsidRDefault="00A40A13" w:rsidP="009B5AD2">
      <w:pPr>
        <w:rPr>
          <w:rFonts w:ascii="Arial" w:hAnsi="Arial" w:cs="Arial"/>
        </w:rPr>
      </w:pPr>
    </w:p>
    <w:p w14:paraId="56C4DD0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95F2A8E" w14:textId="50F7CB9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6C41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32F07675" w14:textId="77777777" w:rsidR="00B97703" w:rsidRPr="00FF6C41" w:rsidRDefault="00B97703" w:rsidP="00FF6C41">
      <w:pPr>
        <w:spacing w:after="120"/>
        <w:ind w:left="993" w:hanging="993"/>
        <w:rPr>
          <w:rFonts w:ascii="Arial" w:hAnsi="Arial" w:cs="Arial"/>
        </w:rPr>
      </w:pPr>
      <w:r w:rsidRPr="00FF6C41">
        <w:rPr>
          <w:rFonts w:ascii="Arial" w:hAnsi="Arial" w:cs="Arial"/>
          <w:b/>
        </w:rPr>
        <w:t xml:space="preserve">ACTION: </w:t>
      </w:r>
      <w:r w:rsidRPr="00FF6C41">
        <w:rPr>
          <w:rFonts w:ascii="Arial" w:hAnsi="Arial" w:cs="Arial"/>
          <w:b/>
        </w:rPr>
        <w:tab/>
      </w:r>
      <w:r w:rsidR="00FF6C41" w:rsidRPr="00FF6C41">
        <w:rPr>
          <w:rFonts w:ascii="Arial" w:hAnsi="Arial" w:cs="Arial"/>
        </w:rPr>
        <w:t>RAN4 respectfully asks RAN1 to take the above into their speciation work</w:t>
      </w:r>
    </w:p>
    <w:p w14:paraId="4DFD3D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F6C4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F6C4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2A26B0" w14:textId="77777777" w:rsidR="00FF6C41" w:rsidRDefault="00FF6C41" w:rsidP="00FF6C41">
      <w:pPr>
        <w:rPr>
          <w:bCs/>
        </w:rPr>
      </w:pPr>
      <w:r w:rsidRPr="00481F43">
        <w:rPr>
          <w:bCs/>
        </w:rPr>
        <w:t>TSG RAN WG</w:t>
      </w:r>
      <w:r>
        <w:rPr>
          <w:bCs/>
        </w:rPr>
        <w:t>4</w:t>
      </w:r>
      <w:r w:rsidRPr="00481F43">
        <w:rPr>
          <w:bCs/>
        </w:rPr>
        <w:t xml:space="preserve"> Meeting #1</w:t>
      </w:r>
      <w:r>
        <w:rPr>
          <w:bCs/>
        </w:rPr>
        <w:t>08-bis</w:t>
      </w:r>
      <w:r w:rsidRPr="00481F43">
        <w:rPr>
          <w:bCs/>
        </w:rPr>
        <w:t xml:space="preserve">                     </w:t>
      </w:r>
      <w:r>
        <w:rPr>
          <w:bCs/>
        </w:rPr>
        <w:tab/>
        <w:t>09 to 15, Oct. 2023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>
        <w:rPr>
          <w:bCs/>
        </w:rPr>
        <w:t>Xiamen</w:t>
      </w:r>
      <w:r w:rsidRPr="00481F43">
        <w:rPr>
          <w:bCs/>
        </w:rPr>
        <w:t xml:space="preserve">, </w:t>
      </w:r>
      <w:r>
        <w:rPr>
          <w:bCs/>
        </w:rPr>
        <w:t>China</w:t>
      </w:r>
    </w:p>
    <w:p w14:paraId="771AE83B" w14:textId="77777777" w:rsidR="002F1940" w:rsidRPr="002F1940" w:rsidRDefault="00FF6C41" w:rsidP="00FF6C41">
      <w:r>
        <w:rPr>
          <w:bCs/>
        </w:rPr>
        <w:t xml:space="preserve">TSG RAN WG4 </w:t>
      </w:r>
      <w:r w:rsidRPr="00481F43">
        <w:rPr>
          <w:bCs/>
        </w:rPr>
        <w:t>Meeting #1</w:t>
      </w:r>
      <w:r>
        <w:rPr>
          <w:bCs/>
        </w:rPr>
        <w:t>09</w:t>
      </w:r>
      <w:r w:rsidRPr="00481F43">
        <w:rPr>
          <w:bCs/>
        </w:rPr>
        <w:t xml:space="preserve">                     </w:t>
      </w:r>
      <w:r>
        <w:rPr>
          <w:bCs/>
        </w:rPr>
        <w:tab/>
      </w:r>
      <w:r>
        <w:rPr>
          <w:bCs/>
        </w:rPr>
        <w:tab/>
        <w:t>13 to 17, Nov. 2023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>
        <w:rPr>
          <w:bCs/>
        </w:rPr>
        <w:t>Chicago</w:t>
      </w:r>
      <w:r w:rsidRPr="00481F43">
        <w:rPr>
          <w:bCs/>
        </w:rPr>
        <w:t xml:space="preserve">, </w:t>
      </w:r>
      <w:r>
        <w:rPr>
          <w:bCs/>
        </w:rPr>
        <w:t>USA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9E559" w14:textId="77777777" w:rsidR="0094336D" w:rsidRDefault="0094336D">
      <w:pPr>
        <w:spacing w:after="0"/>
      </w:pPr>
      <w:r>
        <w:separator/>
      </w:r>
    </w:p>
  </w:endnote>
  <w:endnote w:type="continuationSeparator" w:id="0">
    <w:p w14:paraId="0270EB1D" w14:textId="77777777" w:rsidR="0094336D" w:rsidRDefault="009433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68062" w14:textId="77777777" w:rsidR="0094336D" w:rsidRDefault="0094336D">
      <w:pPr>
        <w:spacing w:after="0"/>
      </w:pPr>
      <w:r>
        <w:separator/>
      </w:r>
    </w:p>
  </w:footnote>
  <w:footnote w:type="continuationSeparator" w:id="0">
    <w:p w14:paraId="205FC892" w14:textId="77777777" w:rsidR="0094336D" w:rsidRDefault="009433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7389303">
    <w:abstractNumId w:val="3"/>
  </w:num>
  <w:num w:numId="2" w16cid:durableId="913662928">
    <w:abstractNumId w:val="2"/>
  </w:num>
  <w:num w:numId="3" w16cid:durableId="1789473875">
    <w:abstractNumId w:val="1"/>
  </w:num>
  <w:num w:numId="4" w16cid:durableId="12889672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D06"/>
    <w:rsid w:val="00017F23"/>
    <w:rsid w:val="000F6242"/>
    <w:rsid w:val="001271EC"/>
    <w:rsid w:val="00163674"/>
    <w:rsid w:val="001E0D7F"/>
    <w:rsid w:val="002F1940"/>
    <w:rsid w:val="00307AC1"/>
    <w:rsid w:val="003617D6"/>
    <w:rsid w:val="00365404"/>
    <w:rsid w:val="00383545"/>
    <w:rsid w:val="00397D99"/>
    <w:rsid w:val="003A52F6"/>
    <w:rsid w:val="003D3CD7"/>
    <w:rsid w:val="004116A3"/>
    <w:rsid w:val="00433500"/>
    <w:rsid w:val="00433F71"/>
    <w:rsid w:val="00440D43"/>
    <w:rsid w:val="00455AA6"/>
    <w:rsid w:val="004E3939"/>
    <w:rsid w:val="00536A5B"/>
    <w:rsid w:val="00561B3D"/>
    <w:rsid w:val="005949B4"/>
    <w:rsid w:val="0059652B"/>
    <w:rsid w:val="005F737C"/>
    <w:rsid w:val="00605B68"/>
    <w:rsid w:val="00653245"/>
    <w:rsid w:val="006A4523"/>
    <w:rsid w:val="006C612B"/>
    <w:rsid w:val="00735FEE"/>
    <w:rsid w:val="00767135"/>
    <w:rsid w:val="007D3845"/>
    <w:rsid w:val="007F24F9"/>
    <w:rsid w:val="007F4F92"/>
    <w:rsid w:val="00812C72"/>
    <w:rsid w:val="00892060"/>
    <w:rsid w:val="008979BD"/>
    <w:rsid w:val="008D772F"/>
    <w:rsid w:val="0094336D"/>
    <w:rsid w:val="0099764C"/>
    <w:rsid w:val="009B5AD2"/>
    <w:rsid w:val="009F3BE6"/>
    <w:rsid w:val="00A40A13"/>
    <w:rsid w:val="00A72CCE"/>
    <w:rsid w:val="00A9497B"/>
    <w:rsid w:val="00AD214D"/>
    <w:rsid w:val="00AF1158"/>
    <w:rsid w:val="00B034F2"/>
    <w:rsid w:val="00B97703"/>
    <w:rsid w:val="00BB5928"/>
    <w:rsid w:val="00BC756D"/>
    <w:rsid w:val="00C010BE"/>
    <w:rsid w:val="00C23993"/>
    <w:rsid w:val="00C6687A"/>
    <w:rsid w:val="00C72EA2"/>
    <w:rsid w:val="00C77672"/>
    <w:rsid w:val="00CA767C"/>
    <w:rsid w:val="00CF6087"/>
    <w:rsid w:val="00D643C1"/>
    <w:rsid w:val="00DA3A4E"/>
    <w:rsid w:val="00DA523F"/>
    <w:rsid w:val="00F94497"/>
    <w:rsid w:val="00FB6C23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5541A0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07AC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7AC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7AC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7AC1"/>
    <w:rPr>
      <w:rFonts w:ascii="Arial" w:hAnsi="Arial"/>
      <w:b/>
      <w:b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380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Venkatarao Gonuguntla</cp:lastModifiedBy>
  <cp:revision>18</cp:revision>
  <cp:lastPrinted>2002-04-23T07:10:00Z</cp:lastPrinted>
  <dcterms:created xsi:type="dcterms:W3CDTF">2023-08-25T08:13:00Z</dcterms:created>
  <dcterms:modified xsi:type="dcterms:W3CDTF">2023-08-25T09:41:00Z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2023-08-24T16:12:31Z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ebd8bdc7-ecab-4b64-b14f-3a5163c8dad1</vt:lpwstr>
  </property>
  <property fmtid="{D5CDD505-2E9C-101B-9397-08002B2CF9AE}" pid="8" name="MSIP_Label_83bcef13-7cac-433f-ba1d-47a323951816_ContentBits">
    <vt:lpwstr>0</vt:lpwstr>
  </property>
  <property fmtid="{D5CDD505-2E9C-101B-9397-08002B2CF9AE}" pid="9" name="_2015_ms_pID_725343">
    <vt:lpwstr>(3)wjEpW/KfoJleCb4Ay8V2pDLhaxCcGCufMTawYh/a44w84DSTpecQQEHvLOC4UaH2vwIsP/vW
hjuxVOtJ/MdJkfBeaRGlDYuWNRmycssNwJgp0tqrfETi0O5NXm/WckiNZHHWpUT6JVkk+VLh
ljIEbyOAHxoLVPH9Ku0SgqdIr5duwcVY0PJI0iE5IMn92ofs50pfoSY32bVOjqnNRWY2wM5o
XRAgadPgeY1vY7LP3d</vt:lpwstr>
  </property>
  <property fmtid="{D5CDD505-2E9C-101B-9397-08002B2CF9AE}" pid="10" name="_2015_ms_pID_7253431">
    <vt:lpwstr>DmNKjI2EJTc5ONjE1nG5p2adAzagREJRTfiTVJUgGo3/YwoWNvuzVH
g+jWJML5OHHa0uY2L7+OpnUmhWxlXhFu5lCSfNNnXS8uvkrMsgm6MgarufN5+wpoB+VRGcJ0
3+wLxPDkB2uyx8THfQ1WUAVSkv/MfWm9ZMzve04isrUGwBZURQxGMkY+OZTnDhUZv1R4kYub
ZQpGMCshR3BX+3Cq6dx3HBGBDNLuhAlGGjPE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1692873948</vt:lpwstr>
  </property>
  <property fmtid="{D5CDD505-2E9C-101B-9397-08002B2CF9AE}" pid="15" name="_2015_ms_pID_7253432">
    <vt:lpwstr>0g==</vt:lpwstr>
  </property>
</Properties>
</file>