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C05FC" w14:textId="60DF58C7" w:rsidR="00CC284C" w:rsidRPr="00A64D38" w:rsidRDefault="00CC284C" w:rsidP="00CC284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A64D38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A64D38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A64D38">
        <w:rPr>
          <w:rFonts w:ascii="Arial" w:eastAsia="MS Mincho" w:hAnsi="Arial"/>
          <w:b/>
          <w:sz w:val="24"/>
          <w:szCs w:val="24"/>
        </w:rPr>
        <w:t>WG3 Meeting #11</w:t>
      </w:r>
      <w:r>
        <w:rPr>
          <w:rFonts w:ascii="Arial" w:eastAsia="MS Mincho" w:hAnsi="Arial"/>
          <w:b/>
          <w:sz w:val="24"/>
          <w:szCs w:val="24"/>
        </w:rPr>
        <w:t>9</w:t>
      </w:r>
      <w:r w:rsidRPr="00A64D38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9E1D2D">
        <w:rPr>
          <w:rFonts w:ascii="Arial" w:eastAsia="MS Mincho" w:hAnsi="Arial"/>
          <w:b/>
          <w:bCs/>
          <w:sz w:val="24"/>
          <w:szCs w:val="24"/>
        </w:rPr>
        <w:t>3</w:t>
      </w:r>
      <w:r w:rsidR="00A2065F" w:rsidRPr="00A2065F">
        <w:rPr>
          <w:rFonts w:ascii="Arial" w:eastAsia="MS Mincho" w:hAnsi="Arial"/>
          <w:b/>
          <w:bCs/>
          <w:sz w:val="24"/>
          <w:szCs w:val="24"/>
        </w:rPr>
        <w:t>023</w:t>
      </w:r>
      <w:r w:rsidR="00A2065F">
        <w:rPr>
          <w:rFonts w:ascii="Arial" w:eastAsia="MS Mincho" w:hAnsi="Arial"/>
          <w:b/>
          <w:bCs/>
          <w:sz w:val="24"/>
          <w:szCs w:val="24"/>
        </w:rPr>
        <w:t>9</w:t>
      </w:r>
    </w:p>
    <w:p w14:paraId="140E5271" w14:textId="77777777" w:rsidR="00CC284C" w:rsidRPr="00073717" w:rsidRDefault="00CC284C" w:rsidP="00CC284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</w:pPr>
      <w:r w:rsidRPr="00F72945">
        <w:rPr>
          <w:rFonts w:ascii="Arial" w:hAnsi="Arial" w:cs="Arial"/>
          <w:b/>
          <w:noProof/>
          <w:color w:val="000000"/>
          <w:sz w:val="24"/>
          <w:szCs w:val="24"/>
        </w:rPr>
        <w:t>Athens, Greece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Pr="00610F09">
        <w:rPr>
          <w:rFonts w:ascii="Arial" w:hAnsi="Arial" w:cs="Arial"/>
          <w:b/>
          <w:noProof/>
          <w:color w:val="000000"/>
          <w:sz w:val="24"/>
          <w:szCs w:val="24"/>
        </w:rPr>
        <w:t>February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27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>
        <w:rPr>
          <w:i/>
        </w:rPr>
        <w:tab/>
      </w:r>
      <w:r w:rsidRPr="1560FB07">
        <w:rPr>
          <w:i/>
          <w:iCs/>
          <w:sz w:val="11"/>
          <w:szCs w:val="11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142D2AE2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924B9F">
        <w:rPr>
          <w:rFonts w:cs="Arial"/>
          <w:b/>
          <w:bCs/>
          <w:sz w:val="24"/>
          <w:lang w:val="en-US"/>
        </w:rPr>
        <w:t>10.2.</w:t>
      </w:r>
      <w:r w:rsidR="0093069E">
        <w:rPr>
          <w:rFonts w:cs="Arial"/>
          <w:b/>
          <w:bCs/>
          <w:sz w:val="24"/>
          <w:lang w:val="en-US"/>
        </w:rPr>
        <w:t>1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 Corporation</w:t>
      </w:r>
    </w:p>
    <w:p w14:paraId="2C0E9612" w14:textId="4E3ED658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93069E" w:rsidRPr="0093069E">
        <w:rPr>
          <w:rFonts w:ascii="Arial" w:hAnsi="Arial" w:cs="Arial"/>
          <w:b/>
          <w:bCs/>
          <w:sz w:val="24"/>
        </w:rPr>
        <w:t>Inter-RAT SHR and SPR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6C3D12BD" w14:textId="2E6850A1" w:rsidR="00A02FEC" w:rsidRDefault="00A02FEC" w:rsidP="00A02FEC">
      <w:r w:rsidRPr="00641FF8">
        <w:rPr>
          <w:rFonts w:hint="eastAsia"/>
        </w:rPr>
        <w:t>The o</w:t>
      </w:r>
      <w:r w:rsidRPr="00641FF8">
        <w:t xml:space="preserve">bjective of </w:t>
      </w:r>
      <w:r w:rsidRPr="00641FF8">
        <w:rPr>
          <w:rFonts w:hint="eastAsia"/>
        </w:rPr>
        <w:t xml:space="preserve">this contribution is to </w:t>
      </w:r>
      <w:r w:rsidR="00B625B5" w:rsidRPr="00641FF8">
        <w:rPr>
          <w:rFonts w:hint="eastAsia"/>
        </w:rPr>
        <w:t>analyze</w:t>
      </w:r>
      <w:r w:rsidR="00E26FA7">
        <w:t xml:space="preserve"> </w:t>
      </w:r>
      <w:r>
        <w:t xml:space="preserve">the open issues </w:t>
      </w:r>
      <w:r w:rsidR="007416D6">
        <w:t>on</w:t>
      </w:r>
      <w:r w:rsidR="00CB5A41">
        <w:t xml:space="preserve"> </w:t>
      </w:r>
      <w:r w:rsidR="00085B45">
        <w:t>i</w:t>
      </w:r>
      <w:r w:rsidR="00085B45" w:rsidRPr="00085B45">
        <w:t>nter-RAT SHR and SPR</w:t>
      </w:r>
      <w:r w:rsidRPr="0014570A"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02B0618E" w14:textId="5E14F0FB" w:rsidR="006377A5" w:rsidRDefault="00A94C50" w:rsidP="006377A5">
      <w:pPr>
        <w:pStyle w:val="Heading2"/>
        <w:rPr>
          <w:lang w:eastAsia="zh-CN"/>
        </w:rPr>
      </w:pPr>
      <w:bookmarkStart w:id="1" w:name="P1"/>
      <w:r w:rsidRPr="00A94C50">
        <w:rPr>
          <w:lang w:eastAsia="zh-CN"/>
        </w:rPr>
        <w:t>Inter-RAT SHR</w:t>
      </w:r>
    </w:p>
    <w:p w14:paraId="31DF6192" w14:textId="157AE269" w:rsidR="00871C23" w:rsidRDefault="00871C23" w:rsidP="00871C23">
      <w:r>
        <w:t xml:space="preserve">Successful handover </w:t>
      </w:r>
      <w:r w:rsidRPr="006805D0">
        <w:t>report</w:t>
      </w:r>
      <w:r>
        <w:t xml:space="preserve"> (SHR)</w:t>
      </w:r>
      <w:r w:rsidRPr="006805D0">
        <w:t xml:space="preserve"> </w:t>
      </w:r>
      <w:r>
        <w:t xml:space="preserve">is </w:t>
      </w:r>
      <w:r w:rsidRPr="006805D0">
        <w:t>generated in case of failure events during HO</w:t>
      </w:r>
      <w:r>
        <w:t xml:space="preserve"> (normal</w:t>
      </w:r>
      <w:r w:rsidRPr="00103E68">
        <w:t xml:space="preserve"> </w:t>
      </w:r>
      <w:r w:rsidRPr="006805D0">
        <w:t>HO, CHO, DAPS</w:t>
      </w:r>
      <w:r>
        <w:t>)</w:t>
      </w:r>
      <w:r w:rsidRPr="006805D0">
        <w:t>.</w:t>
      </w:r>
      <w:r w:rsidR="00FF7E4C">
        <w:t xml:space="preserve"> </w:t>
      </w:r>
      <w:r>
        <w:t>For Rel-18, RAN3 agreed to support</w:t>
      </w:r>
      <w:r w:rsidRPr="00871C23">
        <w:t xml:space="preserve"> inter-RAT </w:t>
      </w:r>
      <w:r w:rsidR="00B1705B">
        <w:t xml:space="preserve">SHR for </w:t>
      </w:r>
      <w:r w:rsidRPr="00871C23">
        <w:t xml:space="preserve">HO from NR to LTE </w:t>
      </w:r>
      <w:r w:rsidR="00B1705B">
        <w:t xml:space="preserve">at least T310 and T312 as the triggers </w:t>
      </w:r>
      <w:r w:rsidRPr="00871C23">
        <w:t xml:space="preserve">and also </w:t>
      </w:r>
      <w:r w:rsidR="00B1705B">
        <w:t xml:space="preserve">for HO </w:t>
      </w:r>
      <w:r>
        <w:t>from LTE to NR at least for T304</w:t>
      </w:r>
      <w:r w:rsidR="00B1705B">
        <w:t xml:space="preserve"> as the trigger</w:t>
      </w:r>
      <w:r>
        <w:t xml:space="preserve">. </w:t>
      </w:r>
      <w:r w:rsidR="00B1705B">
        <w:t>In this contribution, we use these two cases as the starting point for analysis.</w:t>
      </w:r>
    </w:p>
    <w:p w14:paraId="0EBD6F9B" w14:textId="13F1F45A" w:rsidR="009D7802" w:rsidRDefault="00B1705B" w:rsidP="00B1705B">
      <w:r>
        <w:t xml:space="preserve">For </w:t>
      </w:r>
      <w:r w:rsidRPr="00871C23">
        <w:t>HO from NR to LTE</w:t>
      </w:r>
      <w:r>
        <w:t xml:space="preserve">, </w:t>
      </w:r>
      <w:r w:rsidR="00B179D7" w:rsidRPr="008F02D0">
        <w:t>T310 and T312 are configured by the source NR cell</w:t>
      </w:r>
      <w:r w:rsidR="00F24417">
        <w:t xml:space="preserve"> in </w:t>
      </w:r>
      <w:proofErr w:type="spellStart"/>
      <w:r w:rsidR="00F24417" w:rsidRPr="00F24417">
        <w:rPr>
          <w:i/>
          <w:iCs/>
        </w:rPr>
        <w:t>successHO</w:t>
      </w:r>
      <w:proofErr w:type="spellEnd"/>
      <w:r w:rsidR="00F24417" w:rsidRPr="00F24417">
        <w:rPr>
          <w:i/>
          <w:iCs/>
        </w:rPr>
        <w:t>-Config</w:t>
      </w:r>
      <w:r w:rsidR="00B179D7" w:rsidRPr="008F02D0">
        <w:t>. During the HO, upon exceeding thresholds on T310 or T312, UE triggers</w:t>
      </w:r>
      <w:r w:rsidR="008F02D0" w:rsidRPr="008F02D0">
        <w:t xml:space="preserve"> to</w:t>
      </w:r>
      <w:r w:rsidR="00B179D7" w:rsidRPr="008F02D0">
        <w:t xml:space="preserve"> </w:t>
      </w:r>
      <w:r w:rsidR="00B179D7">
        <w:t>generat</w:t>
      </w:r>
      <w:r w:rsidR="008F02D0">
        <w:t>e a</w:t>
      </w:r>
      <w:r w:rsidR="00B179D7">
        <w:t xml:space="preserve"> SHR.</w:t>
      </w:r>
      <w:r w:rsidR="00F24417">
        <w:t xml:space="preserve"> UE </w:t>
      </w:r>
      <w:r w:rsidR="00F24417" w:rsidRPr="00F24417">
        <w:t>store</w:t>
      </w:r>
      <w:r w:rsidR="00F24417">
        <w:t>s</w:t>
      </w:r>
      <w:r w:rsidR="00F24417" w:rsidRPr="00F24417">
        <w:t xml:space="preserve"> the successful handover information</w:t>
      </w:r>
      <w:r w:rsidR="009D7802">
        <w:t xml:space="preserve">, including </w:t>
      </w:r>
      <w:r w:rsidR="00F24417" w:rsidRPr="00F24417">
        <w:t>C-RNTI, information</w:t>
      </w:r>
      <w:r w:rsidR="00F24417">
        <w:t xml:space="preserve"> of s</w:t>
      </w:r>
      <w:r w:rsidR="00F24417" w:rsidRPr="00F24417">
        <w:t>ource</w:t>
      </w:r>
      <w:r w:rsidR="00F24417">
        <w:t xml:space="preserve"> </w:t>
      </w:r>
      <w:r w:rsidR="009C0794">
        <w:t xml:space="preserve">and </w:t>
      </w:r>
      <w:r w:rsidR="00F24417">
        <w:t>target</w:t>
      </w:r>
      <w:r w:rsidR="00687C09">
        <w:t xml:space="preserve"> </w:t>
      </w:r>
      <w:r w:rsidR="00F24417" w:rsidRPr="00F24417">
        <w:t xml:space="preserve">cell, </w:t>
      </w:r>
      <w:r w:rsidR="00F24417">
        <w:t>SHR c</w:t>
      </w:r>
      <w:r w:rsidR="00F24417" w:rsidRPr="00F24417">
        <w:t xml:space="preserve">ause, </w:t>
      </w:r>
      <w:r w:rsidR="00F24417">
        <w:t>m</w:t>
      </w:r>
      <w:r w:rsidR="00F24417" w:rsidRPr="00F24417">
        <w:t>easurement results</w:t>
      </w:r>
      <w:r w:rsidR="00444A61">
        <w:t xml:space="preserve"> of source, </w:t>
      </w:r>
      <w:proofErr w:type="gramStart"/>
      <w:r w:rsidR="00444A61">
        <w:t>target</w:t>
      </w:r>
      <w:proofErr w:type="gramEnd"/>
      <w:r w:rsidR="00444A61">
        <w:t xml:space="preserve"> and </w:t>
      </w:r>
      <w:proofErr w:type="spellStart"/>
      <w:r w:rsidR="00444A61" w:rsidRPr="00962B3F">
        <w:t>neighbour</w:t>
      </w:r>
      <w:proofErr w:type="spellEnd"/>
      <w:r w:rsidR="00444A61" w:rsidRPr="00962B3F">
        <w:t xml:space="preserve"> cells</w:t>
      </w:r>
      <w:r w:rsidR="00F24417" w:rsidRPr="00F24417">
        <w:t xml:space="preserve"> in </w:t>
      </w:r>
      <w:r w:rsidR="00F24417">
        <w:t>the r</w:t>
      </w:r>
      <w:r w:rsidR="00F24417" w:rsidRPr="00F24417">
        <w:t>eport</w:t>
      </w:r>
      <w:r w:rsidR="00F24417">
        <w:t>.</w:t>
      </w:r>
      <w:r w:rsidR="00444A61">
        <w:t xml:space="preserve"> </w:t>
      </w:r>
      <w:r w:rsidR="009D7802">
        <w:t>In this case, t</w:t>
      </w:r>
      <w:r w:rsidR="009D7802" w:rsidRPr="009D7802">
        <w:t xml:space="preserve">he receiving node </w:t>
      </w:r>
      <w:r w:rsidR="009D7802">
        <w:t xml:space="preserve">of the SHR </w:t>
      </w:r>
      <w:r w:rsidR="009D7802" w:rsidRPr="009D7802">
        <w:t xml:space="preserve">forwards the SHR to </w:t>
      </w:r>
      <w:r w:rsidR="005972B4">
        <w:t xml:space="preserve">the </w:t>
      </w:r>
      <w:r w:rsidR="009D7802" w:rsidRPr="009D7802">
        <w:t>source NR node</w:t>
      </w:r>
      <w:r w:rsidR="009D7802">
        <w:t xml:space="preserve">, </w:t>
      </w:r>
      <w:r w:rsidR="009D7802" w:rsidRPr="009D7802">
        <w:t>which</w:t>
      </w:r>
      <w:r w:rsidR="009D7802">
        <w:t xml:space="preserve"> configure</w:t>
      </w:r>
      <w:r w:rsidR="005972B4">
        <w:t>d</w:t>
      </w:r>
      <w:r w:rsidR="009D7802" w:rsidRPr="009D7802">
        <w:t xml:space="preserve"> the SHR trigger condition</w:t>
      </w:r>
      <w:r w:rsidR="009D7802">
        <w:t xml:space="preserve">. </w:t>
      </w:r>
    </w:p>
    <w:p w14:paraId="31F6966D" w14:textId="4437D479" w:rsidR="00F66562" w:rsidRDefault="00F66562" w:rsidP="00F66562">
      <w:r>
        <w:t>Similarly, fo</w:t>
      </w:r>
      <w:r w:rsidR="00B179D7">
        <w:t>r HO from LTE to NR, T304</w:t>
      </w:r>
      <w:r w:rsidR="00411D1F" w:rsidRPr="00411D1F">
        <w:t xml:space="preserve"> </w:t>
      </w:r>
      <w:r w:rsidR="00411D1F">
        <w:t xml:space="preserve">is </w:t>
      </w:r>
      <w:r w:rsidR="00411D1F" w:rsidRPr="008F02D0">
        <w:t xml:space="preserve">configured by the </w:t>
      </w:r>
      <w:r w:rsidR="00411D1F">
        <w:t xml:space="preserve">target NR </w:t>
      </w:r>
      <w:r w:rsidR="00411D1F" w:rsidRPr="008F02D0">
        <w:t>cell</w:t>
      </w:r>
      <w:r>
        <w:t xml:space="preserve"> through the </w:t>
      </w:r>
      <w:proofErr w:type="spellStart"/>
      <w:r w:rsidRPr="00F24417">
        <w:rPr>
          <w:i/>
          <w:iCs/>
        </w:rPr>
        <w:t>successHO</w:t>
      </w:r>
      <w:proofErr w:type="spellEnd"/>
      <w:r w:rsidRPr="00F24417">
        <w:rPr>
          <w:i/>
          <w:iCs/>
        </w:rPr>
        <w:t>-Config</w:t>
      </w:r>
      <w:r>
        <w:t xml:space="preserve"> form source cell</w:t>
      </w:r>
      <w:r w:rsidR="00411D1F" w:rsidRPr="008F02D0">
        <w:t>. During the HO, upon exceeding thresholds on</w:t>
      </w:r>
      <w:r w:rsidR="00411D1F">
        <w:t xml:space="preserve"> T3</w:t>
      </w:r>
      <w:r>
        <w:t>0</w:t>
      </w:r>
      <w:r w:rsidR="00411D1F">
        <w:t>4</w:t>
      </w:r>
      <w:r w:rsidR="00411D1F" w:rsidRPr="008F02D0">
        <w:t xml:space="preserve">, UE triggers to </w:t>
      </w:r>
      <w:r w:rsidR="00411D1F">
        <w:t>generate a SHR.</w:t>
      </w:r>
      <w:r w:rsidR="00C22E2D">
        <w:t xml:space="preserve"> </w:t>
      </w:r>
      <w:r>
        <w:t xml:space="preserve">UE </w:t>
      </w:r>
      <w:r w:rsidRPr="00F24417">
        <w:t>store</w:t>
      </w:r>
      <w:r>
        <w:t>s</w:t>
      </w:r>
      <w:r w:rsidRPr="00F24417">
        <w:t xml:space="preserve"> the </w:t>
      </w:r>
      <w:r>
        <w:t xml:space="preserve">same </w:t>
      </w:r>
      <w:r w:rsidRPr="00F24417">
        <w:t>successful handover information</w:t>
      </w:r>
      <w:r>
        <w:t xml:space="preserve"> as stated above in the report. In this case, t</w:t>
      </w:r>
      <w:r w:rsidRPr="009D7802">
        <w:t xml:space="preserve">he receiving node </w:t>
      </w:r>
      <w:r>
        <w:t xml:space="preserve">of the SHR </w:t>
      </w:r>
      <w:r w:rsidRPr="009D7802">
        <w:t xml:space="preserve">forwards the SHR to </w:t>
      </w:r>
      <w:r w:rsidR="005972B4">
        <w:t xml:space="preserve">the </w:t>
      </w:r>
      <w:r>
        <w:t>target</w:t>
      </w:r>
      <w:r w:rsidRPr="009D7802">
        <w:t xml:space="preserve"> NR node</w:t>
      </w:r>
      <w:r>
        <w:t xml:space="preserve">, </w:t>
      </w:r>
      <w:r w:rsidRPr="009D7802">
        <w:t>which</w:t>
      </w:r>
      <w:r>
        <w:t xml:space="preserve"> configure</w:t>
      </w:r>
      <w:r w:rsidR="005972B4">
        <w:t>d</w:t>
      </w:r>
      <w:r w:rsidRPr="009D7802">
        <w:t xml:space="preserve"> the SHR trigger condition</w:t>
      </w:r>
      <w:r>
        <w:t xml:space="preserve">. </w:t>
      </w:r>
    </w:p>
    <w:p w14:paraId="26D897D4" w14:textId="77777777" w:rsidR="00395B8B" w:rsidRDefault="00395B8B" w:rsidP="00395B8B">
      <w:pPr>
        <w:rPr>
          <w:b/>
          <w:bCs/>
        </w:rPr>
      </w:pPr>
      <w:r w:rsidRPr="00B1705B">
        <w:rPr>
          <w:b/>
          <w:bCs/>
        </w:rPr>
        <w:t>Proposal 1: The UE logs the SHR if, during NR to LTE HO, T310 or T312 value exceeds a threshold.</w:t>
      </w:r>
    </w:p>
    <w:p w14:paraId="5E455C1B" w14:textId="77777777" w:rsidR="00395B8B" w:rsidRDefault="00395B8B" w:rsidP="00395B8B">
      <w:pPr>
        <w:rPr>
          <w:b/>
          <w:bCs/>
        </w:rPr>
      </w:pPr>
      <w:r w:rsidRPr="00B1705B">
        <w:rPr>
          <w:b/>
          <w:bCs/>
        </w:rPr>
        <w:t xml:space="preserve">Proposal </w:t>
      </w:r>
      <w:r>
        <w:rPr>
          <w:b/>
          <w:bCs/>
        </w:rPr>
        <w:t>2</w:t>
      </w:r>
      <w:r w:rsidRPr="00B1705B">
        <w:rPr>
          <w:b/>
          <w:bCs/>
        </w:rPr>
        <w:t xml:space="preserve">: The UE logs the SHR if, during </w:t>
      </w:r>
      <w:r>
        <w:rPr>
          <w:b/>
          <w:bCs/>
        </w:rPr>
        <w:t>LTE</w:t>
      </w:r>
      <w:r w:rsidRPr="00B1705B">
        <w:rPr>
          <w:b/>
          <w:bCs/>
        </w:rPr>
        <w:t xml:space="preserve"> to </w:t>
      </w:r>
      <w:r>
        <w:rPr>
          <w:b/>
          <w:bCs/>
        </w:rPr>
        <w:t>NR</w:t>
      </w:r>
      <w:r w:rsidRPr="00B1705B">
        <w:rPr>
          <w:b/>
          <w:bCs/>
        </w:rPr>
        <w:t xml:space="preserve"> HO, T304 value exceeds a threshold.</w:t>
      </w:r>
    </w:p>
    <w:p w14:paraId="349B03C0" w14:textId="3EBDB96E" w:rsidR="00782F26" w:rsidRDefault="00F66562" w:rsidP="00F66562">
      <w:r>
        <w:t xml:space="preserve">In both cases, </w:t>
      </w:r>
      <w:r w:rsidR="00CE7F7D">
        <w:t xml:space="preserve">since the node </w:t>
      </w:r>
      <w:r w:rsidR="005972B4">
        <w:t xml:space="preserve">who </w:t>
      </w:r>
      <w:r w:rsidR="00CE7F7D">
        <w:t xml:space="preserve">configured the trigger condition and will </w:t>
      </w:r>
      <w:r w:rsidR="0089247D">
        <w:t>perform</w:t>
      </w:r>
      <w:r w:rsidR="00CE7F7D">
        <w:t xml:space="preserve"> the root cause analysis is always a NR node, therefore the inter-RAT SHR is preferred to be encoded into NR format.</w:t>
      </w:r>
      <w:r w:rsidR="00782F26">
        <w:t xml:space="preserve"> </w:t>
      </w:r>
    </w:p>
    <w:p w14:paraId="3104E8F5" w14:textId="77777777" w:rsidR="00395B8B" w:rsidRDefault="00395B8B" w:rsidP="00395B8B">
      <w:pPr>
        <w:rPr>
          <w:b/>
          <w:bCs/>
        </w:rPr>
      </w:pPr>
      <w:r>
        <w:rPr>
          <w:b/>
          <w:bCs/>
        </w:rPr>
        <w:t>Proposal 3: To encode the inter-RAT SHR into NR format.</w:t>
      </w:r>
    </w:p>
    <w:p w14:paraId="070077C7" w14:textId="2F02A043" w:rsidR="00F66562" w:rsidRDefault="004247F4" w:rsidP="00F66562">
      <w:r>
        <w:t xml:space="preserve">As for the SHR forwarding mechanism, </w:t>
      </w:r>
      <w:r w:rsidR="00781CB8" w:rsidRPr="001168D3">
        <w:t>ACCESS AND MOBILITY INDICATION</w:t>
      </w:r>
      <w:r w:rsidR="00781CB8">
        <w:t xml:space="preserve"> </w:t>
      </w:r>
      <w:r w:rsidR="00781CB8" w:rsidRPr="00ED628A">
        <w:t>procedure</w:t>
      </w:r>
      <w:r w:rsidR="00781CB8">
        <w:t xml:space="preserve"> </w:t>
      </w:r>
      <w:r w:rsidR="00F66562">
        <w:t>can be reused</w:t>
      </w:r>
      <w:r w:rsidR="001311F4">
        <w:t xml:space="preserve"> for inter-RAT SHR</w:t>
      </w:r>
      <w:r w:rsidR="00F66562">
        <w:t>.</w:t>
      </w:r>
    </w:p>
    <w:p w14:paraId="28EBAF98" w14:textId="47C01A65" w:rsidR="006D72C8" w:rsidRPr="00395B8B" w:rsidRDefault="00395B8B" w:rsidP="00427FCE">
      <w:pPr>
        <w:rPr>
          <w:b/>
          <w:bCs/>
        </w:rPr>
      </w:pPr>
      <w:r>
        <w:rPr>
          <w:b/>
          <w:bCs/>
        </w:rPr>
        <w:t xml:space="preserve">Proposal </w:t>
      </w:r>
      <w:r w:rsidR="00AF6166">
        <w:rPr>
          <w:b/>
          <w:bCs/>
        </w:rPr>
        <w:t>4</w:t>
      </w:r>
      <w:r>
        <w:rPr>
          <w:b/>
          <w:bCs/>
        </w:rPr>
        <w:t xml:space="preserve">: </w:t>
      </w:r>
      <w:r w:rsidR="004247F4" w:rsidRPr="004247F4">
        <w:rPr>
          <w:b/>
          <w:bCs/>
        </w:rPr>
        <w:t xml:space="preserve">ACCESS AND MOBILITY INDICATION procedure is adopted as </w:t>
      </w:r>
      <w:r>
        <w:rPr>
          <w:b/>
          <w:bCs/>
        </w:rPr>
        <w:t>SHR forwarding mechanism</w:t>
      </w:r>
      <w:r w:rsidR="00EB39B2">
        <w:rPr>
          <w:b/>
          <w:bCs/>
        </w:rPr>
        <w:t xml:space="preserve"> for inter-RAT SHR</w:t>
      </w:r>
      <w:r>
        <w:rPr>
          <w:b/>
          <w:bCs/>
        </w:rPr>
        <w:t>.</w:t>
      </w:r>
    </w:p>
    <w:p w14:paraId="435A650B" w14:textId="07A7CD94" w:rsidR="00F5613F" w:rsidRPr="00704A1C" w:rsidRDefault="00A94C50" w:rsidP="00F5613F">
      <w:pPr>
        <w:pStyle w:val="Heading2"/>
      </w:pPr>
      <w:r w:rsidRPr="00A94C50">
        <w:lastRenderedPageBreak/>
        <w:t>SPR</w:t>
      </w:r>
    </w:p>
    <w:p w14:paraId="1F60035F" w14:textId="35E4A370" w:rsidR="006B5ED2" w:rsidRDefault="00601A14" w:rsidP="006B5ED2">
      <w:r>
        <w:t>In previous RAN3 meeting, th</w:t>
      </w:r>
      <w:r>
        <w:rPr>
          <w:rFonts w:hint="eastAsia"/>
        </w:rPr>
        <w:t xml:space="preserve">e following </w:t>
      </w:r>
      <w:r w:rsidR="00EE4B66">
        <w:t xml:space="preserve">three </w:t>
      </w:r>
      <w:r w:rsidR="00D9173D">
        <w:t>case</w:t>
      </w:r>
      <w:r>
        <w:t>s</w:t>
      </w:r>
      <w:r>
        <w:rPr>
          <w:rFonts w:hint="eastAsia"/>
        </w:rPr>
        <w:t xml:space="preserve"> </w:t>
      </w:r>
      <w:r>
        <w:t xml:space="preserve">were agreed for </w:t>
      </w:r>
      <w:r w:rsidR="006B5ED2">
        <w:t>SPR for NR-DC</w:t>
      </w:r>
      <w:r w:rsidR="00C1690E">
        <w:t>:</w:t>
      </w:r>
    </w:p>
    <w:p w14:paraId="416E0710" w14:textId="2C8201AD" w:rsidR="006B5ED2" w:rsidRDefault="006B5ED2" w:rsidP="00601A14">
      <w:pPr>
        <w:spacing w:after="0"/>
        <w:ind w:left="562"/>
      </w:pPr>
      <w:r>
        <w:t>- SN- and MN-initiated classic PSCell change/CPC</w:t>
      </w:r>
    </w:p>
    <w:p w14:paraId="3511C974" w14:textId="67278134" w:rsidR="006B5ED2" w:rsidRDefault="006B5ED2" w:rsidP="00601A14">
      <w:pPr>
        <w:spacing w:after="0"/>
        <w:ind w:left="562"/>
      </w:pPr>
      <w:r>
        <w:t>- intra-SN classic PSCell change/CPC</w:t>
      </w:r>
    </w:p>
    <w:p w14:paraId="6CB8A59D" w14:textId="6D18C860" w:rsidR="006B5ED2" w:rsidRDefault="006B5ED2" w:rsidP="00D9173D">
      <w:pPr>
        <w:ind w:left="278" w:firstLine="284"/>
      </w:pPr>
      <w:r>
        <w:t>- classic Addition/CPA</w:t>
      </w:r>
    </w:p>
    <w:p w14:paraId="3B5AF8A6" w14:textId="57B4D7D6" w:rsidR="00987D29" w:rsidRDefault="00D029E1" w:rsidP="006B5ED2">
      <w:r>
        <w:t xml:space="preserve">For all the </w:t>
      </w:r>
      <w:r w:rsidR="001039C4">
        <w:t xml:space="preserve">above </w:t>
      </w:r>
      <w:r>
        <w:t xml:space="preserve">cases, a same </w:t>
      </w:r>
      <w:r w:rsidR="00987D29" w:rsidRPr="00987D29">
        <w:t xml:space="preserve">rationale </w:t>
      </w:r>
      <w:r w:rsidR="00D36918">
        <w:t xml:space="preserve">can be </w:t>
      </w:r>
      <w:r w:rsidR="001039C4">
        <w:t>applied</w:t>
      </w:r>
      <w:r w:rsidR="00D36918">
        <w:t xml:space="preserve">, that is </w:t>
      </w:r>
      <w:r>
        <w:t>the</w:t>
      </w:r>
      <w:r w:rsidR="00D36918">
        <w:t xml:space="preserve"> node </w:t>
      </w:r>
      <w:r>
        <w:t xml:space="preserve">initiates the procedure should configure the trigger </w:t>
      </w:r>
      <w:r w:rsidR="00732EA5">
        <w:t xml:space="preserve">to UE </w:t>
      </w:r>
      <w:r>
        <w:t>and perform the root cause analysis.</w:t>
      </w:r>
      <w:r w:rsidR="002A77B0">
        <w:t xml:space="preserve"> Based on this rationale we discuss the issue case by case.</w:t>
      </w:r>
    </w:p>
    <w:p w14:paraId="32E615D3" w14:textId="28800904" w:rsidR="0010489A" w:rsidRDefault="002A77B0" w:rsidP="001039C4">
      <w:pPr>
        <w:pStyle w:val="ListParagraph"/>
        <w:numPr>
          <w:ilvl w:val="0"/>
          <w:numId w:val="35"/>
        </w:numPr>
      </w:pPr>
      <w:r>
        <w:t xml:space="preserve">For SN-initiated classic PSCell change/CPC and intra-SN classic PSCell change/CPC, the source SN configures the T310 and T312 triggers and the target SN node configures the T304 trigger. </w:t>
      </w:r>
    </w:p>
    <w:p w14:paraId="137EEE50" w14:textId="3002B730" w:rsidR="0010489A" w:rsidRDefault="002A77B0" w:rsidP="001039C4">
      <w:pPr>
        <w:pStyle w:val="ListParagraph"/>
        <w:numPr>
          <w:ilvl w:val="0"/>
          <w:numId w:val="35"/>
        </w:numPr>
      </w:pPr>
      <w:r>
        <w:t>For MN-initiated classic PSCell change/CPC, MN configures the T310 and T312 triggers</w:t>
      </w:r>
      <w:r w:rsidR="0010489A">
        <w:t xml:space="preserve"> and the target SN node configures the T304 trigger.</w:t>
      </w:r>
    </w:p>
    <w:p w14:paraId="01A45987" w14:textId="4507B2A2" w:rsidR="002A77B0" w:rsidRDefault="002A77B0" w:rsidP="001039C4">
      <w:pPr>
        <w:pStyle w:val="ListParagraph"/>
        <w:numPr>
          <w:ilvl w:val="0"/>
          <w:numId w:val="35"/>
        </w:numPr>
      </w:pPr>
      <w:r>
        <w:t xml:space="preserve">For classic addition/CPA, </w:t>
      </w:r>
      <w:r w:rsidR="004507D7">
        <w:t>only T304 needs to be configured, and this can be done by target SN,</w:t>
      </w:r>
      <w:r>
        <w:t xml:space="preserve"> which </w:t>
      </w:r>
      <w:r w:rsidR="004507D7">
        <w:t>will</w:t>
      </w:r>
      <w:r>
        <w:t xml:space="preserve"> perform root cause analysis.</w:t>
      </w:r>
    </w:p>
    <w:p w14:paraId="535CD22F" w14:textId="64C6EFAA" w:rsidR="001039C4" w:rsidRPr="009C015F" w:rsidRDefault="009C015F" w:rsidP="001039C4">
      <w:pPr>
        <w:rPr>
          <w:b/>
          <w:bCs/>
        </w:rPr>
      </w:pPr>
      <w:r w:rsidRPr="009C015F">
        <w:rPr>
          <w:b/>
          <w:bCs/>
        </w:rPr>
        <w:t>Proposal 5: For SPR</w:t>
      </w:r>
      <w:r>
        <w:rPr>
          <w:b/>
          <w:bCs/>
        </w:rPr>
        <w:t xml:space="preserve"> for NR-DC</w:t>
      </w:r>
      <w:r w:rsidRPr="009C015F">
        <w:rPr>
          <w:b/>
          <w:bCs/>
        </w:rPr>
        <w:t>, the node initiates the procedure should configure the trigger to UE and perform the root cause analysis.</w:t>
      </w:r>
    </w:p>
    <w:p w14:paraId="38808A5C" w14:textId="514F5118" w:rsidR="0010489A" w:rsidRDefault="00C31701" w:rsidP="00AD0041">
      <w:r>
        <w:t>After UE sends the SPR, the receiving node needs to send it to the corresponding node which will perform the root cause analysis.</w:t>
      </w:r>
      <w:r w:rsidR="006B0577">
        <w:t xml:space="preserve"> RAN3 needs to investigate on the details of the SPR forwarding mechanism.</w:t>
      </w:r>
    </w:p>
    <w:p w14:paraId="14ACFF28" w14:textId="7F8F94FF" w:rsidR="00F5613F" w:rsidRPr="00BC657E" w:rsidRDefault="00F5613F" w:rsidP="00F5613F">
      <w:pPr>
        <w:rPr>
          <w:b/>
          <w:bCs/>
        </w:rPr>
      </w:pPr>
      <w:r w:rsidRPr="00BC657E">
        <w:rPr>
          <w:b/>
          <w:bCs/>
        </w:rPr>
        <w:t xml:space="preserve">Proposal </w:t>
      </w:r>
      <w:r w:rsidR="006B0577">
        <w:rPr>
          <w:b/>
          <w:bCs/>
        </w:rPr>
        <w:t xml:space="preserve">6: RAN3 to </w:t>
      </w:r>
      <w:r w:rsidR="006B0577" w:rsidRPr="006B0577">
        <w:rPr>
          <w:b/>
          <w:bCs/>
        </w:rPr>
        <w:t>investigate on the details of the SPR forwarding mechanism</w:t>
      </w:r>
      <w:r w:rsidR="00863E94">
        <w:rPr>
          <w:b/>
          <w:bCs/>
        </w:rPr>
        <w:t>.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7A9E35B1" w14:textId="426377D4" w:rsidR="00A02FEC" w:rsidRDefault="00A02FEC" w:rsidP="00A02FEC">
      <w:r w:rsidRPr="00D76CB8">
        <w:rPr>
          <w:rFonts w:hint="eastAsia"/>
        </w:rPr>
        <w:t xml:space="preserve">In this </w:t>
      </w:r>
      <w:r>
        <w:rPr>
          <w:rFonts w:hint="eastAsia"/>
        </w:rPr>
        <w:t>contribution</w:t>
      </w:r>
      <w:r>
        <w:t>,</w:t>
      </w:r>
      <w:r w:rsidRPr="00D76CB8">
        <w:rPr>
          <w:rFonts w:hint="eastAsia"/>
        </w:rPr>
        <w:t xml:space="preserve"> </w:t>
      </w:r>
      <w:r w:rsidR="00277490">
        <w:t>the open issues on i</w:t>
      </w:r>
      <w:r w:rsidR="00277490" w:rsidRPr="00085B45">
        <w:t>nter-RAT SHR and SPR</w:t>
      </w:r>
      <w:r w:rsidR="001D0094">
        <w:t xml:space="preserve"> </w:t>
      </w:r>
      <w:r>
        <w:t xml:space="preserve">were </w:t>
      </w:r>
      <w:r w:rsidR="005E7804">
        <w:t>discussed,</w:t>
      </w:r>
      <w:r>
        <w:t xml:space="preserve"> </w:t>
      </w:r>
      <w:r w:rsidRPr="00D76CB8">
        <w:rPr>
          <w:rFonts w:hint="eastAsia"/>
        </w:rPr>
        <w:t>and the following proposal</w:t>
      </w:r>
      <w:r>
        <w:rPr>
          <w:rFonts w:hint="eastAsia"/>
        </w:rP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1DEE6524" w14:textId="77777777" w:rsidR="00AF6166" w:rsidRDefault="00AF6166" w:rsidP="00AF6166">
      <w:pPr>
        <w:rPr>
          <w:b/>
          <w:bCs/>
        </w:rPr>
      </w:pPr>
      <w:r w:rsidRPr="00B1705B">
        <w:rPr>
          <w:b/>
          <w:bCs/>
        </w:rPr>
        <w:t>Proposal 1: The UE logs the SHR if, during NR to LTE HO, T310 or T312 value exceeds a threshold.</w:t>
      </w:r>
    </w:p>
    <w:p w14:paraId="5DAADA1D" w14:textId="77777777" w:rsidR="00AF6166" w:rsidRDefault="00AF6166" w:rsidP="00AF6166">
      <w:pPr>
        <w:rPr>
          <w:b/>
          <w:bCs/>
        </w:rPr>
      </w:pPr>
      <w:r w:rsidRPr="00B1705B">
        <w:rPr>
          <w:b/>
          <w:bCs/>
        </w:rPr>
        <w:t xml:space="preserve">Proposal </w:t>
      </w:r>
      <w:r>
        <w:rPr>
          <w:b/>
          <w:bCs/>
        </w:rPr>
        <w:t>2</w:t>
      </w:r>
      <w:r w:rsidRPr="00B1705B">
        <w:rPr>
          <w:b/>
          <w:bCs/>
        </w:rPr>
        <w:t xml:space="preserve">: The UE logs the SHR if, during </w:t>
      </w:r>
      <w:r>
        <w:rPr>
          <w:b/>
          <w:bCs/>
        </w:rPr>
        <w:t>LTE</w:t>
      </w:r>
      <w:r w:rsidRPr="00B1705B">
        <w:rPr>
          <w:b/>
          <w:bCs/>
        </w:rPr>
        <w:t xml:space="preserve"> to </w:t>
      </w:r>
      <w:r>
        <w:rPr>
          <w:b/>
          <w:bCs/>
        </w:rPr>
        <w:t>NR</w:t>
      </w:r>
      <w:r w:rsidRPr="00B1705B">
        <w:rPr>
          <w:b/>
          <w:bCs/>
        </w:rPr>
        <w:t xml:space="preserve"> HO, T304 value exceeds a threshold.</w:t>
      </w:r>
    </w:p>
    <w:p w14:paraId="51760D34" w14:textId="77777777" w:rsidR="00AF6166" w:rsidRDefault="00AF6166" w:rsidP="00AF6166">
      <w:pPr>
        <w:rPr>
          <w:b/>
          <w:bCs/>
        </w:rPr>
      </w:pPr>
      <w:r>
        <w:rPr>
          <w:b/>
          <w:bCs/>
        </w:rPr>
        <w:t>Proposal 3: To encode the inter-RAT SHR into NR format.</w:t>
      </w:r>
    </w:p>
    <w:p w14:paraId="70239605" w14:textId="77777777" w:rsidR="00ED22E7" w:rsidRPr="00395B8B" w:rsidRDefault="00ED22E7" w:rsidP="00ED22E7">
      <w:pPr>
        <w:rPr>
          <w:b/>
          <w:bCs/>
        </w:rPr>
      </w:pPr>
      <w:r>
        <w:rPr>
          <w:b/>
          <w:bCs/>
        </w:rPr>
        <w:t xml:space="preserve">Proposal 4: </w:t>
      </w:r>
      <w:r w:rsidRPr="004247F4">
        <w:rPr>
          <w:b/>
          <w:bCs/>
        </w:rPr>
        <w:t xml:space="preserve">ACCESS AND MOBILITY INDICATION procedure is adopted as </w:t>
      </w:r>
      <w:r>
        <w:rPr>
          <w:b/>
          <w:bCs/>
        </w:rPr>
        <w:t>SHR forwarding mechanism for inter-RAT SHR.</w:t>
      </w:r>
    </w:p>
    <w:p w14:paraId="3B4915DF" w14:textId="77777777" w:rsidR="00863E94" w:rsidRPr="009C015F" w:rsidRDefault="00863E94" w:rsidP="00863E94">
      <w:pPr>
        <w:rPr>
          <w:b/>
          <w:bCs/>
        </w:rPr>
      </w:pPr>
      <w:r w:rsidRPr="009C015F">
        <w:rPr>
          <w:b/>
          <w:bCs/>
        </w:rPr>
        <w:t>Proposal 5: For SPR</w:t>
      </w:r>
      <w:r>
        <w:rPr>
          <w:b/>
          <w:bCs/>
        </w:rPr>
        <w:t xml:space="preserve"> for NR-DC</w:t>
      </w:r>
      <w:r w:rsidRPr="009C015F">
        <w:rPr>
          <w:b/>
          <w:bCs/>
        </w:rPr>
        <w:t>, the node initiates the procedure should configure the trigger to UE and perform the root cause analysis.</w:t>
      </w:r>
    </w:p>
    <w:p w14:paraId="1BEF7ECD" w14:textId="5B6A3A90" w:rsidR="00AF6166" w:rsidRPr="00395B8B" w:rsidRDefault="00863E94" w:rsidP="00AF6166">
      <w:pPr>
        <w:rPr>
          <w:b/>
          <w:bCs/>
        </w:rPr>
      </w:pPr>
      <w:r w:rsidRPr="00BC657E">
        <w:rPr>
          <w:b/>
          <w:bCs/>
        </w:rPr>
        <w:t xml:space="preserve">Proposal </w:t>
      </w:r>
      <w:r>
        <w:rPr>
          <w:b/>
          <w:bCs/>
        </w:rPr>
        <w:t xml:space="preserve">6: RAN3 to </w:t>
      </w:r>
      <w:r w:rsidRPr="006B0577">
        <w:rPr>
          <w:b/>
          <w:bCs/>
        </w:rPr>
        <w:t>investigate on the details of the SPR forwarding mechanism</w:t>
      </w:r>
      <w:r>
        <w:rPr>
          <w:b/>
          <w:bCs/>
        </w:rPr>
        <w:t>.</w:t>
      </w:r>
    </w:p>
    <w:p w14:paraId="6FE2A259" w14:textId="03CF6421" w:rsidR="00FC7F8A" w:rsidRPr="005E7804" w:rsidRDefault="00FC7F8A" w:rsidP="005E7804">
      <w:pPr>
        <w:rPr>
          <w:rFonts w:ascii="Times New Roman" w:hAnsi="Times New Roman"/>
          <w:sz w:val="20"/>
          <w:szCs w:val="20"/>
        </w:rPr>
      </w:pPr>
      <w:bookmarkStart w:id="2" w:name="_Ref78919169"/>
      <w:bookmarkEnd w:id="2"/>
    </w:p>
    <w:sectPr w:rsidR="00FC7F8A" w:rsidRPr="005E7804" w:rsidSect="005020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2F6E8" w14:textId="77777777" w:rsidR="00615E30" w:rsidRDefault="00615E30">
      <w:r>
        <w:separator/>
      </w:r>
    </w:p>
  </w:endnote>
  <w:endnote w:type="continuationSeparator" w:id="0">
    <w:p w14:paraId="4F1E56E8" w14:textId="77777777" w:rsidR="00615E30" w:rsidRDefault="00615E30">
      <w:r>
        <w:continuationSeparator/>
      </w:r>
    </w:p>
  </w:endnote>
  <w:endnote w:type="continuationNotice" w:id="1">
    <w:p w14:paraId="3B1E8310" w14:textId="77777777" w:rsidR="00615E30" w:rsidRDefault="00615E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3D9F7" w14:textId="77777777" w:rsidR="00615E30" w:rsidRDefault="00615E30">
      <w:r>
        <w:separator/>
      </w:r>
    </w:p>
  </w:footnote>
  <w:footnote w:type="continuationSeparator" w:id="0">
    <w:p w14:paraId="2EA2C43B" w14:textId="77777777" w:rsidR="00615E30" w:rsidRDefault="00615E30">
      <w:r>
        <w:continuationSeparator/>
      </w:r>
    </w:p>
  </w:footnote>
  <w:footnote w:type="continuationNotice" w:id="1">
    <w:p w14:paraId="2B408853" w14:textId="77777777" w:rsidR="00615E30" w:rsidRDefault="00615E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6E16B4"/>
    <w:multiLevelType w:val="hybridMultilevel"/>
    <w:tmpl w:val="CBAAC382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7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CF7DCD"/>
    <w:multiLevelType w:val="hybridMultilevel"/>
    <w:tmpl w:val="D5A818B6"/>
    <w:lvl w:ilvl="0" w:tplc="57A0119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8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B1FE3"/>
    <w:multiLevelType w:val="hybridMultilevel"/>
    <w:tmpl w:val="1BB2BCDA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FF3357"/>
    <w:multiLevelType w:val="hybridMultilevel"/>
    <w:tmpl w:val="B83C6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686758">
    <w:abstractNumId w:val="27"/>
  </w:num>
  <w:num w:numId="2" w16cid:durableId="1087388782">
    <w:abstractNumId w:val="28"/>
  </w:num>
  <w:num w:numId="3" w16cid:durableId="2109083204">
    <w:abstractNumId w:val="25"/>
  </w:num>
  <w:num w:numId="4" w16cid:durableId="356736922">
    <w:abstractNumId w:val="1"/>
  </w:num>
  <w:num w:numId="5" w16cid:durableId="139620506">
    <w:abstractNumId w:val="2"/>
  </w:num>
  <w:num w:numId="6" w16cid:durableId="366570647">
    <w:abstractNumId w:val="16"/>
  </w:num>
  <w:num w:numId="7" w16cid:durableId="1136533263">
    <w:abstractNumId w:val="23"/>
  </w:num>
  <w:num w:numId="8" w16cid:durableId="2067491269">
    <w:abstractNumId w:val="21"/>
  </w:num>
  <w:num w:numId="9" w16cid:durableId="582570754">
    <w:abstractNumId w:val="24"/>
  </w:num>
  <w:num w:numId="10" w16cid:durableId="477846596">
    <w:abstractNumId w:val="17"/>
  </w:num>
  <w:num w:numId="11" w16cid:durableId="879320041">
    <w:abstractNumId w:val="9"/>
  </w:num>
  <w:num w:numId="12" w16cid:durableId="1428499027">
    <w:abstractNumId w:val="19"/>
  </w:num>
  <w:num w:numId="13" w16cid:durableId="579365420">
    <w:abstractNumId w:val="8"/>
  </w:num>
  <w:num w:numId="14" w16cid:durableId="470906106">
    <w:abstractNumId w:val="34"/>
  </w:num>
  <w:num w:numId="15" w16cid:durableId="586231677">
    <w:abstractNumId w:val="26"/>
  </w:num>
  <w:num w:numId="16" w16cid:durableId="679238741">
    <w:abstractNumId w:val="6"/>
  </w:num>
  <w:num w:numId="17" w16cid:durableId="362293333">
    <w:abstractNumId w:val="13"/>
  </w:num>
  <w:num w:numId="18" w16cid:durableId="1466237071">
    <w:abstractNumId w:val="7"/>
  </w:num>
  <w:num w:numId="19" w16cid:durableId="716319187">
    <w:abstractNumId w:val="31"/>
  </w:num>
  <w:num w:numId="20" w16cid:durableId="1794134772">
    <w:abstractNumId w:val="33"/>
  </w:num>
  <w:num w:numId="21" w16cid:durableId="288976885">
    <w:abstractNumId w:val="15"/>
  </w:num>
  <w:num w:numId="22" w16cid:durableId="927737744">
    <w:abstractNumId w:val="3"/>
  </w:num>
  <w:num w:numId="23" w16cid:durableId="1481772191">
    <w:abstractNumId w:val="4"/>
  </w:num>
  <w:num w:numId="24" w16cid:durableId="657811105">
    <w:abstractNumId w:val="18"/>
  </w:num>
  <w:num w:numId="25" w16cid:durableId="1658462029">
    <w:abstractNumId w:val="12"/>
  </w:num>
  <w:num w:numId="26" w16cid:durableId="445541410">
    <w:abstractNumId w:val="11"/>
  </w:num>
  <w:num w:numId="27" w16cid:durableId="58465487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004478716">
    <w:abstractNumId w:val="10"/>
  </w:num>
  <w:num w:numId="29" w16cid:durableId="1855142453">
    <w:abstractNumId w:val="29"/>
  </w:num>
  <w:num w:numId="30" w16cid:durableId="1721636727">
    <w:abstractNumId w:val="5"/>
  </w:num>
  <w:num w:numId="31" w16cid:durableId="743141494">
    <w:abstractNumId w:val="22"/>
  </w:num>
  <w:num w:numId="32" w16cid:durableId="881674359">
    <w:abstractNumId w:val="30"/>
  </w:num>
  <w:num w:numId="33" w16cid:durableId="162859177">
    <w:abstractNumId w:val="32"/>
  </w:num>
  <w:num w:numId="34" w16cid:durableId="948661854">
    <w:abstractNumId w:val="14"/>
  </w:num>
  <w:num w:numId="35" w16cid:durableId="2035500153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9FD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96B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A67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4AC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B45"/>
    <w:rsid w:val="00085CA3"/>
    <w:rsid w:val="00085FDA"/>
    <w:rsid w:val="00086311"/>
    <w:rsid w:val="00086732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D63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1D0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740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C4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9A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D1F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1F4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51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C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BA4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1E6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094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06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253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A9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341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078"/>
    <w:rsid w:val="00273925"/>
    <w:rsid w:val="00273A5C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490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7B0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7D6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E9F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AD9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05F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42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DE6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0F62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89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18B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B8B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29E"/>
    <w:rsid w:val="0039731D"/>
    <w:rsid w:val="00397443"/>
    <w:rsid w:val="00397572"/>
    <w:rsid w:val="00397573"/>
    <w:rsid w:val="003977F3"/>
    <w:rsid w:val="003978DA"/>
    <w:rsid w:val="003978F5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070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B84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1F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871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01"/>
    <w:rsid w:val="00423ACE"/>
    <w:rsid w:val="00423C24"/>
    <w:rsid w:val="00423D43"/>
    <w:rsid w:val="00423F98"/>
    <w:rsid w:val="00424078"/>
    <w:rsid w:val="00424203"/>
    <w:rsid w:val="00424543"/>
    <w:rsid w:val="004247F4"/>
    <w:rsid w:val="004249CD"/>
    <w:rsid w:val="004249E5"/>
    <w:rsid w:val="00424BBB"/>
    <w:rsid w:val="00424BBE"/>
    <w:rsid w:val="00424F4E"/>
    <w:rsid w:val="00424F78"/>
    <w:rsid w:val="00424FA7"/>
    <w:rsid w:val="0042503F"/>
    <w:rsid w:val="0042515D"/>
    <w:rsid w:val="00425545"/>
    <w:rsid w:val="0042564C"/>
    <w:rsid w:val="0042572A"/>
    <w:rsid w:val="00425B2C"/>
    <w:rsid w:val="00425CD1"/>
    <w:rsid w:val="00425E08"/>
    <w:rsid w:val="00425E20"/>
    <w:rsid w:val="00425E6D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27FCE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1E2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A61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7D7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63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06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97D25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685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3B4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3DC0"/>
    <w:rsid w:val="0050414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0B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0FE2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1E27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3EA3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22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BC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2B4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3F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9A1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8A4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EE6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5A0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947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804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14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E30"/>
    <w:rsid w:val="00615F35"/>
    <w:rsid w:val="00615F5C"/>
    <w:rsid w:val="0061617A"/>
    <w:rsid w:val="0061642E"/>
    <w:rsid w:val="00616548"/>
    <w:rsid w:val="006167B9"/>
    <w:rsid w:val="006169D1"/>
    <w:rsid w:val="00616CBB"/>
    <w:rsid w:val="00616F15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13C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7A5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5B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89A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AC5"/>
    <w:rsid w:val="00661B6C"/>
    <w:rsid w:val="00661C2F"/>
    <w:rsid w:val="00661CD9"/>
    <w:rsid w:val="00662121"/>
    <w:rsid w:val="00662227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7FA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3A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87C09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337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577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D2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2C8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A1C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1A1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2EA5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6D6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6D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CB8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50"/>
    <w:rsid w:val="00782C7C"/>
    <w:rsid w:val="00782CBF"/>
    <w:rsid w:val="00782E36"/>
    <w:rsid w:val="00782EC5"/>
    <w:rsid w:val="00782F26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5F55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818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939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B67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8B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AC2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46D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D16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9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1E6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C23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CB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7D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208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D44"/>
    <w:rsid w:val="008B6E6A"/>
    <w:rsid w:val="008B7133"/>
    <w:rsid w:val="008B721A"/>
    <w:rsid w:val="008B7BAB"/>
    <w:rsid w:val="008B7EBC"/>
    <w:rsid w:val="008C00DF"/>
    <w:rsid w:val="008C0188"/>
    <w:rsid w:val="008C0196"/>
    <w:rsid w:val="008C0207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2D4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2D0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302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89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70A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B9F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164"/>
    <w:rsid w:val="00930208"/>
    <w:rsid w:val="0093022D"/>
    <w:rsid w:val="0093032A"/>
    <w:rsid w:val="00930348"/>
    <w:rsid w:val="00930667"/>
    <w:rsid w:val="0093069E"/>
    <w:rsid w:val="0093069F"/>
    <w:rsid w:val="009309FC"/>
    <w:rsid w:val="009313B9"/>
    <w:rsid w:val="00931423"/>
    <w:rsid w:val="00931B10"/>
    <w:rsid w:val="00931FCA"/>
    <w:rsid w:val="00932228"/>
    <w:rsid w:val="00932747"/>
    <w:rsid w:val="00932752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89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9B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DA3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87D2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D02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5F"/>
    <w:rsid w:val="009C019F"/>
    <w:rsid w:val="009C04B2"/>
    <w:rsid w:val="009C0584"/>
    <w:rsid w:val="009C079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D7802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52"/>
    <w:rsid w:val="009E1AE9"/>
    <w:rsid w:val="009E1C87"/>
    <w:rsid w:val="009E1D2D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1D21"/>
    <w:rsid w:val="00A026FD"/>
    <w:rsid w:val="00A0272C"/>
    <w:rsid w:val="00A02A60"/>
    <w:rsid w:val="00A02ED4"/>
    <w:rsid w:val="00A02FA6"/>
    <w:rsid w:val="00A02FEC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5F"/>
    <w:rsid w:val="00A206E9"/>
    <w:rsid w:val="00A20747"/>
    <w:rsid w:val="00A20CFE"/>
    <w:rsid w:val="00A20D5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275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1CC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DB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0F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50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8B4"/>
    <w:rsid w:val="00A96BB9"/>
    <w:rsid w:val="00A96D3B"/>
    <w:rsid w:val="00A97285"/>
    <w:rsid w:val="00A975E6"/>
    <w:rsid w:val="00A97761"/>
    <w:rsid w:val="00A97847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87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41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23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66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05B"/>
    <w:rsid w:val="00B174CA"/>
    <w:rsid w:val="00B17776"/>
    <w:rsid w:val="00B178EB"/>
    <w:rsid w:val="00B17916"/>
    <w:rsid w:val="00B179D7"/>
    <w:rsid w:val="00B17C27"/>
    <w:rsid w:val="00B17D01"/>
    <w:rsid w:val="00B17E18"/>
    <w:rsid w:val="00B2002B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DF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27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7C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9CC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527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18F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5B5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1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BA6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0F3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57E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2C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8DE"/>
    <w:rsid w:val="00C03CEB"/>
    <w:rsid w:val="00C03D23"/>
    <w:rsid w:val="00C03DE1"/>
    <w:rsid w:val="00C03F7A"/>
    <w:rsid w:val="00C0409A"/>
    <w:rsid w:val="00C040DE"/>
    <w:rsid w:val="00C040EB"/>
    <w:rsid w:val="00C04209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90E"/>
    <w:rsid w:val="00C16B21"/>
    <w:rsid w:val="00C16B9F"/>
    <w:rsid w:val="00C16C30"/>
    <w:rsid w:val="00C16FEB"/>
    <w:rsid w:val="00C17686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2D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006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701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87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47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218"/>
    <w:rsid w:val="00C90624"/>
    <w:rsid w:val="00C906D5"/>
    <w:rsid w:val="00C90777"/>
    <w:rsid w:val="00C909A3"/>
    <w:rsid w:val="00C90AD5"/>
    <w:rsid w:val="00C90B27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6A0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4CB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04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D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41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84C"/>
    <w:rsid w:val="00CC2BF4"/>
    <w:rsid w:val="00CC2FA4"/>
    <w:rsid w:val="00CC307E"/>
    <w:rsid w:val="00CC30DE"/>
    <w:rsid w:val="00CC3185"/>
    <w:rsid w:val="00CC3239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E7F7D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45F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9E1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0E04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125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18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2EBE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397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73D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553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F2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897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AE3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BBA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4EF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D6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6FA7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94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A9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C92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490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35D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9B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DBB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2E7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046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6D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0AC"/>
    <w:rsid w:val="00EE4187"/>
    <w:rsid w:val="00EE42A5"/>
    <w:rsid w:val="00EE48B2"/>
    <w:rsid w:val="00EE492B"/>
    <w:rsid w:val="00EE495C"/>
    <w:rsid w:val="00EE4ABA"/>
    <w:rsid w:val="00EE4B66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81E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1E5D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0A6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700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3CF"/>
    <w:rsid w:val="00F116C2"/>
    <w:rsid w:val="00F11727"/>
    <w:rsid w:val="00F1179D"/>
    <w:rsid w:val="00F119A6"/>
    <w:rsid w:val="00F11B65"/>
    <w:rsid w:val="00F11CCF"/>
    <w:rsid w:val="00F11D21"/>
    <w:rsid w:val="00F11E5C"/>
    <w:rsid w:val="00F11E70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5C7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9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17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13F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562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49D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7D2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2F64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72E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034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777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0FF7E4C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065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06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065F"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pPr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A02FEC"/>
    <w:pPr>
      <w:spacing w:before="100" w:beforeAutospacing="1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61D5C6-5A7C-4BF8-B8B8-F0E1E75692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C48FAE-F96B-404E-9474-DE47D331C1B4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042397af-7977-45ef-9118-11c18c8623b6"/>
    <ds:schemaRef ds:uri="80530660-24fd-4391-a7a1-d653900fee43"/>
    <ds:schemaRef ds:uri="http://www.w3.org/XML/1998/namespace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AA29343-C575-4A8A-8D85-50E115793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A0A44B-BD31-4586-8DDA-8F851A911D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2</Pages>
  <Words>733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Ma, Hui1</cp:lastModifiedBy>
  <cp:revision>65</cp:revision>
  <dcterms:created xsi:type="dcterms:W3CDTF">2023-02-09T18:55:00Z</dcterms:created>
  <dcterms:modified xsi:type="dcterms:W3CDTF">2023-02-16T00:20:00Z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