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28B5" w14:textId="31D99E66" w:rsidR="00110F09" w:rsidRDefault="00110F09" w:rsidP="00110F09">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9964EE">
        <w:rPr>
          <w:b/>
          <w:i/>
          <w:noProof/>
          <w:sz w:val="28"/>
        </w:rPr>
        <w:t>0205</w:t>
      </w:r>
    </w:p>
    <w:p w14:paraId="07E38F9C" w14:textId="383A529F" w:rsidR="00110F09" w:rsidRDefault="00110F09" w:rsidP="00110F09">
      <w:pPr>
        <w:pStyle w:val="CRCoverPage"/>
        <w:outlineLvl w:val="0"/>
        <w:rPr>
          <w:b/>
          <w:noProof/>
          <w:sz w:val="24"/>
        </w:rPr>
      </w:pPr>
      <w:r>
        <w:rPr>
          <w:b/>
          <w:noProof/>
          <w:sz w:val="24"/>
        </w:rPr>
        <w:t>Athens, Greece, 27 February</w:t>
      </w:r>
      <w:r w:rsidR="0073302E">
        <w:rPr>
          <w:b/>
          <w:noProof/>
          <w:sz w:val="24"/>
        </w:rPr>
        <w:t xml:space="preserve"> </w:t>
      </w:r>
      <w:r>
        <w:rPr>
          <w:b/>
          <w:noProof/>
          <w:sz w:val="24"/>
        </w:rPr>
        <w:t>-</w:t>
      </w:r>
      <w:r w:rsidR="0073302E">
        <w:rPr>
          <w:b/>
          <w:noProof/>
          <w:sz w:val="24"/>
        </w:rPr>
        <w:t xml:space="preserve"> </w:t>
      </w:r>
      <w:r>
        <w:rPr>
          <w:b/>
          <w:noProof/>
          <w:sz w:val="24"/>
        </w:rPr>
        <w:t>3 March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64FB270D" w:rsidR="00E44BED" w:rsidRPr="00B50379" w:rsidRDefault="00E44BED" w:rsidP="00E44BED">
      <w:pPr>
        <w:pStyle w:val="a"/>
        <w:ind w:left="1985" w:hanging="1985"/>
        <w:rPr>
          <w:lang w:eastAsia="ja-JP"/>
        </w:rPr>
      </w:pPr>
      <w:r>
        <w:t>T</w:t>
      </w:r>
      <w:r w:rsidRPr="00B50379">
        <w:t>itle:</w:t>
      </w:r>
      <w:r w:rsidRPr="00B50379">
        <w:tab/>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8AF8BAA" w14:textId="0EB79D88" w:rsidR="00144988" w:rsidRDefault="0052584D" w:rsidP="00861C39">
      <w:pPr>
        <w:rPr>
          <w:bCs/>
        </w:rPr>
      </w:pPr>
      <w:r>
        <w:rPr>
          <w:bCs/>
        </w:rPr>
        <w:t>At the</w:t>
      </w:r>
      <w:r w:rsidR="008F2D90">
        <w:rPr>
          <w:bCs/>
        </w:rPr>
        <w:t xml:space="preserve"> RAN3#118 meeting, some agreements have been reached and FFS remains as follows.</w:t>
      </w:r>
    </w:p>
    <w:p w14:paraId="446C5F2F" w14:textId="77777777" w:rsidR="008F2D90" w:rsidRPr="00C65BE2" w:rsidRDefault="008F2D90" w:rsidP="008F2D90">
      <w:pPr>
        <w:rPr>
          <w:rFonts w:ascii="Calibri" w:eastAsia="DengXian" w:hAnsi="Calibri" w:cs="Calibri"/>
          <w:i/>
          <w:color w:val="FF0000"/>
          <w:sz w:val="16"/>
          <w:szCs w:val="16"/>
        </w:rPr>
      </w:pPr>
      <w:r w:rsidRPr="00C65BE2">
        <w:rPr>
          <w:rFonts w:ascii="Calibri" w:eastAsia="DengXian" w:hAnsi="Calibri" w:cs="Calibri"/>
          <w:i/>
          <w:color w:val="FF0000"/>
          <w:sz w:val="16"/>
          <w:szCs w:val="16"/>
        </w:rPr>
        <w:t>RAN3#118:</w:t>
      </w:r>
    </w:p>
    <w:p w14:paraId="0C8C5C9A" w14:textId="77777777" w:rsidR="008F2D90" w:rsidRDefault="008F2D90" w:rsidP="008F2D90">
      <w:pPr>
        <w:pStyle w:val="ListParagraph3"/>
        <w:overflowPunct w:val="0"/>
        <w:autoSpaceDE w:val="0"/>
        <w:adjustRightInd w:val="0"/>
        <w:spacing w:line="360" w:lineRule="auto"/>
        <w:ind w:left="0"/>
        <w:textAlignment w:val="baseline"/>
        <w:rPr>
          <w:rFonts w:ascii="Calibri" w:hAnsi="Calibri" w:cs="Calibri"/>
          <w:b/>
          <w:bCs/>
          <w:color w:val="00B050"/>
        </w:rPr>
      </w:pPr>
      <w:r w:rsidRPr="0077335F">
        <w:rPr>
          <w:rFonts w:ascii="Calibri" w:eastAsia="MS Mincho" w:hAnsi="Calibri" w:cs="Calibri"/>
          <w:i/>
          <w:iCs/>
          <w:color w:val="00B050"/>
          <w:kern w:val="2"/>
          <w:sz w:val="16"/>
          <w:szCs w:val="16"/>
        </w:rPr>
        <w:t xml:space="preserve">Direct data forwarding is supported by current specification, </w:t>
      </w:r>
      <w:r>
        <w:rPr>
          <w:rFonts w:ascii="Calibri" w:eastAsia="DengXian" w:hAnsi="Calibri" w:cs="Calibri"/>
          <w:i/>
          <w:color w:val="FF0000"/>
          <w:sz w:val="16"/>
          <w:szCs w:val="16"/>
        </w:rPr>
        <w:t>FFS on further signa</w:t>
      </w:r>
      <w:r w:rsidRPr="0077335F">
        <w:rPr>
          <w:rFonts w:ascii="Calibri" w:eastAsia="DengXian" w:hAnsi="Calibri" w:cs="Calibri"/>
          <w:i/>
          <w:color w:val="FF0000"/>
          <w:sz w:val="16"/>
          <w:szCs w:val="16"/>
        </w:rPr>
        <w:t xml:space="preserve">ling enhancement. </w:t>
      </w:r>
    </w:p>
    <w:p w14:paraId="7FC94134" w14:textId="77777777" w:rsidR="008F2D90" w:rsidRPr="0077335F" w:rsidRDefault="008F2D90" w:rsidP="008F2D90">
      <w:pPr>
        <w:pStyle w:val="ListParagraph3"/>
        <w:overflowPunct w:val="0"/>
        <w:autoSpaceDE w:val="0"/>
        <w:adjustRightInd w:val="0"/>
        <w:spacing w:line="360" w:lineRule="auto"/>
        <w:ind w:left="0"/>
        <w:textAlignment w:val="baseline"/>
        <w:rPr>
          <w:rFonts w:ascii="Calibri" w:eastAsia="MS Mincho" w:hAnsi="Calibri" w:cs="Calibri"/>
          <w:i/>
          <w:iCs/>
          <w:color w:val="00B050"/>
          <w:kern w:val="2"/>
          <w:sz w:val="16"/>
          <w:szCs w:val="16"/>
        </w:rPr>
      </w:pPr>
      <w:r w:rsidRPr="0077335F">
        <w:rPr>
          <w:rFonts w:ascii="Calibri" w:eastAsia="MS Mincho" w:hAnsi="Calibri" w:cs="Calibri" w:hint="eastAsia"/>
          <w:i/>
          <w:iCs/>
          <w:color w:val="00B050"/>
          <w:kern w:val="2"/>
          <w:sz w:val="16"/>
          <w:szCs w:val="16"/>
        </w:rPr>
        <w:t>O</w:t>
      </w:r>
      <w:r w:rsidRPr="0077335F">
        <w:rPr>
          <w:rFonts w:ascii="Calibri" w:eastAsia="MS Mincho" w:hAnsi="Calibri" w:cs="Calibri"/>
          <w:i/>
          <w:iCs/>
          <w:color w:val="00B050"/>
          <w:kern w:val="2"/>
          <w:sz w:val="16"/>
          <w:szCs w:val="16"/>
        </w:rPr>
        <w:t xml:space="preserve">ptimization on </w:t>
      </w:r>
      <w:r w:rsidRPr="0077335F">
        <w:rPr>
          <w:rFonts w:ascii="Calibri" w:eastAsia="MS Mincho" w:hAnsi="Calibri" w:cs="Calibri" w:hint="eastAsia"/>
          <w:i/>
          <w:iCs/>
          <w:color w:val="00B050"/>
          <w:kern w:val="2"/>
          <w:sz w:val="16"/>
          <w:szCs w:val="16"/>
        </w:rPr>
        <w:t>in</w:t>
      </w:r>
      <w:r w:rsidRPr="0077335F">
        <w:rPr>
          <w:rFonts w:ascii="Calibri" w:eastAsia="MS Mincho" w:hAnsi="Calibri" w:cs="Calibri"/>
          <w:i/>
          <w:iCs/>
          <w:color w:val="00B050"/>
          <w:kern w:val="2"/>
          <w:sz w:val="16"/>
          <w:szCs w:val="16"/>
        </w:rPr>
        <w:t>direct data forwarding is by network implementation.</w:t>
      </w:r>
    </w:p>
    <w:p w14:paraId="66D7701C" w14:textId="77777777" w:rsidR="008F2D90" w:rsidRPr="0077335F" w:rsidRDefault="008F2D90" w:rsidP="008F2D90">
      <w:pPr>
        <w:pStyle w:val="ListParagraph3"/>
        <w:overflowPunct w:val="0"/>
        <w:autoSpaceDE w:val="0"/>
        <w:adjustRightInd w:val="0"/>
        <w:spacing w:line="360" w:lineRule="auto"/>
        <w:ind w:left="0"/>
        <w:textAlignment w:val="baseline"/>
        <w:rPr>
          <w:rFonts w:ascii="Calibri" w:eastAsia="DengXian" w:hAnsi="Calibri" w:cs="Calibri"/>
          <w:i/>
          <w:color w:val="FF0000"/>
          <w:sz w:val="16"/>
          <w:szCs w:val="16"/>
        </w:rPr>
      </w:pPr>
      <w:r w:rsidRPr="0077335F">
        <w:rPr>
          <w:rFonts w:ascii="Calibri" w:eastAsia="MS Mincho" w:hAnsi="Calibri" w:cs="Calibri"/>
          <w:i/>
          <w:iCs/>
          <w:color w:val="00B050"/>
          <w:kern w:val="2"/>
          <w:sz w:val="16"/>
          <w:szCs w:val="16"/>
        </w:rPr>
        <w:t xml:space="preserve">RAN3 acknowledges unnecessary signaling exchange between MN and the target SN would cause inefficiency and extra latency for CHO + NR-DC, </w:t>
      </w:r>
      <w:r w:rsidRPr="0077335F">
        <w:rPr>
          <w:rFonts w:ascii="Calibri" w:eastAsia="DengXian" w:hAnsi="Calibri" w:cs="Calibri"/>
          <w:i/>
          <w:color w:val="FF0000"/>
          <w:sz w:val="16"/>
          <w:szCs w:val="16"/>
        </w:rPr>
        <w:t>the solution is FFS.</w:t>
      </w:r>
    </w:p>
    <w:p w14:paraId="71F4C4B3" w14:textId="77777777" w:rsidR="008F2D90" w:rsidRPr="0077335F" w:rsidRDefault="008F2D90" w:rsidP="008F2D90">
      <w:pPr>
        <w:pStyle w:val="ListParagraph3"/>
        <w:overflowPunct w:val="0"/>
        <w:autoSpaceDE w:val="0"/>
        <w:adjustRightInd w:val="0"/>
        <w:spacing w:line="360" w:lineRule="auto"/>
        <w:ind w:left="0"/>
        <w:textAlignment w:val="baseline"/>
        <w:rPr>
          <w:rFonts w:ascii="Calibri" w:eastAsia="DengXian" w:hAnsi="Calibri" w:cs="Calibri"/>
          <w:i/>
          <w:color w:val="FF0000"/>
          <w:sz w:val="16"/>
          <w:szCs w:val="16"/>
        </w:rPr>
      </w:pPr>
      <w:r w:rsidRPr="0077335F">
        <w:rPr>
          <w:rFonts w:ascii="Calibri" w:eastAsia="DengXian" w:hAnsi="Calibri" w:cs="Calibri"/>
          <w:i/>
          <w:color w:val="FF0000"/>
          <w:sz w:val="16"/>
          <w:szCs w:val="16"/>
        </w:rPr>
        <w:t>The issue on new problem of CHO with multiple SCGs at the target side is FFS.</w:t>
      </w:r>
    </w:p>
    <w:p w14:paraId="03FE0E04" w14:textId="09DF58A8" w:rsidR="008F2D90" w:rsidRDefault="008F2D90" w:rsidP="008F2D90">
      <w:pPr>
        <w:rPr>
          <w:rFonts w:ascii="Calibri" w:eastAsia="MS Mincho" w:hAnsi="Calibri" w:cs="Calibri"/>
          <w:i/>
          <w:iCs/>
          <w:color w:val="00B050"/>
          <w:kern w:val="2"/>
          <w:sz w:val="16"/>
          <w:szCs w:val="16"/>
        </w:rPr>
      </w:pPr>
      <w:r w:rsidRPr="0077335F">
        <w:rPr>
          <w:rFonts w:ascii="Calibri" w:eastAsia="MS Mincho" w:hAnsi="Calibri" w:cs="Calibri"/>
          <w:i/>
          <w:iCs/>
          <w:color w:val="00B050"/>
          <w:kern w:val="2"/>
          <w:sz w:val="16"/>
          <w:szCs w:val="16"/>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65766DE0" w14:textId="4F106EA5" w:rsidR="0067444D" w:rsidRDefault="00A12031" w:rsidP="0067444D">
      <w:pPr>
        <w:rPr>
          <w:bCs/>
        </w:rPr>
      </w:pPr>
      <w:r w:rsidRPr="00A12031">
        <w:rPr>
          <w:bCs/>
        </w:rPr>
        <w:t>This paper further expands upon our analysis.</w:t>
      </w:r>
    </w:p>
    <w:p w14:paraId="02C771A7" w14:textId="406A7C16" w:rsidR="004000E8" w:rsidRPr="00CE0424" w:rsidRDefault="00230D18" w:rsidP="00CE0424">
      <w:pPr>
        <w:pStyle w:val="Heading1"/>
      </w:pPr>
      <w:bookmarkStart w:id="1" w:name="_Ref178064866"/>
      <w:r>
        <w:t>2</w:t>
      </w:r>
      <w:r>
        <w:tab/>
      </w:r>
      <w:r w:rsidR="004000E8" w:rsidRPr="00CE0424">
        <w:t>Discussion</w:t>
      </w:r>
      <w:bookmarkEnd w:id="1"/>
    </w:p>
    <w:p w14:paraId="11D9DD67" w14:textId="4753DEAE" w:rsidR="003C4A1D" w:rsidRDefault="003C4A1D" w:rsidP="003C4A1D">
      <w:pPr>
        <w:pStyle w:val="Heading2"/>
      </w:pPr>
      <w:r>
        <w:t>2.1</w:t>
      </w:r>
      <w:r>
        <w:tab/>
      </w:r>
      <w:r w:rsidR="00F656C2">
        <w:t>A</w:t>
      </w:r>
      <w:r>
        <w:t xml:space="preserve">void unnecessary </w:t>
      </w:r>
      <w:proofErr w:type="spellStart"/>
      <w:r>
        <w:t>signaling</w:t>
      </w:r>
      <w:proofErr w:type="spellEnd"/>
    </w:p>
    <w:p w14:paraId="70755A23" w14:textId="7E0D3E2A" w:rsidR="00295DCB" w:rsidRDefault="006A3D21" w:rsidP="00682149">
      <w:pPr>
        <w:rPr>
          <w:bCs/>
        </w:rPr>
      </w:pPr>
      <w:r>
        <w:rPr>
          <w:bCs/>
        </w:rPr>
        <w:t>RAN plenary updated the Mobility WID by adding the second bullet for Objective 3.</w:t>
      </w:r>
    </w:p>
    <w:p w14:paraId="631E5497" w14:textId="77777777" w:rsidR="00295DCB" w:rsidRDefault="00295DCB" w:rsidP="00295DCB">
      <w:pPr>
        <w:numPr>
          <w:ilvl w:val="0"/>
          <w:numId w:val="19"/>
        </w:numPr>
        <w:spacing w:after="0"/>
        <w:jc w:val="both"/>
        <w:rPr>
          <w:bCs/>
          <w:lang w:val="en-US"/>
        </w:rPr>
      </w:pPr>
      <w:r>
        <w:rPr>
          <w:bCs/>
          <w:lang w:val="en-US"/>
        </w:rPr>
        <w:t>For CHO including target MCG and target SCG in NR-DC [RAN3]:</w:t>
      </w:r>
    </w:p>
    <w:p w14:paraId="1D9FFE66" w14:textId="77777777" w:rsidR="00295DCB" w:rsidRDefault="00295DCB" w:rsidP="00295DCB">
      <w:pPr>
        <w:numPr>
          <w:ilvl w:val="1"/>
          <w:numId w:val="19"/>
        </w:numPr>
        <w:spacing w:after="0"/>
        <w:jc w:val="both"/>
        <w:rPr>
          <w:bCs/>
          <w:lang w:val="en-US"/>
        </w:rPr>
      </w:pPr>
      <w:r>
        <w:rPr>
          <w:bCs/>
          <w:lang w:val="en-US"/>
        </w:rPr>
        <w:t>to specify data forwarding optimizations; and</w:t>
      </w:r>
    </w:p>
    <w:p w14:paraId="1DEF44DB" w14:textId="77777777" w:rsidR="00295DCB" w:rsidRPr="00AD4C17" w:rsidRDefault="00295DCB" w:rsidP="00295DCB">
      <w:pPr>
        <w:numPr>
          <w:ilvl w:val="1"/>
          <w:numId w:val="19"/>
        </w:numPr>
        <w:spacing w:after="0"/>
        <w:jc w:val="both"/>
        <w:rPr>
          <w:bCs/>
          <w:highlight w:val="green"/>
          <w:lang w:val="en-US"/>
        </w:rPr>
      </w:pPr>
      <w:r w:rsidRPr="00AD4C17">
        <w:rPr>
          <w:bCs/>
          <w:highlight w:val="green"/>
          <w:lang w:val="en-US"/>
        </w:rPr>
        <w:t xml:space="preserve">to specify, if needed, a solution to avoid unnecessary signaling exchange between source MN and target SN. </w:t>
      </w:r>
    </w:p>
    <w:p w14:paraId="1EA60BC5" w14:textId="77777777" w:rsidR="00295DCB" w:rsidRPr="00295DCB" w:rsidRDefault="00295DCB" w:rsidP="00682149">
      <w:pPr>
        <w:rPr>
          <w:bCs/>
          <w:lang w:val="en-US"/>
        </w:rPr>
      </w:pPr>
    </w:p>
    <w:p w14:paraId="1C326649" w14:textId="73A4FB0E" w:rsidR="00104EB9" w:rsidRDefault="00104EB9" w:rsidP="00682149">
      <w:pPr>
        <w:rPr>
          <w:bCs/>
        </w:rPr>
      </w:pPr>
      <w:r>
        <w:rPr>
          <w:bCs/>
        </w:rPr>
        <w:t>In RAN3#11</w:t>
      </w:r>
      <w:r w:rsidR="00193F3E">
        <w:rPr>
          <w:bCs/>
        </w:rPr>
        <w:t>8</w:t>
      </w:r>
      <w:r>
        <w:rPr>
          <w:bCs/>
        </w:rPr>
        <w:t xml:space="preserve"> meeting, companies discussed whether there is any issue when the source SN has reconfigurations however without impact on the target SN. It has been acknowledged there is a need to discuss this potential issue for CHO+MR-DC.</w:t>
      </w:r>
      <w:r w:rsidR="00867140">
        <w:rPr>
          <w:bCs/>
        </w:rPr>
        <w:t xml:space="preserve"> </w:t>
      </w:r>
    </w:p>
    <w:p w14:paraId="5A0049BB" w14:textId="4E8A309D" w:rsidR="00125D2D" w:rsidRDefault="00DE51D0" w:rsidP="003313D9">
      <w:pPr>
        <w:rPr>
          <w:bCs/>
        </w:rPr>
      </w:pPr>
      <w:r>
        <w:rPr>
          <w:bCs/>
        </w:rPr>
        <w:t>W</w:t>
      </w:r>
      <w:r w:rsidR="00201BFA" w:rsidRPr="00730810">
        <w:rPr>
          <w:bCs/>
        </w:rPr>
        <w:t xml:space="preserve">hen only CHO is configured, the MN </w:t>
      </w:r>
      <w:r w:rsidR="00201BFA">
        <w:rPr>
          <w:bCs/>
        </w:rPr>
        <w:t>can know</w:t>
      </w:r>
      <w:r w:rsidR="00201BFA" w:rsidRPr="00730810">
        <w:rPr>
          <w:bCs/>
        </w:rPr>
        <w:t xml:space="preserve"> what type of reconfiguration it makes and determine whether the target node needs to be contacted in order to update the CHO configuration.</w:t>
      </w:r>
      <w:r w:rsidR="003313D9">
        <w:rPr>
          <w:bCs/>
        </w:rPr>
        <w:t xml:space="preserve"> When</w:t>
      </w:r>
      <w:r w:rsidR="00201BFA">
        <w:rPr>
          <w:bCs/>
        </w:rPr>
        <w:t xml:space="preserve"> CHO is configured with CPC or MR-DC, the source SN may decide to reconfigure the UE, e.g., </w:t>
      </w:r>
      <w:proofErr w:type="spellStart"/>
      <w:r w:rsidR="00201BFA">
        <w:rPr>
          <w:bCs/>
        </w:rPr>
        <w:t>measConfig</w:t>
      </w:r>
      <w:proofErr w:type="spellEnd"/>
      <w:r w:rsidR="00201BFA">
        <w:rPr>
          <w:bCs/>
        </w:rPr>
        <w:t xml:space="preserve"> update, </w:t>
      </w:r>
      <w:r w:rsidR="003313D9">
        <w:rPr>
          <w:bCs/>
        </w:rPr>
        <w:t xml:space="preserve">however </w:t>
      </w:r>
      <w:r w:rsidR="00201BFA">
        <w:rPr>
          <w:bCs/>
        </w:rPr>
        <w:t xml:space="preserve">the MN has no clue whether the reconfiguration will impact the target configuration for CHO + CPC or CHO + MR-DC. </w:t>
      </w:r>
    </w:p>
    <w:p w14:paraId="2A52C589" w14:textId="77777777" w:rsidR="0088212D" w:rsidRDefault="00201BFA" w:rsidP="003313D9">
      <w:r>
        <w:rPr>
          <w:bCs/>
        </w:rPr>
        <w:t xml:space="preserve">According to current standards, </w:t>
      </w:r>
      <w:r w:rsidR="003313D9">
        <w:t>if</w:t>
      </w:r>
      <w:r w:rsidR="003313D9" w:rsidRPr="001269C6">
        <w:t xml:space="preserve"> the source SN intends to update the currently used source SN configuration, it forwards th</w:t>
      </w:r>
      <w:r w:rsidR="003313D9">
        <w:t xml:space="preserve">e new </w:t>
      </w:r>
      <w:r w:rsidR="003313D9" w:rsidRPr="001269C6">
        <w:t>config</w:t>
      </w:r>
      <w:r w:rsidR="003313D9">
        <w:t>uration</w:t>
      </w:r>
      <w:r w:rsidR="003313D9" w:rsidRPr="001269C6">
        <w:t xml:space="preserve"> to the MN. The MN </w:t>
      </w:r>
      <w:r w:rsidR="00125D2D">
        <w:t>does</w:t>
      </w:r>
      <w:r w:rsidR="003313D9">
        <w:t xml:space="preserve"> not decode the configuration, but </w:t>
      </w:r>
      <w:r w:rsidR="003313D9" w:rsidRPr="001269C6">
        <w:t>blindly forward</w:t>
      </w:r>
      <w:r w:rsidR="00125D2D">
        <w:t>s</w:t>
      </w:r>
      <w:r w:rsidR="003313D9" w:rsidRPr="001269C6">
        <w:t xml:space="preserve"> it to the target SN</w:t>
      </w:r>
      <w:r w:rsidR="003313D9">
        <w:t>. After receiving the updated config,</w:t>
      </w:r>
      <w:r w:rsidR="003313D9" w:rsidRPr="001269C6">
        <w:t xml:space="preserve"> the target SN respond</w:t>
      </w:r>
      <w:r w:rsidR="002069B8">
        <w:t>s</w:t>
      </w:r>
      <w:r w:rsidR="003313D9" w:rsidRPr="001269C6">
        <w:t xml:space="preserve"> to the MN potentially updating the CPC config</w:t>
      </w:r>
      <w:r w:rsidR="003313D9">
        <w:t>. However,</w:t>
      </w:r>
      <w:r w:rsidR="003313D9" w:rsidRPr="001269C6">
        <w:t xml:space="preserve"> the source SN </w:t>
      </w:r>
      <w:r w:rsidR="003313D9">
        <w:t xml:space="preserve">may </w:t>
      </w:r>
      <w:r w:rsidR="002069B8">
        <w:t xml:space="preserve">not intend to update anything related to conditional </w:t>
      </w:r>
      <w:r w:rsidR="003313D9" w:rsidRPr="001269C6">
        <w:t>config in the UE</w:t>
      </w:r>
      <w:r w:rsidR="003313D9">
        <w:t xml:space="preserve">. In that case the MN indeed does not have to forward the configuration to the target SN, which causes unnecessary delay. </w:t>
      </w:r>
    </w:p>
    <w:p w14:paraId="5EA183F1" w14:textId="3AF6A620" w:rsidR="0088212D" w:rsidRPr="0088212D" w:rsidRDefault="00FF1FD2" w:rsidP="0088212D">
      <w:pPr>
        <w:rPr>
          <w:bCs/>
        </w:rPr>
      </w:pPr>
      <w:r>
        <w:t xml:space="preserve">Since the source SN would decide whether to update some configuration, like </w:t>
      </w:r>
      <w:proofErr w:type="spellStart"/>
      <w:r w:rsidR="00657679" w:rsidRPr="00962B3F">
        <w:rPr>
          <w:i/>
        </w:rPr>
        <w:t>MeasConfig</w:t>
      </w:r>
      <w:proofErr w:type="spellEnd"/>
      <w:r w:rsidR="00657679" w:rsidRPr="00962B3F">
        <w:t xml:space="preserve"> </w:t>
      </w:r>
      <w:r>
        <w:t xml:space="preserve">which </w:t>
      </w:r>
      <w:r w:rsidR="00657679" w:rsidRPr="00962B3F">
        <w:t>covers intra-frequency, inter-frequency and inter-RAT mobility as well as configuration of measurement gaps</w:t>
      </w:r>
      <w:r>
        <w:t xml:space="preserve">, the possibility is </w:t>
      </w:r>
      <w:r>
        <w:lastRenderedPageBreak/>
        <w:t>rather high to reconfig</w:t>
      </w:r>
      <w:r w:rsidR="00131279">
        <w:t>ure</w:t>
      </w:r>
      <w:r>
        <w:t xml:space="preserve"> the UE without impact to CHO.</w:t>
      </w:r>
      <w:r w:rsidR="00647C8D">
        <w:t xml:space="preserve"> </w:t>
      </w:r>
      <w:r w:rsidR="00647C8D" w:rsidRPr="0088212D">
        <w:rPr>
          <w:bCs/>
        </w:rPr>
        <w:t>While some companies have suggested using SRB3 as a means of avoiding this possibility, it remains unclear whether configuring SRB3 is the appropriate course of action in this particular case.</w:t>
      </w:r>
    </w:p>
    <w:p w14:paraId="3D542595" w14:textId="77777777" w:rsidR="003313D9" w:rsidRDefault="003313D9" w:rsidP="003313D9">
      <w:r>
        <w:t>The following figure depicts an example during SN reconfigurations, in which the MN would not be able to tell whether this updated configuration includes only SN measurement config update or others.</w:t>
      </w:r>
    </w:p>
    <w:p w14:paraId="4714FEFE" w14:textId="77777777" w:rsidR="00201BFA" w:rsidRDefault="00201BFA" w:rsidP="00682149">
      <w:pPr>
        <w:rPr>
          <w:bCs/>
        </w:rPr>
      </w:pPr>
    </w:p>
    <w:p w14:paraId="32DA282D" w14:textId="634573EA" w:rsidR="00D807BF" w:rsidRDefault="00D807BF" w:rsidP="00401D50">
      <w:pPr>
        <w:jc w:val="center"/>
      </w:pPr>
    </w:p>
    <w:p w14:paraId="3C10C3A1" w14:textId="3C0CA0D2" w:rsidR="00BD5486" w:rsidRDefault="00600B6B" w:rsidP="00401D50">
      <w:pPr>
        <w:jc w:val="center"/>
      </w:pPr>
      <w:r>
        <w:rPr>
          <w:noProof/>
        </w:rPr>
        <w:drawing>
          <wp:inline distT="0" distB="0" distL="0" distR="0" wp14:anchorId="4873D382" wp14:editId="32A2C861">
            <wp:extent cx="3869012" cy="4056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3226" cy="4071831"/>
                    </a:xfrm>
                    <a:prstGeom prst="rect">
                      <a:avLst/>
                    </a:prstGeom>
                    <a:noFill/>
                  </pic:spPr>
                </pic:pic>
              </a:graphicData>
            </a:graphic>
          </wp:inline>
        </w:drawing>
      </w:r>
    </w:p>
    <w:p w14:paraId="7C0E2443" w14:textId="725B3FE3" w:rsidR="00D30EE2" w:rsidRDefault="00D30EE2" w:rsidP="00D30EE2">
      <w:pPr>
        <w:pStyle w:val="IvDInstructiontext"/>
        <w:jc w:val="center"/>
        <w:rPr>
          <w:i w:val="0"/>
          <w:color w:val="auto"/>
          <w:sz w:val="20"/>
          <w:szCs w:val="20"/>
        </w:rPr>
      </w:pPr>
      <w:r>
        <w:rPr>
          <w:i w:val="0"/>
          <w:color w:val="auto"/>
          <w:sz w:val="20"/>
          <w:szCs w:val="20"/>
        </w:rPr>
        <w:t>Figure 1</w:t>
      </w:r>
      <w:r w:rsidR="0011230B">
        <w:rPr>
          <w:i w:val="0"/>
          <w:color w:val="auto"/>
          <w:sz w:val="20"/>
          <w:szCs w:val="20"/>
        </w:rPr>
        <w:t>.</w:t>
      </w:r>
      <w:r>
        <w:rPr>
          <w:i w:val="0"/>
          <w:color w:val="auto"/>
          <w:sz w:val="20"/>
          <w:szCs w:val="20"/>
        </w:rPr>
        <w:t xml:space="preserve"> </w:t>
      </w:r>
      <w:r w:rsidR="00600B6B">
        <w:rPr>
          <w:i w:val="0"/>
          <w:color w:val="auto"/>
          <w:sz w:val="20"/>
          <w:szCs w:val="20"/>
        </w:rPr>
        <w:t xml:space="preserve">Example </w:t>
      </w:r>
      <w:proofErr w:type="spellStart"/>
      <w:r w:rsidR="00600B6B">
        <w:rPr>
          <w:i w:val="0"/>
          <w:color w:val="auto"/>
          <w:sz w:val="20"/>
          <w:szCs w:val="20"/>
        </w:rPr>
        <w:t>signalings</w:t>
      </w:r>
      <w:proofErr w:type="spellEnd"/>
      <w:r w:rsidR="00600B6B">
        <w:rPr>
          <w:i w:val="0"/>
          <w:color w:val="auto"/>
          <w:sz w:val="20"/>
          <w:szCs w:val="20"/>
        </w:rPr>
        <w:t xml:space="preserve"> for SN reconfigurations</w:t>
      </w:r>
    </w:p>
    <w:p w14:paraId="39AFB5E7" w14:textId="77777777" w:rsidR="002C282C" w:rsidRDefault="002C282C" w:rsidP="00682149"/>
    <w:p w14:paraId="6D8AD05D" w14:textId="7AAEE4E1" w:rsidR="00682149" w:rsidRPr="00730810" w:rsidRDefault="00447C72" w:rsidP="00682149">
      <w:pPr>
        <w:rPr>
          <w:bCs/>
        </w:rPr>
      </w:pPr>
      <w:r>
        <w:rPr>
          <w:bCs/>
        </w:rPr>
        <w:t xml:space="preserve">To </w:t>
      </w:r>
      <w:r w:rsidR="00DD61FF">
        <w:rPr>
          <w:bCs/>
        </w:rPr>
        <w:t xml:space="preserve">make the network </w:t>
      </w:r>
      <w:proofErr w:type="spellStart"/>
      <w:r w:rsidR="00DD61FF">
        <w:rPr>
          <w:bCs/>
        </w:rPr>
        <w:t>signaling</w:t>
      </w:r>
      <w:proofErr w:type="spellEnd"/>
      <w:r w:rsidR="00DD61FF">
        <w:rPr>
          <w:bCs/>
        </w:rPr>
        <w:t xml:space="preserve"> exchange more efficient,</w:t>
      </w:r>
      <w:r w:rsidR="00682149" w:rsidRPr="00730810">
        <w:rPr>
          <w:bCs/>
        </w:rPr>
        <w:t xml:space="preserve"> the SN </w:t>
      </w:r>
      <w:r w:rsidR="00B2408A">
        <w:rPr>
          <w:bCs/>
        </w:rPr>
        <w:t xml:space="preserve">should tell </w:t>
      </w:r>
      <w:r w:rsidR="00655743">
        <w:rPr>
          <w:bCs/>
        </w:rPr>
        <w:t>explicitly</w:t>
      </w:r>
      <w:r w:rsidR="00BF37C9">
        <w:rPr>
          <w:bCs/>
        </w:rPr>
        <w:t xml:space="preserve"> </w:t>
      </w:r>
      <w:r w:rsidR="00682149" w:rsidRPr="00730810">
        <w:rPr>
          <w:bCs/>
        </w:rPr>
        <w:t xml:space="preserve">the MN </w:t>
      </w:r>
      <w:r w:rsidR="00CE1A14">
        <w:rPr>
          <w:bCs/>
        </w:rPr>
        <w:t>whether</w:t>
      </w:r>
      <w:r w:rsidR="00682149" w:rsidRPr="00730810">
        <w:rPr>
          <w:bCs/>
        </w:rPr>
        <w:t xml:space="preserve"> the reconfiguration impacts the conditional target configuration</w:t>
      </w:r>
      <w:r w:rsidR="001E18FA">
        <w:rPr>
          <w:bCs/>
        </w:rPr>
        <w:t xml:space="preserve"> or not</w:t>
      </w:r>
      <w:r w:rsidR="00E62A30">
        <w:rPr>
          <w:bCs/>
        </w:rPr>
        <w:t xml:space="preserve">, </w:t>
      </w:r>
      <w:r w:rsidR="00CA5FF4">
        <w:rPr>
          <w:bCs/>
        </w:rPr>
        <w:t xml:space="preserve">for instance, by an </w:t>
      </w:r>
      <w:r w:rsidR="00E62A30">
        <w:rPr>
          <w:bCs/>
        </w:rPr>
        <w:t>indicator.</w:t>
      </w:r>
    </w:p>
    <w:p w14:paraId="7FD1EB85" w14:textId="76AE47D3" w:rsidR="007B0384" w:rsidRDefault="007B0384" w:rsidP="007B0384">
      <w:pPr>
        <w:pStyle w:val="Proposal"/>
        <w:tabs>
          <w:tab w:val="clear" w:pos="1304"/>
        </w:tabs>
        <w:ind w:left="1701" w:hanging="1701"/>
      </w:pPr>
      <w:bookmarkStart w:id="2" w:name="_Toc110519050"/>
      <w:bookmarkStart w:id="3" w:name="_Toc110932255"/>
      <w:bookmarkStart w:id="4" w:name="_Toc127475115"/>
      <w:r>
        <w:t xml:space="preserve">The </w:t>
      </w:r>
      <w:r w:rsidR="005136A6">
        <w:t xml:space="preserve">source </w:t>
      </w:r>
      <w:r>
        <w:t xml:space="preserve">SN informs the MN whether the target CHO + MR-DC </w:t>
      </w:r>
      <w:r w:rsidR="0001508F">
        <w:t xml:space="preserve">or </w:t>
      </w:r>
      <w:r w:rsidR="00481F2C">
        <w:t>CHO+</w:t>
      </w:r>
      <w:r w:rsidR="0001508F">
        <w:t xml:space="preserve">CPC </w:t>
      </w:r>
      <w:r>
        <w:t xml:space="preserve">configuration needs to be updated, if </w:t>
      </w:r>
      <w:r w:rsidR="00D72590">
        <w:t xml:space="preserve">there is </w:t>
      </w:r>
      <w:r>
        <w:t>a reconfiguration</w:t>
      </w:r>
      <w:bookmarkEnd w:id="2"/>
      <w:bookmarkEnd w:id="3"/>
      <w:r w:rsidR="00714DA0">
        <w:t>.</w:t>
      </w:r>
      <w:bookmarkEnd w:id="4"/>
    </w:p>
    <w:p w14:paraId="58136FE1" w14:textId="52A06AB9" w:rsidR="003D09CC" w:rsidRDefault="004C7AC4" w:rsidP="003D09CC">
      <w:pPr>
        <w:rPr>
          <w:bCs/>
        </w:rPr>
      </w:pPr>
      <w:r>
        <w:rPr>
          <w:bCs/>
        </w:rPr>
        <w:t xml:space="preserve">There is another discussion related to coexistence between Rel-16 and Rel-17 CPC, and an indicator was agreed to be </w:t>
      </w:r>
      <w:r w:rsidR="00995D5F">
        <w:rPr>
          <w:bCs/>
        </w:rPr>
        <w:t>added</w:t>
      </w:r>
      <w:r>
        <w:rPr>
          <w:bCs/>
        </w:rPr>
        <w:t xml:space="preserve"> for the source SN to tell the MN whether the SCG reconfiguration is executed or updated. We are thinking </w:t>
      </w:r>
      <w:r w:rsidR="00B66C03">
        <w:rPr>
          <w:bCs/>
        </w:rPr>
        <w:t>one</w:t>
      </w:r>
      <w:r>
        <w:rPr>
          <w:bCs/>
        </w:rPr>
        <w:t xml:space="preserve"> simplified way </w:t>
      </w:r>
      <w:r w:rsidR="00B66C03">
        <w:rPr>
          <w:bCs/>
        </w:rPr>
        <w:t>would</w:t>
      </w:r>
      <w:r>
        <w:rPr>
          <w:bCs/>
        </w:rPr>
        <w:t xml:space="preserve"> be to reuse the same indicator by extending the value. And MN’s </w:t>
      </w:r>
      <w:proofErr w:type="spellStart"/>
      <w:r>
        <w:rPr>
          <w:bCs/>
        </w:rPr>
        <w:t>behavior</w:t>
      </w:r>
      <w:proofErr w:type="spellEnd"/>
      <w:r>
        <w:rPr>
          <w:bCs/>
        </w:rPr>
        <w:t xml:space="preserve"> needs to be specified but not to release all the conditional reconfigurations. Thus, two options are given below about how to avoid unnecessary </w:t>
      </w:r>
      <w:proofErr w:type="spellStart"/>
      <w:r>
        <w:rPr>
          <w:bCs/>
        </w:rPr>
        <w:t>signaling</w:t>
      </w:r>
      <w:proofErr w:type="spellEnd"/>
      <w:r>
        <w:rPr>
          <w:bCs/>
        </w:rPr>
        <w:t xml:space="preserve"> between the MN and the target SN.</w:t>
      </w:r>
    </w:p>
    <w:p w14:paraId="297F7D97" w14:textId="43C43775" w:rsidR="004C7AC4" w:rsidRDefault="004C7AC4" w:rsidP="003D09CC">
      <w:pPr>
        <w:rPr>
          <w:bCs/>
        </w:rPr>
      </w:pPr>
      <w:r w:rsidRPr="001B7AD2">
        <w:rPr>
          <w:b/>
          <w:u w:val="single"/>
        </w:rPr>
        <w:t>Option 1:</w:t>
      </w:r>
      <w:r>
        <w:rPr>
          <w:bCs/>
        </w:rPr>
        <w:t xml:space="preserve"> Introduce a new indicator in the SN MODIFICATION REQUIRED message to </w:t>
      </w:r>
      <w:r>
        <w:t>indicate</w:t>
      </w:r>
      <w:r w:rsidRPr="009D0FAB">
        <w:t xml:space="preserve"> </w:t>
      </w:r>
      <w:r w:rsidRPr="00DF3163">
        <w:t>whether</w:t>
      </w:r>
      <w:r w:rsidRPr="009D0FAB">
        <w:t xml:space="preserve"> </w:t>
      </w:r>
      <w:r w:rsidRPr="00DF3163">
        <w:t>the source SCG reconfiguration has impact on the target SCG or not.</w:t>
      </w:r>
      <w:r>
        <w:rPr>
          <w:bCs/>
        </w:rPr>
        <w:t xml:space="preserve"> </w:t>
      </w:r>
    </w:p>
    <w:p w14:paraId="599060CA" w14:textId="0333F0CF" w:rsidR="004C7AC4" w:rsidRDefault="004C7AC4" w:rsidP="003D09CC">
      <w:pPr>
        <w:rPr>
          <w:bCs/>
        </w:rPr>
      </w:pPr>
      <w:r w:rsidRPr="001B7AD2">
        <w:rPr>
          <w:b/>
          <w:u w:val="single"/>
        </w:rPr>
        <w:t>Option 2:</w:t>
      </w:r>
      <w:r>
        <w:rPr>
          <w:bCs/>
        </w:rPr>
        <w:t xml:space="preserve"> reuse the existing indicator SCG Reconfiguration </w:t>
      </w:r>
      <w:r w:rsidR="000D63AD">
        <w:rPr>
          <w:bCs/>
        </w:rPr>
        <w:t xml:space="preserve">Notification IE by </w:t>
      </w:r>
      <w:r w:rsidR="00F2606C">
        <w:rPr>
          <w:bCs/>
        </w:rPr>
        <w:t>extending the</w:t>
      </w:r>
      <w:r w:rsidR="000D63AD">
        <w:rPr>
          <w:bCs/>
        </w:rPr>
        <w:t xml:space="preserve"> value</w:t>
      </w:r>
      <w:r w:rsidR="00F2606C">
        <w:rPr>
          <w:bCs/>
        </w:rPr>
        <w:t>s</w:t>
      </w:r>
      <w:r w:rsidR="000D63AD">
        <w:rPr>
          <w:bCs/>
        </w:rPr>
        <w:t>.</w:t>
      </w:r>
    </w:p>
    <w:p w14:paraId="4E6640FE" w14:textId="6A2D93CA" w:rsidR="001B7AD2" w:rsidRDefault="00AD3B0F" w:rsidP="00AD3B0F">
      <w:pPr>
        <w:rPr>
          <w:bCs/>
        </w:rPr>
      </w:pPr>
      <w:r w:rsidRPr="00AD3B0F">
        <w:rPr>
          <w:bCs/>
        </w:rPr>
        <w:t xml:space="preserve">While both options are being compared, there is a slight preference towards Option 1 as it is deemed a more straightforward approach. </w:t>
      </w:r>
      <w:r w:rsidR="008B5DE2">
        <w:rPr>
          <w:bCs/>
        </w:rPr>
        <w:t xml:space="preserve">The </w:t>
      </w:r>
      <w:r w:rsidR="009C09EE">
        <w:rPr>
          <w:bCs/>
        </w:rPr>
        <w:t xml:space="preserve">corresponding </w:t>
      </w:r>
      <w:r w:rsidR="008B5DE2">
        <w:rPr>
          <w:bCs/>
        </w:rPr>
        <w:t>CR is provided in [2].</w:t>
      </w:r>
    </w:p>
    <w:p w14:paraId="468626DF" w14:textId="77777777" w:rsidR="00AD3B0F" w:rsidRDefault="00AD3B0F" w:rsidP="00AD3B0F">
      <w:pPr>
        <w:overflowPunct/>
        <w:spacing w:after="0"/>
        <w:textAlignment w:val="auto"/>
        <w:rPr>
          <w:bCs/>
        </w:rPr>
      </w:pPr>
    </w:p>
    <w:p w14:paraId="3897136F" w14:textId="2C7C115A" w:rsidR="004C7AC4" w:rsidRDefault="00D75DF0" w:rsidP="00EB38F6">
      <w:pPr>
        <w:pStyle w:val="Proposal"/>
        <w:tabs>
          <w:tab w:val="clear" w:pos="1304"/>
        </w:tabs>
        <w:ind w:left="1701" w:hanging="1701"/>
      </w:pPr>
      <w:bookmarkStart w:id="5" w:name="_Toc127475116"/>
      <w:r>
        <w:lastRenderedPageBreak/>
        <w:t xml:space="preserve">RAN3 to agree </w:t>
      </w:r>
      <w:r w:rsidR="00A43987">
        <w:t xml:space="preserve">introducing </w:t>
      </w:r>
      <w:r w:rsidR="00193F3E">
        <w:t xml:space="preserve">a new indicator to indicate </w:t>
      </w:r>
      <w:r w:rsidR="00C16A73">
        <w:t>whether the source SCG reconfiguration would impact the target SCG or not.</w:t>
      </w:r>
      <w:bookmarkEnd w:id="5"/>
      <w:r w:rsidR="00834243">
        <w:t xml:space="preserve"> </w:t>
      </w:r>
    </w:p>
    <w:p w14:paraId="458DAF82" w14:textId="58E9AB2E" w:rsidR="0032128B" w:rsidRDefault="0032128B" w:rsidP="0032128B">
      <w:pPr>
        <w:pStyle w:val="Proposal"/>
        <w:numPr>
          <w:ilvl w:val="0"/>
          <w:numId w:val="0"/>
        </w:numPr>
        <w:ind w:left="1304" w:hanging="1304"/>
      </w:pPr>
    </w:p>
    <w:p w14:paraId="2672CFBB" w14:textId="0C0D812E" w:rsidR="006D7574" w:rsidRDefault="003D518F" w:rsidP="003D518F">
      <w:pPr>
        <w:pStyle w:val="Heading2"/>
      </w:pPr>
      <w:r>
        <w:t>2.2</w:t>
      </w:r>
      <w:r>
        <w:tab/>
      </w:r>
      <w:r w:rsidR="006D7574">
        <w:t>Data forwarding aspects</w:t>
      </w:r>
    </w:p>
    <w:p w14:paraId="1758E388" w14:textId="416EDB25" w:rsidR="00351DB3" w:rsidRDefault="004668BF" w:rsidP="009D67E7">
      <w:pPr>
        <w:rPr>
          <w:bCs/>
        </w:rPr>
      </w:pPr>
      <w:r>
        <w:rPr>
          <w:bCs/>
        </w:rPr>
        <w:t>RAN3 has agreed to support early data forwarding for CHO with target SCG</w:t>
      </w:r>
      <w:r w:rsidR="00E31264">
        <w:rPr>
          <w:bCs/>
        </w:rPr>
        <w:t>, and a WA was made that both direct and indirect data forwarding will be supported.</w:t>
      </w:r>
    </w:p>
    <w:p w14:paraId="54D9F375" w14:textId="06040DCA" w:rsidR="009E5F28" w:rsidRDefault="00A9034C" w:rsidP="009D67E7">
      <w:pPr>
        <w:rPr>
          <w:lang w:val="en-US" w:eastAsia="zh-CN"/>
        </w:rPr>
      </w:pPr>
      <w:r>
        <w:rPr>
          <w:bCs/>
        </w:rPr>
        <w:t>It seems that</w:t>
      </w:r>
      <w:r w:rsidR="009E5F28">
        <w:rPr>
          <w:bCs/>
        </w:rPr>
        <w:t xml:space="preserve"> there is no detailed analysis on whether the duplicated data is a critical issue. As known, the maximum number of </w:t>
      </w:r>
      <w:r w:rsidR="009E5F28">
        <w:rPr>
          <w:rFonts w:cs="Arial"/>
        </w:rPr>
        <w:t>cells that can be prepared for a CHO is 8, thus it is assumed that maximum 8 target MNs (one cell per node) might be involved. That means a</w:t>
      </w:r>
      <w:r w:rsidR="009E5F28">
        <w:rPr>
          <w:rFonts w:cs="Arial"/>
          <w:lang w:val="en-US"/>
        </w:rPr>
        <w:t xml:space="preserve"> worst case would be 8 target MNs (most unlikely) select the same target SN, then 7 times of data forwarding </w:t>
      </w:r>
      <w:r w:rsidR="00AE6816">
        <w:rPr>
          <w:rFonts w:cs="Arial"/>
          <w:lang w:val="en-US"/>
        </w:rPr>
        <w:t>could be</w:t>
      </w:r>
      <w:r w:rsidR="009E5F28">
        <w:rPr>
          <w:rFonts w:cs="Arial"/>
          <w:lang w:val="en-US"/>
        </w:rPr>
        <w:t xml:space="preserve"> redundant.</w:t>
      </w:r>
      <w:r w:rsidR="0007560A">
        <w:rPr>
          <w:lang w:val="en-US" w:eastAsia="zh-CN"/>
        </w:rPr>
        <w:t xml:space="preserve"> However, these prerequisites most probably will not happen at the same time. </w:t>
      </w:r>
    </w:p>
    <w:p w14:paraId="1B3E5F87" w14:textId="40B5AB05" w:rsidR="00253E0F" w:rsidRDefault="002E7226" w:rsidP="009D67E7">
      <w:pPr>
        <w:rPr>
          <w:bCs/>
        </w:rPr>
      </w:pPr>
      <w:r>
        <w:rPr>
          <w:bCs/>
        </w:rPr>
        <w:t xml:space="preserve">It is clear that </w:t>
      </w:r>
      <w:r w:rsidR="00351DB3">
        <w:rPr>
          <w:bCs/>
        </w:rPr>
        <w:t>the t</w:t>
      </w:r>
      <w:r w:rsidR="00351DB3" w:rsidRPr="006A3874">
        <w:rPr>
          <w:bCs/>
        </w:rPr>
        <w:t xml:space="preserve">arget SN can understand that the multiple SN Addition </w:t>
      </w:r>
      <w:r w:rsidR="00351DB3">
        <w:rPr>
          <w:bCs/>
        </w:rPr>
        <w:t xml:space="preserve">procedures </w:t>
      </w:r>
      <w:r w:rsidR="00351DB3" w:rsidRPr="006A3874">
        <w:rPr>
          <w:bCs/>
        </w:rPr>
        <w:t>are part of the same CHO preparation</w:t>
      </w:r>
      <w:r w:rsidR="00351DB3">
        <w:rPr>
          <w:bCs/>
        </w:rPr>
        <w:t>. For direct data forwarding in case of</w:t>
      </w:r>
      <w:r w:rsidR="00351DB3" w:rsidRPr="006A3874">
        <w:rPr>
          <w:bCs/>
        </w:rPr>
        <w:t xml:space="preserve"> CHO with SCG becomes </w:t>
      </w:r>
      <w:r w:rsidR="00351DB3">
        <w:rPr>
          <w:bCs/>
        </w:rPr>
        <w:t>similar as</w:t>
      </w:r>
      <w:r w:rsidR="00351DB3" w:rsidRPr="006A3874">
        <w:rPr>
          <w:bCs/>
        </w:rPr>
        <w:t xml:space="preserve"> direct data forwarding for normal </w:t>
      </w:r>
      <w:r w:rsidR="00351DB3">
        <w:rPr>
          <w:bCs/>
        </w:rPr>
        <w:t>handover</w:t>
      </w:r>
      <w:r w:rsidR="00351DB3" w:rsidRPr="006A3874">
        <w:rPr>
          <w:bCs/>
        </w:rPr>
        <w:t xml:space="preserve"> with SCG.</w:t>
      </w:r>
      <w:r w:rsidR="009E5F28">
        <w:rPr>
          <w:bCs/>
        </w:rPr>
        <w:t xml:space="preserve"> For indirect data forwarding, once the target MN does not </w:t>
      </w:r>
      <w:r w:rsidR="00C25710">
        <w:rPr>
          <w:bCs/>
        </w:rPr>
        <w:t>get</w:t>
      </w:r>
      <w:r w:rsidR="001010C5">
        <w:rPr>
          <w:bCs/>
        </w:rPr>
        <w:t xml:space="preserve"> any information from the target SN about the availability of </w:t>
      </w:r>
      <w:r w:rsidR="009E5F28">
        <w:rPr>
          <w:bCs/>
        </w:rPr>
        <w:t xml:space="preserve">direct path, it may </w:t>
      </w:r>
      <w:r w:rsidR="00367B8B">
        <w:rPr>
          <w:bCs/>
        </w:rPr>
        <w:t>choose</w:t>
      </w:r>
      <w:r w:rsidR="009E5F28">
        <w:rPr>
          <w:bCs/>
        </w:rPr>
        <w:t xml:space="preserve"> to use indirect path. </w:t>
      </w:r>
      <w:r w:rsidR="008C464E">
        <w:rPr>
          <w:bCs/>
        </w:rPr>
        <w:t xml:space="preserve">In that case, then </w:t>
      </w:r>
      <w:r w:rsidR="004036EB">
        <w:rPr>
          <w:bCs/>
        </w:rPr>
        <w:t xml:space="preserve">the duplicated data forwarding </w:t>
      </w:r>
      <w:r w:rsidR="0069293A">
        <w:rPr>
          <w:bCs/>
        </w:rPr>
        <w:t xml:space="preserve">may not </w:t>
      </w:r>
      <w:r w:rsidR="00E10F47">
        <w:rPr>
          <w:bCs/>
        </w:rPr>
        <w:t xml:space="preserve">be </w:t>
      </w:r>
      <w:r w:rsidR="0069293A">
        <w:rPr>
          <w:bCs/>
        </w:rPr>
        <w:t xml:space="preserve">considered </w:t>
      </w:r>
      <w:r w:rsidR="004036EB">
        <w:rPr>
          <w:bCs/>
        </w:rPr>
        <w:t xml:space="preserve">as </w:t>
      </w:r>
      <w:r w:rsidR="00433402">
        <w:rPr>
          <w:bCs/>
        </w:rPr>
        <w:t>an issue</w:t>
      </w:r>
      <w:r w:rsidR="004036EB">
        <w:rPr>
          <w:bCs/>
        </w:rPr>
        <w:t>.</w:t>
      </w:r>
    </w:p>
    <w:p w14:paraId="1997AD10" w14:textId="77777777" w:rsidR="006011AF" w:rsidRDefault="006011AF" w:rsidP="00B01483">
      <w:pPr>
        <w:pStyle w:val="Observation"/>
        <w:ind w:left="1701" w:hanging="1701"/>
      </w:pPr>
      <w:bookmarkStart w:id="6" w:name="_Toc127475112"/>
      <w:r>
        <w:t>There is no specific handling for direct data forwarding for CHO + target SCG.</w:t>
      </w:r>
      <w:bookmarkEnd w:id="6"/>
    </w:p>
    <w:p w14:paraId="3EC287C2" w14:textId="65AF819D" w:rsidR="00B01483" w:rsidRPr="00111169" w:rsidRDefault="00F664FF" w:rsidP="00B01483">
      <w:pPr>
        <w:pStyle w:val="Observation"/>
        <w:ind w:left="1701" w:hanging="1701"/>
      </w:pPr>
      <w:bookmarkStart w:id="7" w:name="_Toc127475113"/>
      <w:r>
        <w:t>Indirect data forwa</w:t>
      </w:r>
      <w:r w:rsidR="00BD4476">
        <w:t>r</w:t>
      </w:r>
      <w:r>
        <w:t>ding can be supported by an implementation way.</w:t>
      </w:r>
      <w:bookmarkEnd w:id="7"/>
    </w:p>
    <w:p w14:paraId="7B870BC5" w14:textId="01189278" w:rsidR="006A3874" w:rsidRDefault="00D9043C" w:rsidP="007F1CBC">
      <w:pPr>
        <w:pStyle w:val="Proposal"/>
        <w:tabs>
          <w:tab w:val="clear" w:pos="1304"/>
        </w:tabs>
        <w:ind w:left="1701" w:hanging="1701"/>
      </w:pPr>
      <w:bookmarkStart w:id="8" w:name="_Toc127475117"/>
      <w:r>
        <w:t xml:space="preserve">Rel-18 data forwarding </w:t>
      </w:r>
      <w:r w:rsidR="00A91332">
        <w:t xml:space="preserve">aspects </w:t>
      </w:r>
      <w:r w:rsidR="00F12803">
        <w:t>should</w:t>
      </w:r>
      <w:r w:rsidR="00A91332">
        <w:t xml:space="preserve"> focus on </w:t>
      </w:r>
      <w:r w:rsidR="00AB2832">
        <w:t>introducing</w:t>
      </w:r>
      <w:r w:rsidR="00CC5A47">
        <w:t xml:space="preserve"> </w:t>
      </w:r>
      <w:r w:rsidR="00452F39">
        <w:t>early data forwarding</w:t>
      </w:r>
      <w:r w:rsidR="0051543B">
        <w:t xml:space="preserve"> </w:t>
      </w:r>
      <w:proofErr w:type="spellStart"/>
      <w:r w:rsidR="0051543B">
        <w:t>signaling</w:t>
      </w:r>
      <w:proofErr w:type="spellEnd"/>
      <w:r w:rsidR="0051543B">
        <w:t xml:space="preserve"> flows</w:t>
      </w:r>
      <w:r w:rsidR="00452F39">
        <w:t xml:space="preserve"> </w:t>
      </w:r>
      <w:r w:rsidR="000F7E4B">
        <w:t xml:space="preserve">for CHO with target SCG(s) </w:t>
      </w:r>
      <w:r w:rsidR="009620C6">
        <w:t>i</w:t>
      </w:r>
      <w:r>
        <w:t xml:space="preserve">n </w:t>
      </w:r>
      <w:r w:rsidR="006158A6">
        <w:t xml:space="preserve">the newly </w:t>
      </w:r>
      <w:r w:rsidR="00CC5A47">
        <w:t xml:space="preserve">added </w:t>
      </w:r>
      <w:r w:rsidR="006158A6">
        <w:t xml:space="preserve">sections </w:t>
      </w:r>
      <w:r w:rsidR="00D02A01">
        <w:t>for CHO + MR-DC</w:t>
      </w:r>
      <w:r w:rsidR="00470591">
        <w:t xml:space="preserve"> at</w:t>
      </w:r>
      <w:r w:rsidR="006158A6">
        <w:t xml:space="preserve"> </w:t>
      </w:r>
      <w:r>
        <w:t>stage-2</w:t>
      </w:r>
      <w:r w:rsidR="001F4C42">
        <w:t>.</w:t>
      </w:r>
      <w:bookmarkEnd w:id="8"/>
    </w:p>
    <w:p w14:paraId="26B7AD88" w14:textId="77777777" w:rsidR="00AF2901" w:rsidRPr="007F1CBC" w:rsidRDefault="00AF2901" w:rsidP="00AF2901">
      <w:pPr>
        <w:pStyle w:val="Proposal"/>
        <w:numPr>
          <w:ilvl w:val="0"/>
          <w:numId w:val="0"/>
        </w:numPr>
      </w:pPr>
    </w:p>
    <w:p w14:paraId="5A987F97" w14:textId="2E76F1DB" w:rsidR="0032128B" w:rsidRDefault="006D7574" w:rsidP="003D518F">
      <w:pPr>
        <w:pStyle w:val="Heading2"/>
      </w:pPr>
      <w:r>
        <w:t>2.3</w:t>
      </w:r>
      <w:r>
        <w:tab/>
      </w:r>
      <w:r w:rsidR="00E452E3">
        <w:t xml:space="preserve">CHO </w:t>
      </w:r>
      <w:r w:rsidR="00EC1E26">
        <w:t>including</w:t>
      </w:r>
      <w:r w:rsidR="00E452E3">
        <w:t xml:space="preserve"> CP</w:t>
      </w:r>
      <w:r w:rsidR="006F47B4">
        <w:t>A</w:t>
      </w:r>
      <w:r w:rsidR="00E452E3">
        <w:t>C configurations</w:t>
      </w:r>
    </w:p>
    <w:p w14:paraId="248CEEFE" w14:textId="4C16A821" w:rsidR="00D82FA4" w:rsidRPr="00D82FA4" w:rsidRDefault="00D82FA4" w:rsidP="00D82FA4">
      <w:pPr>
        <w:rPr>
          <w:bCs/>
        </w:rPr>
      </w:pPr>
      <w:r w:rsidRPr="00D82FA4">
        <w:rPr>
          <w:bCs/>
        </w:rPr>
        <w:t xml:space="preserve">At the RAN2#119-e meeting </w:t>
      </w:r>
      <w:r w:rsidR="0097675F">
        <w:rPr>
          <w:bCs/>
        </w:rPr>
        <w:t xml:space="preserve">one </w:t>
      </w:r>
      <w:r w:rsidRPr="00D82FA4">
        <w:rPr>
          <w:bCs/>
        </w:rPr>
        <w:t>following agreement</w:t>
      </w:r>
      <w:r w:rsidR="0097675F">
        <w:rPr>
          <w:bCs/>
        </w:rPr>
        <w:t xml:space="preserve"> was </w:t>
      </w:r>
      <w:r w:rsidRPr="00D82FA4">
        <w:rPr>
          <w:bCs/>
        </w:rPr>
        <w:t>reached for</w:t>
      </w:r>
      <w:r>
        <w:rPr>
          <w:bCs/>
        </w:rPr>
        <w:t xml:space="preserve"> Objective 4</w:t>
      </w:r>
      <w:r w:rsidRPr="00D82FA4">
        <w:rPr>
          <w:bCs/>
        </w:rPr>
        <w:t>:</w:t>
      </w:r>
    </w:p>
    <w:p w14:paraId="5A7E17A8" w14:textId="0BF401D8" w:rsidR="00D82FA4" w:rsidRDefault="00D82FA4" w:rsidP="00D82FA4">
      <w:pPr>
        <w:pStyle w:val="Agreement"/>
        <w:tabs>
          <w:tab w:val="clear" w:pos="1619"/>
          <w:tab w:val="num" w:pos="1494"/>
        </w:tabs>
        <w:spacing w:line="240" w:lineRule="auto"/>
        <w:ind w:left="1494"/>
      </w:pPr>
      <w:r>
        <w:t>CHO configuration referring to or including CPC/CPA configuration (intended to be applicable together) can be supported.</w:t>
      </w:r>
    </w:p>
    <w:p w14:paraId="12C25AD6" w14:textId="77777777" w:rsidR="00D82FA4" w:rsidRDefault="00D82FA4" w:rsidP="0032128B">
      <w:pPr>
        <w:rPr>
          <w:bCs/>
        </w:rPr>
      </w:pPr>
    </w:p>
    <w:p w14:paraId="0191F625" w14:textId="77777777" w:rsidR="000F756B" w:rsidRDefault="009F666D" w:rsidP="00B41FAB">
      <w:pPr>
        <w:rPr>
          <w:bCs/>
        </w:rPr>
      </w:pPr>
      <w:r>
        <w:rPr>
          <w:bCs/>
        </w:rPr>
        <w:t xml:space="preserve">RAN2 </w:t>
      </w:r>
      <w:r w:rsidR="00BA4F14">
        <w:rPr>
          <w:bCs/>
        </w:rPr>
        <w:t>would</w:t>
      </w:r>
      <w:r>
        <w:rPr>
          <w:bCs/>
        </w:rPr>
        <w:t xml:space="preserve"> discuss</w:t>
      </w:r>
      <w:r w:rsidRPr="00E85AA6">
        <w:rPr>
          <w:bCs/>
        </w:rPr>
        <w:t xml:space="preserve"> whether the CHO and CPAC conditions should be evaluated at the same time, or whether the CHO conditions should be evaluated first and the conditions for CPA/CPC should be evaluated only once the CHO configuration has been applied</w:t>
      </w:r>
      <w:r>
        <w:rPr>
          <w:bCs/>
        </w:rPr>
        <w:t xml:space="preserve">. </w:t>
      </w:r>
    </w:p>
    <w:p w14:paraId="20732031" w14:textId="105F67BF" w:rsidR="00A927FD" w:rsidRDefault="00973D88" w:rsidP="00B41FAB">
      <w:pPr>
        <w:rPr>
          <w:bCs/>
          <w:lang w:eastAsia="zh-CN"/>
        </w:rPr>
      </w:pPr>
      <w:r>
        <w:rPr>
          <w:bCs/>
        </w:rPr>
        <w:t>One</w:t>
      </w:r>
      <w:r w:rsidR="00E85AA6">
        <w:rPr>
          <w:bCs/>
        </w:rPr>
        <w:t xml:space="preserve"> scenario could be </w:t>
      </w:r>
      <w:r>
        <w:rPr>
          <w:bCs/>
        </w:rPr>
        <w:t xml:space="preserve">sequential evaluation of CHO and CPC/CPA. That means </w:t>
      </w:r>
      <w:r w:rsidR="005D2A6C">
        <w:rPr>
          <w:bCs/>
        </w:rPr>
        <w:t xml:space="preserve">CHO </w:t>
      </w:r>
      <w:r w:rsidR="007B3FF8">
        <w:rPr>
          <w:bCs/>
        </w:rPr>
        <w:t xml:space="preserve">is configured </w:t>
      </w:r>
      <w:r w:rsidR="005D2A6C">
        <w:rPr>
          <w:bCs/>
        </w:rPr>
        <w:t>with SCG, then the target SN trigger</w:t>
      </w:r>
      <w:r w:rsidR="00812AE4">
        <w:rPr>
          <w:bCs/>
        </w:rPr>
        <w:t xml:space="preserve">s </w:t>
      </w:r>
      <w:r w:rsidR="005D2A6C">
        <w:rPr>
          <w:bCs/>
        </w:rPr>
        <w:t xml:space="preserve">SN-initiated CPC to other candidate SNs. </w:t>
      </w:r>
      <w:r w:rsidR="0035229F">
        <w:rPr>
          <w:bCs/>
        </w:rPr>
        <w:t xml:space="preserve">At the same time </w:t>
      </w:r>
      <w:r w:rsidR="00522BDF">
        <w:rPr>
          <w:bCs/>
          <w:lang w:eastAsia="zh-CN"/>
        </w:rPr>
        <w:t xml:space="preserve">RAN3 </w:t>
      </w:r>
      <w:r w:rsidR="0035229F">
        <w:rPr>
          <w:bCs/>
          <w:lang w:eastAsia="zh-CN"/>
        </w:rPr>
        <w:t>can start checking</w:t>
      </w:r>
      <w:r w:rsidR="00522BDF">
        <w:rPr>
          <w:bCs/>
          <w:lang w:eastAsia="zh-CN"/>
        </w:rPr>
        <w:t xml:space="preserve"> </w:t>
      </w:r>
      <w:r w:rsidR="00A81697">
        <w:rPr>
          <w:bCs/>
          <w:lang w:eastAsia="zh-CN"/>
        </w:rPr>
        <w:t xml:space="preserve">if any network </w:t>
      </w:r>
      <w:proofErr w:type="spellStart"/>
      <w:r w:rsidR="00A81697">
        <w:rPr>
          <w:bCs/>
          <w:lang w:eastAsia="zh-CN"/>
        </w:rPr>
        <w:t>signaling</w:t>
      </w:r>
      <w:proofErr w:type="spellEnd"/>
      <w:r w:rsidR="00A81697">
        <w:rPr>
          <w:bCs/>
          <w:lang w:eastAsia="zh-CN"/>
        </w:rPr>
        <w:t xml:space="preserve"> needs to be enhanced so that</w:t>
      </w:r>
      <w:r w:rsidR="00522BDF">
        <w:rPr>
          <w:bCs/>
          <w:lang w:eastAsia="zh-CN"/>
        </w:rPr>
        <w:t xml:space="preserve"> the candidate SN </w:t>
      </w:r>
      <w:r w:rsidR="00A81697">
        <w:rPr>
          <w:bCs/>
          <w:lang w:eastAsia="zh-CN"/>
        </w:rPr>
        <w:t>can</w:t>
      </w:r>
      <w:r w:rsidR="00522BDF">
        <w:rPr>
          <w:bCs/>
          <w:lang w:eastAsia="zh-CN"/>
        </w:rPr>
        <w:t xml:space="preserve"> be aware of the </w:t>
      </w:r>
      <w:r w:rsidR="00522BDF" w:rsidRPr="00B41FAB">
        <w:rPr>
          <w:bCs/>
          <w:lang w:eastAsia="zh-CN"/>
        </w:rPr>
        <w:t xml:space="preserve">MN is being configured as a target candidate MN for CHO, and will thus </w:t>
      </w:r>
      <w:r w:rsidR="00522BDF">
        <w:rPr>
          <w:bCs/>
          <w:lang w:eastAsia="zh-CN"/>
        </w:rPr>
        <w:t>possibly</w:t>
      </w:r>
      <w:r w:rsidR="00522BDF" w:rsidRPr="00B41FAB">
        <w:rPr>
          <w:bCs/>
          <w:lang w:eastAsia="zh-CN"/>
        </w:rPr>
        <w:t xml:space="preserve"> trigger SN-initiated CPC</w:t>
      </w:r>
      <w:r w:rsidR="00522BDF">
        <w:rPr>
          <w:bCs/>
          <w:lang w:eastAsia="zh-CN"/>
        </w:rPr>
        <w:t>.</w:t>
      </w:r>
      <w:r w:rsidR="00A678A6">
        <w:rPr>
          <w:bCs/>
          <w:lang w:eastAsia="zh-CN"/>
        </w:rPr>
        <w:t xml:space="preserve"> There could be </w:t>
      </w:r>
      <w:r w:rsidR="00D05B1E">
        <w:rPr>
          <w:bCs/>
          <w:lang w:eastAsia="zh-CN"/>
        </w:rPr>
        <w:t>some other</w:t>
      </w:r>
      <w:r w:rsidR="00A678A6">
        <w:rPr>
          <w:bCs/>
          <w:lang w:eastAsia="zh-CN"/>
        </w:rPr>
        <w:t xml:space="preserve"> cases</w:t>
      </w:r>
      <w:r w:rsidR="007153BE">
        <w:rPr>
          <w:bCs/>
          <w:lang w:eastAsia="zh-CN"/>
        </w:rPr>
        <w:t xml:space="preserve"> as well</w:t>
      </w:r>
      <w:r w:rsidR="00A678A6">
        <w:rPr>
          <w:bCs/>
          <w:lang w:eastAsia="zh-CN"/>
        </w:rPr>
        <w:t xml:space="preserve">, for instance, the </w:t>
      </w:r>
      <w:r w:rsidR="003C7B48">
        <w:rPr>
          <w:bCs/>
          <w:lang w:eastAsia="zh-CN"/>
        </w:rPr>
        <w:t xml:space="preserve">CHO and CPAC concurrent evaluation on the configuration, which </w:t>
      </w:r>
      <w:r w:rsidR="00B66F70">
        <w:rPr>
          <w:bCs/>
          <w:lang w:eastAsia="zh-CN"/>
        </w:rPr>
        <w:t>is</w:t>
      </w:r>
      <w:r w:rsidR="003C7B48">
        <w:rPr>
          <w:bCs/>
          <w:lang w:eastAsia="zh-CN"/>
        </w:rPr>
        <w:t xml:space="preserve"> pending in RAN2.</w:t>
      </w:r>
    </w:p>
    <w:p w14:paraId="6544A11A" w14:textId="0939FABF" w:rsidR="00994D8A" w:rsidRDefault="00770A78" w:rsidP="00B24E97">
      <w:pPr>
        <w:pStyle w:val="Observation"/>
        <w:ind w:left="1701" w:hanging="1701"/>
      </w:pPr>
      <w:bookmarkStart w:id="9" w:name="_Toc127475114"/>
      <w:r>
        <w:t xml:space="preserve">The support of </w:t>
      </w:r>
      <w:r w:rsidR="00100348">
        <w:t>CHO including CPAC configurations</w:t>
      </w:r>
      <w:r w:rsidR="00730371">
        <w:t xml:space="preserve"> may </w:t>
      </w:r>
      <w:r w:rsidR="00647833">
        <w:t xml:space="preserve">need enhancements </w:t>
      </w:r>
      <w:r w:rsidR="00730371">
        <w:t xml:space="preserve">on network </w:t>
      </w:r>
      <w:proofErr w:type="spellStart"/>
      <w:r w:rsidR="00730371">
        <w:t>signaling</w:t>
      </w:r>
      <w:proofErr w:type="spellEnd"/>
      <w:r w:rsidR="002B1B42">
        <w:t>.</w:t>
      </w:r>
      <w:r w:rsidR="00100348">
        <w:t xml:space="preserve"> </w:t>
      </w:r>
      <w:r w:rsidR="00886EAF">
        <w:t>Th</w:t>
      </w:r>
      <w:r w:rsidR="00B24E97">
        <w:t>e discussion is pending in</w:t>
      </w:r>
      <w:r w:rsidR="00886EAF">
        <w:t xml:space="preserve"> RAN2</w:t>
      </w:r>
      <w:r w:rsidR="00FB3E1C">
        <w:t>.</w:t>
      </w:r>
      <w:bookmarkEnd w:id="9"/>
    </w:p>
    <w:p w14:paraId="36CA6320" w14:textId="5A520952" w:rsidR="0032128B" w:rsidRDefault="00F77321" w:rsidP="0032128B">
      <w:pPr>
        <w:pStyle w:val="Proposal"/>
        <w:tabs>
          <w:tab w:val="clear" w:pos="1304"/>
        </w:tabs>
        <w:ind w:left="1701" w:hanging="1701"/>
      </w:pPr>
      <w:bookmarkStart w:id="10" w:name="_Toc126230860"/>
      <w:bookmarkStart w:id="11" w:name="_Toc127475118"/>
      <w:r>
        <w:t xml:space="preserve">RAN3 </w:t>
      </w:r>
      <w:r w:rsidR="00454B9D">
        <w:t>to check</w:t>
      </w:r>
      <w:r w:rsidR="00C760B8">
        <w:t xml:space="preserve"> </w:t>
      </w:r>
      <w:r w:rsidR="003628D1">
        <w:t xml:space="preserve">the </w:t>
      </w:r>
      <w:r w:rsidR="00656B79">
        <w:t xml:space="preserve">possible </w:t>
      </w:r>
      <w:r w:rsidR="003628D1">
        <w:t xml:space="preserve">impacts </w:t>
      </w:r>
      <w:r w:rsidR="0028100A">
        <w:t>over</w:t>
      </w:r>
      <w:r w:rsidR="003628D1">
        <w:t xml:space="preserve"> </w:t>
      </w:r>
      <w:proofErr w:type="spellStart"/>
      <w:r w:rsidR="003628D1">
        <w:t>Xn</w:t>
      </w:r>
      <w:proofErr w:type="spellEnd"/>
      <w:r w:rsidR="003628D1">
        <w:t xml:space="preserve"> </w:t>
      </w:r>
      <w:r w:rsidR="006F0729">
        <w:t>to</w:t>
      </w:r>
      <w:r w:rsidR="004C14BE">
        <w:t xml:space="preserve"> support CHO including CPAC configurations.</w:t>
      </w:r>
      <w:bookmarkEnd w:id="10"/>
      <w:bookmarkEnd w:id="11"/>
    </w:p>
    <w:p w14:paraId="1758D982" w14:textId="77777777" w:rsidR="0032128B" w:rsidRDefault="0032128B" w:rsidP="0032128B">
      <w:pPr>
        <w:pStyle w:val="Proposal"/>
        <w:numPr>
          <w:ilvl w:val="0"/>
          <w:numId w:val="0"/>
        </w:numPr>
        <w:ind w:left="1304" w:hanging="1304"/>
      </w:pPr>
    </w:p>
    <w:p w14:paraId="23BD68D6" w14:textId="78E1EBCA" w:rsidR="00C01F33" w:rsidRPr="00CE0424" w:rsidRDefault="001E59DA" w:rsidP="00CE0424">
      <w:pPr>
        <w:pStyle w:val="Heading1"/>
      </w:pPr>
      <w:bookmarkStart w:id="12" w:name="_Toc110368140"/>
      <w:bookmarkStart w:id="13" w:name="_Toc110368156"/>
      <w:bookmarkStart w:id="14" w:name="_Toc110368141"/>
      <w:bookmarkStart w:id="15" w:name="_Toc110368157"/>
      <w:bookmarkStart w:id="16" w:name="_Toc110368142"/>
      <w:bookmarkStart w:id="17" w:name="_Toc110368158"/>
      <w:bookmarkStart w:id="18" w:name="_Toc110368143"/>
      <w:bookmarkStart w:id="19" w:name="_Toc110368159"/>
      <w:bookmarkEnd w:id="12"/>
      <w:bookmarkEnd w:id="13"/>
      <w:bookmarkEnd w:id="14"/>
      <w:bookmarkEnd w:id="15"/>
      <w:bookmarkEnd w:id="16"/>
      <w:bookmarkEnd w:id="17"/>
      <w:bookmarkEnd w:id="18"/>
      <w:bookmarkEnd w:id="19"/>
      <w:r>
        <w:t>3</w:t>
      </w:r>
      <w:r>
        <w:tab/>
      </w:r>
      <w:r w:rsidR="00C01F33"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257B23C8" w14:textId="77777777" w:rsidR="003F5945" w:rsidRDefault="00DE7822">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27475112" w:history="1">
        <w:r w:rsidR="003F5945" w:rsidRPr="00E82E29">
          <w:rPr>
            <w:rStyle w:val="Hyperlink"/>
            <w:noProof/>
          </w:rPr>
          <w:t>Observation 1</w:t>
        </w:r>
        <w:r w:rsidR="003F5945">
          <w:rPr>
            <w:rFonts w:asciiTheme="minorHAnsi" w:eastAsiaTheme="minorEastAsia" w:hAnsiTheme="minorHAnsi" w:cstheme="minorBidi"/>
            <w:b w:val="0"/>
            <w:noProof/>
            <w:sz w:val="24"/>
            <w:szCs w:val="24"/>
            <w:lang w:val="en-SE"/>
          </w:rPr>
          <w:tab/>
        </w:r>
        <w:r w:rsidR="003F5945" w:rsidRPr="00E82E29">
          <w:rPr>
            <w:rStyle w:val="Hyperlink"/>
            <w:noProof/>
          </w:rPr>
          <w:t>There is no specific handling for direct data forwarding for CHO + target SCG.</w:t>
        </w:r>
      </w:hyperlink>
    </w:p>
    <w:p w14:paraId="00186502" w14:textId="77777777" w:rsidR="003F5945"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27475113" w:history="1">
        <w:r w:rsidR="003F5945" w:rsidRPr="00E82E29">
          <w:rPr>
            <w:rStyle w:val="Hyperlink"/>
            <w:noProof/>
          </w:rPr>
          <w:t>Observation 2</w:t>
        </w:r>
        <w:r w:rsidR="003F5945">
          <w:rPr>
            <w:rFonts w:asciiTheme="minorHAnsi" w:eastAsiaTheme="minorEastAsia" w:hAnsiTheme="minorHAnsi" w:cstheme="minorBidi"/>
            <w:b w:val="0"/>
            <w:noProof/>
            <w:sz w:val="24"/>
            <w:szCs w:val="24"/>
            <w:lang w:val="en-SE"/>
          </w:rPr>
          <w:tab/>
        </w:r>
        <w:r w:rsidR="003F5945" w:rsidRPr="00E82E29">
          <w:rPr>
            <w:rStyle w:val="Hyperlink"/>
            <w:noProof/>
          </w:rPr>
          <w:t>Indirect data forwarding can be supported by an implementation way.</w:t>
        </w:r>
      </w:hyperlink>
    </w:p>
    <w:p w14:paraId="42E7BDCA" w14:textId="77777777" w:rsidR="003F5945"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27475114" w:history="1">
        <w:r w:rsidR="003F5945" w:rsidRPr="00E82E29">
          <w:rPr>
            <w:rStyle w:val="Hyperlink"/>
            <w:noProof/>
          </w:rPr>
          <w:t>Observation 3</w:t>
        </w:r>
        <w:r w:rsidR="003F5945">
          <w:rPr>
            <w:rFonts w:asciiTheme="minorHAnsi" w:eastAsiaTheme="minorEastAsia" w:hAnsiTheme="minorHAnsi" w:cstheme="minorBidi"/>
            <w:b w:val="0"/>
            <w:noProof/>
            <w:sz w:val="24"/>
            <w:szCs w:val="24"/>
            <w:lang w:val="en-SE"/>
          </w:rPr>
          <w:tab/>
        </w:r>
        <w:r w:rsidR="003F5945" w:rsidRPr="00E82E29">
          <w:rPr>
            <w:rStyle w:val="Hyperlink"/>
            <w:noProof/>
          </w:rPr>
          <w:t>The support of CHO including CPAC configurations may need enhancements on network signaling. The discussion is pending in RAN2.</w:t>
        </w:r>
      </w:hyperlink>
    </w:p>
    <w:p w14:paraId="494772ED" w14:textId="4F68D3D6" w:rsidR="006E1C82" w:rsidRPr="008C5CEF" w:rsidRDefault="00DE7822" w:rsidP="00DE7822">
      <w:pPr>
        <w:rPr>
          <w:bCs/>
        </w:rPr>
      </w:pPr>
      <w:r>
        <w:rPr>
          <w:b/>
          <w:bCs/>
        </w:rPr>
        <w:fldChar w:fldCharType="end"/>
      </w:r>
      <w:r w:rsidR="0069139B" w:rsidRPr="008C5CEF">
        <w:rPr>
          <w:bCs/>
        </w:rPr>
        <w:t>In this paper we propose:</w:t>
      </w:r>
    </w:p>
    <w:p w14:paraId="6AF0DF77" w14:textId="77777777" w:rsidR="003F5945"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5115" w:history="1">
        <w:r w:rsidR="003F5945" w:rsidRPr="004723AC">
          <w:rPr>
            <w:rStyle w:val="Hyperlink"/>
            <w:noProof/>
          </w:rPr>
          <w:t>Proposal 1</w:t>
        </w:r>
        <w:r w:rsidR="003F5945">
          <w:rPr>
            <w:rFonts w:asciiTheme="minorHAnsi" w:eastAsiaTheme="minorEastAsia" w:hAnsiTheme="minorHAnsi" w:cstheme="minorBidi"/>
            <w:b w:val="0"/>
            <w:noProof/>
            <w:sz w:val="24"/>
            <w:szCs w:val="24"/>
            <w:lang w:val="en-SE"/>
          </w:rPr>
          <w:tab/>
        </w:r>
        <w:r w:rsidR="003F5945" w:rsidRPr="004723AC">
          <w:rPr>
            <w:rStyle w:val="Hyperlink"/>
            <w:noProof/>
          </w:rPr>
          <w:t>The source SN informs the MN whether the target CHO + MR-DC or CHO+CPC configuration needs to be updated, if there is a reconfiguration.</w:t>
        </w:r>
      </w:hyperlink>
    </w:p>
    <w:p w14:paraId="35B9D5A9" w14:textId="77777777" w:rsidR="003F5945"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27475116" w:history="1">
        <w:r w:rsidR="003F5945" w:rsidRPr="004723AC">
          <w:rPr>
            <w:rStyle w:val="Hyperlink"/>
            <w:noProof/>
          </w:rPr>
          <w:t>Proposal 2</w:t>
        </w:r>
        <w:r w:rsidR="003F5945">
          <w:rPr>
            <w:rFonts w:asciiTheme="minorHAnsi" w:eastAsiaTheme="minorEastAsia" w:hAnsiTheme="minorHAnsi" w:cstheme="minorBidi"/>
            <w:b w:val="0"/>
            <w:noProof/>
            <w:sz w:val="24"/>
            <w:szCs w:val="24"/>
            <w:lang w:val="en-SE"/>
          </w:rPr>
          <w:tab/>
        </w:r>
        <w:r w:rsidR="003F5945" w:rsidRPr="004723AC">
          <w:rPr>
            <w:rStyle w:val="Hyperlink"/>
            <w:noProof/>
          </w:rPr>
          <w:t>RAN3 to agree introducing a new indicator to indicate whether the source SCG reconfiguration would impact the target SCG or not.</w:t>
        </w:r>
      </w:hyperlink>
    </w:p>
    <w:p w14:paraId="354690EF" w14:textId="77777777" w:rsidR="003F5945"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27475117" w:history="1">
        <w:r w:rsidR="003F5945" w:rsidRPr="004723AC">
          <w:rPr>
            <w:rStyle w:val="Hyperlink"/>
            <w:noProof/>
          </w:rPr>
          <w:t>Proposal 3</w:t>
        </w:r>
        <w:r w:rsidR="003F5945">
          <w:rPr>
            <w:rFonts w:asciiTheme="minorHAnsi" w:eastAsiaTheme="minorEastAsia" w:hAnsiTheme="minorHAnsi" w:cstheme="minorBidi"/>
            <w:b w:val="0"/>
            <w:noProof/>
            <w:sz w:val="24"/>
            <w:szCs w:val="24"/>
            <w:lang w:val="en-SE"/>
          </w:rPr>
          <w:tab/>
        </w:r>
        <w:r w:rsidR="003F5945" w:rsidRPr="004723AC">
          <w:rPr>
            <w:rStyle w:val="Hyperlink"/>
            <w:noProof/>
          </w:rPr>
          <w:t>Rel-18 data forwarding aspects should focus on introducing early data forwarding signaling flows for CHO with target SCG(s) in the newly added sections for CHO + MR-DC at stage-2.</w:t>
        </w:r>
      </w:hyperlink>
    </w:p>
    <w:p w14:paraId="6F32E0CF" w14:textId="77777777" w:rsidR="003F5945"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27475118" w:history="1">
        <w:r w:rsidR="003F5945" w:rsidRPr="004723AC">
          <w:rPr>
            <w:rStyle w:val="Hyperlink"/>
            <w:noProof/>
          </w:rPr>
          <w:t>Proposal 4</w:t>
        </w:r>
        <w:r w:rsidR="003F5945">
          <w:rPr>
            <w:rFonts w:asciiTheme="minorHAnsi" w:eastAsiaTheme="minorEastAsia" w:hAnsiTheme="minorHAnsi" w:cstheme="minorBidi"/>
            <w:b w:val="0"/>
            <w:noProof/>
            <w:sz w:val="24"/>
            <w:szCs w:val="24"/>
            <w:lang w:val="en-SE"/>
          </w:rPr>
          <w:tab/>
        </w:r>
        <w:r w:rsidR="003F5945" w:rsidRPr="004723AC">
          <w:rPr>
            <w:rStyle w:val="Hyperlink"/>
            <w:noProof/>
          </w:rPr>
          <w:t>RAN3 to check the possible impacts over Xn to support CHO including CPAC configurations.</w:t>
        </w:r>
      </w:hyperlink>
    </w:p>
    <w:p w14:paraId="555F807E" w14:textId="0DE76A0D" w:rsidR="00C01F33" w:rsidRPr="006A4E04" w:rsidRDefault="006E1C82" w:rsidP="006A4E04">
      <w:pPr>
        <w:pStyle w:val="BodyText"/>
        <w:rPr>
          <w:b/>
          <w:bCs/>
        </w:rPr>
      </w:pPr>
      <w:r>
        <w:rPr>
          <w:b/>
          <w:bCs/>
          <w:lang w:val="en-US"/>
        </w:rPr>
        <w:fldChar w:fldCharType="end"/>
      </w:r>
      <w:bookmarkStart w:id="20" w:name="_In-sequence_SDU_delivery"/>
      <w:bookmarkEnd w:id="20"/>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71332E"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BD601D" w:rsidRPr="00751265">
        <w:rPr>
          <w:rFonts w:ascii="Times New Roman" w:hAnsi="Times New Roman"/>
        </w:rPr>
        <w:t>P-22</w:t>
      </w:r>
      <w:r w:rsidR="00044D9D">
        <w:rPr>
          <w:rFonts w:ascii="Times New Roman" w:hAnsi="Times New Roman"/>
        </w:rPr>
        <w:t>3520</w:t>
      </w:r>
    </w:p>
    <w:p w14:paraId="2E3B93CC" w14:textId="515652CB" w:rsidR="009C09EE" w:rsidRPr="009D15FD" w:rsidRDefault="009C09EE" w:rsidP="00262C39">
      <w:pPr>
        <w:pStyle w:val="Reference"/>
        <w:overflowPunct/>
        <w:autoSpaceDE/>
        <w:autoSpaceDN/>
        <w:adjustRightInd/>
        <w:spacing w:after="0"/>
        <w:textAlignment w:val="auto"/>
        <w:rPr>
          <w:rFonts w:ascii="Times New Roman" w:hAnsi="Times New Roman"/>
        </w:rPr>
      </w:pPr>
      <w:r w:rsidRPr="009D15FD">
        <w:rPr>
          <w:rFonts w:ascii="Times New Roman" w:hAnsi="Times New Roman"/>
        </w:rPr>
        <w:t>R3-23</w:t>
      </w:r>
      <w:r w:rsidR="00635892">
        <w:rPr>
          <w:rFonts w:ascii="Times New Roman" w:hAnsi="Times New Roman"/>
        </w:rPr>
        <w:t>0758</w:t>
      </w:r>
      <w:r w:rsidR="00262C39" w:rsidRPr="009D15FD">
        <w:rPr>
          <w:rFonts w:ascii="Times New Roman" w:hAnsi="Times New Roman"/>
        </w:rPr>
        <w:t xml:space="preserve">, Avoid unnecessary </w:t>
      </w:r>
      <w:proofErr w:type="spellStart"/>
      <w:r w:rsidR="00262C39" w:rsidRPr="009D15FD">
        <w:rPr>
          <w:rFonts w:ascii="Times New Roman" w:hAnsi="Times New Roman"/>
        </w:rPr>
        <w:t>signaling</w:t>
      </w:r>
      <w:proofErr w:type="spellEnd"/>
      <w:r w:rsidR="00262C39" w:rsidRPr="009D15FD">
        <w:rPr>
          <w:rFonts w:ascii="Times New Roman" w:hAnsi="Times New Roman"/>
        </w:rPr>
        <w:t xml:space="preserve"> due to SCG reconfigurations, Ericsson, ZTE, Lenovo</w:t>
      </w:r>
    </w:p>
    <w:sectPr w:rsidR="009C09EE" w:rsidRPr="009D15F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C7FF" w14:textId="77777777" w:rsidR="006D5F7B" w:rsidRDefault="006D5F7B">
      <w:r>
        <w:separator/>
      </w:r>
    </w:p>
  </w:endnote>
  <w:endnote w:type="continuationSeparator" w:id="0">
    <w:p w14:paraId="2A2523D2" w14:textId="77777777" w:rsidR="006D5F7B" w:rsidRDefault="006D5F7B">
      <w:r>
        <w:continuationSeparator/>
      </w:r>
    </w:p>
  </w:endnote>
  <w:endnote w:type="continuationNotice" w:id="1">
    <w:p w14:paraId="2B90DD18" w14:textId="77777777" w:rsidR="006D5F7B" w:rsidRDefault="006D5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74AC" w14:textId="77777777" w:rsidR="006D5F7B" w:rsidRDefault="006D5F7B">
      <w:r>
        <w:separator/>
      </w:r>
    </w:p>
  </w:footnote>
  <w:footnote w:type="continuationSeparator" w:id="0">
    <w:p w14:paraId="5C3138B9" w14:textId="77777777" w:rsidR="006D5F7B" w:rsidRDefault="006D5F7B">
      <w:r>
        <w:continuationSeparator/>
      </w:r>
    </w:p>
  </w:footnote>
  <w:footnote w:type="continuationNotice" w:id="1">
    <w:p w14:paraId="045246B8" w14:textId="77777777" w:rsidR="006D5F7B" w:rsidRDefault="006D5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7"/>
  </w:num>
  <w:num w:numId="2" w16cid:durableId="837427508">
    <w:abstractNumId w:val="5"/>
  </w:num>
  <w:num w:numId="3" w16cid:durableId="1846439820">
    <w:abstractNumId w:val="0"/>
  </w:num>
  <w:num w:numId="4" w16cid:durableId="1556044591">
    <w:abstractNumId w:val="8"/>
  </w:num>
  <w:num w:numId="5" w16cid:durableId="319358008">
    <w:abstractNumId w:val="10"/>
  </w:num>
  <w:num w:numId="6" w16cid:durableId="786003976">
    <w:abstractNumId w:val="11"/>
  </w:num>
  <w:num w:numId="7" w16cid:durableId="2053992577">
    <w:abstractNumId w:val="2"/>
  </w:num>
  <w:num w:numId="8" w16cid:durableId="180357397">
    <w:abstractNumId w:val="3"/>
  </w:num>
  <w:num w:numId="9" w16cid:durableId="1491869757">
    <w:abstractNumId w:val="1"/>
  </w:num>
  <w:num w:numId="10" w16cid:durableId="1116414036">
    <w:abstractNumId w:val="14"/>
  </w:num>
  <w:num w:numId="11" w16cid:durableId="451557085">
    <w:abstractNumId w:val="4"/>
  </w:num>
  <w:num w:numId="12" w16cid:durableId="1243561431">
    <w:abstractNumId w:val="12"/>
  </w:num>
  <w:num w:numId="13" w16cid:durableId="1307129762">
    <w:abstractNumId w:val="13"/>
  </w:num>
  <w:num w:numId="14" w16cid:durableId="305084412">
    <w:abstractNumId w:val="6"/>
  </w:num>
  <w:num w:numId="15" w16cid:durableId="1916014255">
    <w:abstractNumId w:val="5"/>
  </w:num>
  <w:num w:numId="16" w16cid:durableId="2119831896">
    <w:abstractNumId w:val="5"/>
  </w:num>
  <w:num w:numId="17" w16cid:durableId="620527116">
    <w:abstractNumId w:val="8"/>
  </w:num>
  <w:num w:numId="18" w16cid:durableId="193617923">
    <w:abstractNumId w:val="8"/>
  </w:num>
  <w:num w:numId="19" w16cid:durableId="536895940">
    <w:abstractNumId w:val="9"/>
  </w:num>
  <w:num w:numId="20" w16cid:durableId="157635288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4001C"/>
    <w:rsid w:val="000404D2"/>
    <w:rsid w:val="0004076C"/>
    <w:rsid w:val="00040CCE"/>
    <w:rsid w:val="0004116B"/>
    <w:rsid w:val="000422E2"/>
    <w:rsid w:val="00042F22"/>
    <w:rsid w:val="000444EF"/>
    <w:rsid w:val="00044D9D"/>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4B42"/>
    <w:rsid w:val="000B58C3"/>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F45"/>
    <w:rsid w:val="000E64E1"/>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68B"/>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5A0D"/>
    <w:rsid w:val="00195E88"/>
    <w:rsid w:val="00195F53"/>
    <w:rsid w:val="00196749"/>
    <w:rsid w:val="00197604"/>
    <w:rsid w:val="00197709"/>
    <w:rsid w:val="00197DF9"/>
    <w:rsid w:val="001A01CE"/>
    <w:rsid w:val="001A1987"/>
    <w:rsid w:val="001A2564"/>
    <w:rsid w:val="001A29DA"/>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1E57"/>
    <w:rsid w:val="00292957"/>
    <w:rsid w:val="00292EB7"/>
    <w:rsid w:val="002949DC"/>
    <w:rsid w:val="00294F0C"/>
    <w:rsid w:val="00295DCB"/>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D1E"/>
    <w:rsid w:val="003C5F4C"/>
    <w:rsid w:val="003C6BA8"/>
    <w:rsid w:val="003C7033"/>
    <w:rsid w:val="003C7101"/>
    <w:rsid w:val="003C71C2"/>
    <w:rsid w:val="003C7806"/>
    <w:rsid w:val="003C798D"/>
    <w:rsid w:val="003C7B48"/>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5945"/>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68FE"/>
    <w:rsid w:val="004A78EB"/>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70E28"/>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892"/>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44D"/>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25B6"/>
    <w:rsid w:val="006D2B50"/>
    <w:rsid w:val="006D2BB7"/>
    <w:rsid w:val="006D4065"/>
    <w:rsid w:val="006D5606"/>
    <w:rsid w:val="006D5ACD"/>
    <w:rsid w:val="006D5F7B"/>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302E"/>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E74B6"/>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140"/>
    <w:rsid w:val="00867370"/>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212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710"/>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2D90"/>
    <w:rsid w:val="008F33DC"/>
    <w:rsid w:val="008F33F1"/>
    <w:rsid w:val="008F35C2"/>
    <w:rsid w:val="008F3797"/>
    <w:rsid w:val="008F466A"/>
    <w:rsid w:val="008F477F"/>
    <w:rsid w:val="008F6B82"/>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DE4"/>
    <w:rsid w:val="00984F5C"/>
    <w:rsid w:val="00985243"/>
    <w:rsid w:val="00985253"/>
    <w:rsid w:val="009853B3"/>
    <w:rsid w:val="00985CE2"/>
    <w:rsid w:val="0099022F"/>
    <w:rsid w:val="00990630"/>
    <w:rsid w:val="00990F2F"/>
    <w:rsid w:val="00991761"/>
    <w:rsid w:val="00991C34"/>
    <w:rsid w:val="00992B28"/>
    <w:rsid w:val="009939DE"/>
    <w:rsid w:val="0099451D"/>
    <w:rsid w:val="00994D8A"/>
    <w:rsid w:val="00994DCA"/>
    <w:rsid w:val="00995096"/>
    <w:rsid w:val="00995D5F"/>
    <w:rsid w:val="009960EC"/>
    <w:rsid w:val="009964EE"/>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5FD"/>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E63"/>
    <w:rsid w:val="009F1F6F"/>
    <w:rsid w:val="009F344F"/>
    <w:rsid w:val="009F463A"/>
    <w:rsid w:val="009F4A61"/>
    <w:rsid w:val="009F666D"/>
    <w:rsid w:val="009F704C"/>
    <w:rsid w:val="009F70F9"/>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340E"/>
    <w:rsid w:val="00A13718"/>
    <w:rsid w:val="00A13845"/>
    <w:rsid w:val="00A13E54"/>
    <w:rsid w:val="00A1419D"/>
    <w:rsid w:val="00A14C10"/>
    <w:rsid w:val="00A1587C"/>
    <w:rsid w:val="00A16942"/>
    <w:rsid w:val="00A16DAC"/>
    <w:rsid w:val="00A176D5"/>
    <w:rsid w:val="00A17F63"/>
    <w:rsid w:val="00A2075D"/>
    <w:rsid w:val="00A20B64"/>
    <w:rsid w:val="00A2193B"/>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3987"/>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538"/>
    <w:rsid w:val="00A75EC6"/>
    <w:rsid w:val="00A761D4"/>
    <w:rsid w:val="00A7657F"/>
    <w:rsid w:val="00A772D6"/>
    <w:rsid w:val="00A77309"/>
    <w:rsid w:val="00A77EC4"/>
    <w:rsid w:val="00A80FCA"/>
    <w:rsid w:val="00A81697"/>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B0F"/>
    <w:rsid w:val="00AD3F94"/>
    <w:rsid w:val="00AD496B"/>
    <w:rsid w:val="00AD4A5A"/>
    <w:rsid w:val="00AD4C17"/>
    <w:rsid w:val="00AD591A"/>
    <w:rsid w:val="00AD5BC6"/>
    <w:rsid w:val="00AD6634"/>
    <w:rsid w:val="00AD7733"/>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901"/>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30B"/>
    <w:rsid w:val="00B0596F"/>
    <w:rsid w:val="00B073B1"/>
    <w:rsid w:val="00B105E3"/>
    <w:rsid w:val="00B10852"/>
    <w:rsid w:val="00B10F83"/>
    <w:rsid w:val="00B1115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4AAA"/>
    <w:rsid w:val="00BA4F14"/>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6254"/>
    <w:rsid w:val="00BE7406"/>
    <w:rsid w:val="00BE7603"/>
    <w:rsid w:val="00BF01A4"/>
    <w:rsid w:val="00BF049D"/>
    <w:rsid w:val="00BF1250"/>
    <w:rsid w:val="00BF23CF"/>
    <w:rsid w:val="00BF240A"/>
    <w:rsid w:val="00BF2BA2"/>
    <w:rsid w:val="00BF2E12"/>
    <w:rsid w:val="00BF3279"/>
    <w:rsid w:val="00BF37C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A73"/>
    <w:rsid w:val="00C16F24"/>
    <w:rsid w:val="00C17680"/>
    <w:rsid w:val="00C176AC"/>
    <w:rsid w:val="00C21312"/>
    <w:rsid w:val="00C225EC"/>
    <w:rsid w:val="00C237A6"/>
    <w:rsid w:val="00C237C9"/>
    <w:rsid w:val="00C247C0"/>
    <w:rsid w:val="00C25710"/>
    <w:rsid w:val="00C26158"/>
    <w:rsid w:val="00C268E6"/>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D9A"/>
    <w:rsid w:val="00C81ED1"/>
    <w:rsid w:val="00C827FC"/>
    <w:rsid w:val="00C82D95"/>
    <w:rsid w:val="00C83CD0"/>
    <w:rsid w:val="00C83D23"/>
    <w:rsid w:val="00C83F2A"/>
    <w:rsid w:val="00C8429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75A"/>
    <w:rsid w:val="00CA6998"/>
    <w:rsid w:val="00CA7E6C"/>
    <w:rsid w:val="00CA7F89"/>
    <w:rsid w:val="00CB03E8"/>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2A01"/>
    <w:rsid w:val="00D0349B"/>
    <w:rsid w:val="00D04C4C"/>
    <w:rsid w:val="00D0504C"/>
    <w:rsid w:val="00D05A3D"/>
    <w:rsid w:val="00D05B1E"/>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26FB"/>
    <w:rsid w:val="00DA305E"/>
    <w:rsid w:val="00DA3DB2"/>
    <w:rsid w:val="00DA45B7"/>
    <w:rsid w:val="00DA5417"/>
    <w:rsid w:val="00DA56E8"/>
    <w:rsid w:val="00DA5703"/>
    <w:rsid w:val="00DA64AC"/>
    <w:rsid w:val="00DA65CC"/>
    <w:rsid w:val="00DA7C2E"/>
    <w:rsid w:val="00DB0A9F"/>
    <w:rsid w:val="00DB0BE6"/>
    <w:rsid w:val="00DB2432"/>
    <w:rsid w:val="00DB377D"/>
    <w:rsid w:val="00DB4915"/>
    <w:rsid w:val="00DB50F1"/>
    <w:rsid w:val="00DC2D36"/>
    <w:rsid w:val="00DC4BE7"/>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712"/>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977"/>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6C2"/>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68"/>
    <w:rsid w:val="00FC3184"/>
    <w:rsid w:val="00FC3636"/>
    <w:rsid w:val="00FC4F3A"/>
    <w:rsid w:val="00FC72F0"/>
    <w:rsid w:val="00FC7429"/>
    <w:rsid w:val="00FC7CAA"/>
    <w:rsid w:val="00FD0073"/>
    <w:rsid w:val="00FD07F6"/>
    <w:rsid w:val="00FD09D5"/>
    <w:rsid w:val="00FD0E96"/>
    <w:rsid w:val="00FD1780"/>
    <w:rsid w:val="00FD1EC8"/>
    <w:rsid w:val="00FD22FA"/>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380</TotalTime>
  <Pages>4</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8901</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425</cp:revision>
  <cp:lastPrinted>2020-10-23T10:47:00Z</cp:lastPrinted>
  <dcterms:created xsi:type="dcterms:W3CDTF">2022-10-29T11:46:00Z</dcterms:created>
  <dcterms:modified xsi:type="dcterms:W3CDTF">2023-02-17T06:32:00Z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