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39C00578" w:rsidR="005C19C0" w:rsidRDefault="005C19C0" w:rsidP="005C19C0">
      <w:pPr>
        <w:pStyle w:val="a7"/>
        <w:tabs>
          <w:tab w:val="right" w:pos="9630"/>
        </w:tabs>
        <w:rPr>
          <w:rFonts w:cs="Arial"/>
          <w:noProof w:val="0"/>
          <w:sz w:val="24"/>
        </w:rPr>
      </w:pPr>
      <w:r>
        <w:rPr>
          <w:rFonts w:cs="Arial"/>
          <w:noProof w:val="0"/>
          <w:sz w:val="24"/>
        </w:rPr>
        <w:t>3GPP TSG-RAN WG3 Meeting #11</w:t>
      </w:r>
      <w:r w:rsidR="00764D4E">
        <w:rPr>
          <w:rFonts w:cs="Arial"/>
          <w:noProof w:val="0"/>
          <w:sz w:val="24"/>
        </w:rPr>
        <w:t>7</w:t>
      </w:r>
      <w:r w:rsidR="00201673">
        <w:rPr>
          <w:rFonts w:cs="Arial"/>
          <w:noProof w:val="0"/>
          <w:sz w:val="24"/>
        </w:rPr>
        <w:t>bis</w:t>
      </w:r>
      <w:r w:rsidR="000375CE">
        <w:rPr>
          <w:rFonts w:cs="Arial"/>
          <w:noProof w:val="0"/>
          <w:sz w:val="24"/>
        </w:rPr>
        <w:t>-e</w:t>
      </w:r>
      <w:r>
        <w:rPr>
          <w:rFonts w:cs="Arial"/>
          <w:noProof w:val="0"/>
          <w:sz w:val="24"/>
        </w:rPr>
        <w:tab/>
      </w:r>
      <w:r w:rsidR="004612A8" w:rsidRPr="004612A8">
        <w:rPr>
          <w:rFonts w:cs="Arial"/>
          <w:noProof w:val="0"/>
          <w:sz w:val="24"/>
        </w:rPr>
        <w:t>R3-</w:t>
      </w:r>
      <w:r w:rsidR="003651A9">
        <w:rPr>
          <w:rFonts w:cs="Arial"/>
          <w:noProof w:val="0"/>
          <w:sz w:val="24"/>
        </w:rPr>
        <w:t>225683</w:t>
      </w:r>
    </w:p>
    <w:p w14:paraId="67EB9102" w14:textId="4884321E" w:rsidR="005C19C0" w:rsidRDefault="005C19C0" w:rsidP="005C19C0">
      <w:pPr>
        <w:pStyle w:val="ac"/>
        <w:jc w:val="both"/>
        <w:rPr>
          <w:rFonts w:eastAsia="MS UI Gothic" w:cs="Arial"/>
          <w:i w:val="0"/>
          <w:noProof w:val="0"/>
          <w:sz w:val="24"/>
          <w:szCs w:val="22"/>
        </w:rPr>
      </w:pPr>
      <w:r>
        <w:rPr>
          <w:rFonts w:cs="Arial"/>
          <w:i w:val="0"/>
          <w:noProof w:val="0"/>
          <w:sz w:val="24"/>
        </w:rPr>
        <w:t xml:space="preserve">E-meeting, </w:t>
      </w:r>
      <w:r w:rsidR="00764D4E">
        <w:rPr>
          <w:rFonts w:cs="Arial"/>
          <w:i w:val="0"/>
          <w:noProof w:val="0"/>
          <w:sz w:val="24"/>
        </w:rPr>
        <w:t>1</w:t>
      </w:r>
      <w:r w:rsidR="00201673">
        <w:rPr>
          <w:rFonts w:cs="Arial"/>
          <w:i w:val="0"/>
          <w:noProof w:val="0"/>
          <w:sz w:val="24"/>
        </w:rPr>
        <w:t>0</w:t>
      </w:r>
      <w:r w:rsidR="00764D4E">
        <w:rPr>
          <w:rFonts w:cs="Arial"/>
          <w:i w:val="0"/>
          <w:noProof w:val="0"/>
          <w:sz w:val="24"/>
          <w:vertAlign w:val="superscript"/>
        </w:rPr>
        <w:t>th</w:t>
      </w:r>
      <w:r w:rsidR="001F3FDA">
        <w:rPr>
          <w:rFonts w:cs="Arial"/>
          <w:i w:val="0"/>
          <w:noProof w:val="0"/>
          <w:sz w:val="24"/>
          <w:vertAlign w:val="superscript"/>
        </w:rPr>
        <w:t xml:space="preserve"> </w:t>
      </w:r>
      <w:r w:rsidR="000375CE">
        <w:rPr>
          <w:rFonts w:cs="Arial"/>
          <w:i w:val="0"/>
          <w:noProof w:val="0"/>
          <w:sz w:val="24"/>
        </w:rPr>
        <w:t xml:space="preserve">– </w:t>
      </w:r>
      <w:r w:rsidR="00201673">
        <w:rPr>
          <w:rFonts w:cs="Arial"/>
          <w:i w:val="0"/>
          <w:noProof w:val="0"/>
          <w:sz w:val="24"/>
        </w:rPr>
        <w:t>18</w:t>
      </w:r>
      <w:r w:rsidR="00764D4E">
        <w:rPr>
          <w:rFonts w:cs="Arial"/>
          <w:i w:val="0"/>
          <w:noProof w:val="0"/>
          <w:sz w:val="24"/>
          <w:vertAlign w:val="superscript"/>
        </w:rPr>
        <w:t>th</w:t>
      </w:r>
      <w:r w:rsidR="00201673">
        <w:rPr>
          <w:rFonts w:cs="Arial"/>
          <w:i w:val="0"/>
          <w:noProof w:val="0"/>
          <w:sz w:val="24"/>
        </w:rPr>
        <w:t xml:space="preserve"> October</w:t>
      </w:r>
      <w:r w:rsidR="000375CE">
        <w:rPr>
          <w:rFonts w:cs="Arial"/>
          <w:i w:val="0"/>
          <w:noProof w:val="0"/>
          <w:sz w:val="24"/>
        </w:rPr>
        <w:t xml:space="preserve">, </w:t>
      </w:r>
      <w:r>
        <w:rPr>
          <w:rFonts w:cs="Arial"/>
          <w:i w:val="0"/>
          <w:noProof w:val="0"/>
          <w:sz w:val="24"/>
        </w:rPr>
        <w:t>202</w:t>
      </w:r>
      <w:r w:rsidR="004612A8">
        <w:rPr>
          <w:rFonts w:cs="Arial"/>
          <w:i w:val="0"/>
          <w:noProof w:val="0"/>
          <w:sz w:val="24"/>
        </w:rPr>
        <w:t>2</w:t>
      </w:r>
      <w:r>
        <w:rPr>
          <w:rFonts w:eastAsia="MS UI Gothic" w:cs="Arial"/>
          <w:i w:val="0"/>
          <w:noProof w:val="0"/>
          <w:sz w:val="24"/>
          <w:szCs w:val="22"/>
        </w:rPr>
        <w:tab/>
      </w:r>
    </w:p>
    <w:p w14:paraId="5326F26F" w14:textId="77777777" w:rsidR="005C19C0" w:rsidRPr="005308FA" w:rsidRDefault="005C19C0" w:rsidP="005C19C0">
      <w:pPr>
        <w:pStyle w:val="ac"/>
        <w:jc w:val="both"/>
        <w:rPr>
          <w:rFonts w:ascii="DotumChe" w:eastAsia="宋体" w:hAnsi="DotumChe" w:cs="楷体_GB2312" w:hint="eastAsia"/>
          <w:b w:val="0"/>
          <w:i w:val="0"/>
          <w:noProof w:val="0"/>
          <w:sz w:val="24"/>
          <w:szCs w:val="18"/>
        </w:rPr>
      </w:pPr>
    </w:p>
    <w:p w14:paraId="182F7E11" w14:textId="18387C7E"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497BAC">
        <w:rPr>
          <w:rFonts w:ascii="Arial" w:hAnsi="Arial"/>
          <w:sz w:val="24"/>
        </w:rPr>
        <w:t>Pre-configuration and information sharing</w:t>
      </w:r>
      <w:r w:rsidR="003034F2">
        <w:rPr>
          <w:rFonts w:ascii="Arial" w:hAnsi="Arial"/>
          <w:sz w:val="24"/>
        </w:rPr>
        <w:t xml:space="preserve"> for mobile IAB</w:t>
      </w:r>
    </w:p>
    <w:p w14:paraId="710421AC" w14:textId="77777777"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468CB8F9" w14:textId="17FF2D1B" w:rsidR="005C19C0" w:rsidRDefault="005C19C0" w:rsidP="005C19C0">
      <w:pPr>
        <w:tabs>
          <w:tab w:val="left" w:pos="1985"/>
        </w:tabs>
        <w:rPr>
          <w:rStyle w:val="af8"/>
        </w:rPr>
      </w:pPr>
      <w:r>
        <w:rPr>
          <w:rFonts w:ascii="Arial" w:hAnsi="Arial"/>
          <w:b/>
          <w:sz w:val="24"/>
        </w:rPr>
        <w:t>Agenda item:</w:t>
      </w:r>
      <w:r>
        <w:rPr>
          <w:rFonts w:ascii="Arial" w:hAnsi="Arial"/>
          <w:sz w:val="24"/>
        </w:rPr>
        <w:tab/>
        <w:t>13.</w:t>
      </w:r>
      <w:r w:rsidR="0024279E">
        <w:rPr>
          <w:rFonts w:ascii="Arial" w:hAnsi="Arial"/>
          <w:sz w:val="24"/>
        </w:rPr>
        <w:t>3</w:t>
      </w:r>
    </w:p>
    <w:p w14:paraId="1FA0FB1B" w14:textId="4C0C35FC"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764D4E">
        <w:rPr>
          <w:rFonts w:ascii="Arial" w:hAnsi="Arial"/>
          <w:sz w:val="24"/>
        </w:rPr>
        <w:t>Discussion</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0" w:name="_Ref189809556"/>
      <w:bookmarkStart w:id="1" w:name="_Ref174151459"/>
    </w:p>
    <w:p w14:paraId="53DF7DCC" w14:textId="0C2D4A7B" w:rsidR="00497BAC" w:rsidRDefault="00497BAC" w:rsidP="005C19C0">
      <w:pPr>
        <w:rPr>
          <w:rFonts w:eastAsia="宋体"/>
          <w:lang w:eastAsia="zh-CN"/>
        </w:rPr>
      </w:pPr>
      <w:r>
        <w:rPr>
          <w:rFonts w:eastAsia="宋体"/>
          <w:lang w:eastAsia="zh-CN"/>
        </w:rPr>
        <w:t xml:space="preserve">In RAN3#117-e, companies discussed the issues of configuration/context sharing between two logical DUs and </w:t>
      </w:r>
      <w:r w:rsidRPr="00497BAC">
        <w:rPr>
          <w:rFonts w:eastAsia="宋体"/>
          <w:lang w:eastAsia="zh-CN"/>
        </w:rPr>
        <w:t>pre-storing the F1 and BAP configurations at the mobile IAB-node</w:t>
      </w:r>
      <w:r>
        <w:rPr>
          <w:rFonts w:eastAsia="宋体"/>
          <w:lang w:eastAsia="zh-CN"/>
        </w:rPr>
        <w:t xml:space="preserve">, and the following </w:t>
      </w:r>
      <w:r w:rsidR="00C45180">
        <w:rPr>
          <w:rFonts w:eastAsia="宋体"/>
          <w:lang w:eastAsia="zh-CN"/>
        </w:rPr>
        <w:t>issues are identified to be further discussed as optimization for the mobility based on the chairman notes</w:t>
      </w:r>
      <w:r w:rsidR="00F057C1">
        <w:rPr>
          <w:rFonts w:eastAsia="宋体"/>
          <w:lang w:eastAsia="zh-CN"/>
        </w:rPr>
        <w:t xml:space="preserve"> </w:t>
      </w:r>
      <w:r w:rsidR="00F057C1">
        <w:rPr>
          <w:rFonts w:eastAsia="宋体"/>
          <w:lang w:eastAsia="zh-CN"/>
        </w:rPr>
        <w:fldChar w:fldCharType="begin"/>
      </w:r>
      <w:r w:rsidR="00F057C1">
        <w:rPr>
          <w:rFonts w:eastAsia="宋体"/>
          <w:lang w:eastAsia="zh-CN"/>
        </w:rPr>
        <w:instrText xml:space="preserve"> REF _Ref114929905 \r \h </w:instrText>
      </w:r>
      <w:r w:rsidR="00F057C1">
        <w:rPr>
          <w:rFonts w:eastAsia="宋体"/>
          <w:lang w:eastAsia="zh-CN"/>
        </w:rPr>
      </w:r>
      <w:r w:rsidR="00F057C1">
        <w:rPr>
          <w:rFonts w:eastAsia="宋体"/>
          <w:lang w:eastAsia="zh-CN"/>
        </w:rPr>
        <w:fldChar w:fldCharType="separate"/>
      </w:r>
      <w:r w:rsidR="00F057C1">
        <w:rPr>
          <w:rFonts w:eastAsia="宋体"/>
          <w:lang w:eastAsia="zh-CN"/>
        </w:rPr>
        <w:t>[1]</w:t>
      </w:r>
      <w:r w:rsidR="00F057C1">
        <w:rPr>
          <w:rFonts w:eastAsia="宋体"/>
          <w:lang w:eastAsia="zh-CN"/>
        </w:rPr>
        <w:fldChar w:fldCharType="end"/>
      </w:r>
      <w:r>
        <w:rPr>
          <w:rFonts w:eastAsia="宋体"/>
          <w:lang w:eastAsia="zh-CN"/>
        </w:rPr>
        <w:t>:</w:t>
      </w:r>
    </w:p>
    <w:p w14:paraId="5E8195E7" w14:textId="046CE93E" w:rsidR="00497BAC" w:rsidRDefault="00497BAC" w:rsidP="00497BAC">
      <w:r>
        <w:rPr>
          <w:noProof/>
          <w:bdr w:val="single" w:sz="4" w:space="0" w:color="auto"/>
          <w:lang w:val="en-US" w:eastAsia="zh-CN"/>
        </w:rPr>
        <mc:AlternateContent>
          <mc:Choice Requires="wps">
            <w:drawing>
              <wp:inline distT="0" distB="0" distL="0" distR="0" wp14:anchorId="2C60B562" wp14:editId="151B2AC0">
                <wp:extent cx="6099810" cy="1115695"/>
                <wp:effectExtent l="12065" t="13335" r="12700" b="1397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810" cy="1115695"/>
                        </a:xfrm>
                        <a:prstGeom prst="rect">
                          <a:avLst/>
                        </a:prstGeom>
                        <a:solidFill>
                          <a:srgbClr val="FFFFFF"/>
                        </a:solidFill>
                        <a:ln w="9525">
                          <a:solidFill>
                            <a:srgbClr val="000000"/>
                          </a:solidFill>
                          <a:miter lim="800000"/>
                          <a:headEnd/>
                          <a:tailEnd/>
                        </a:ln>
                      </wps:spPr>
                      <wps:txbx>
                        <w:txbxContent>
                          <w:p w14:paraId="17D72B53" w14:textId="2A214CF7" w:rsidR="00E06DEB" w:rsidRPr="00E06DEB" w:rsidRDefault="00C45180" w:rsidP="00E06DEB">
                            <w:pPr>
                              <w:pStyle w:val="af9"/>
                              <w:numPr>
                                <w:ilvl w:val="0"/>
                                <w:numId w:val="18"/>
                              </w:numPr>
                              <w:spacing w:after="60"/>
                              <w:ind w:firstLineChars="0"/>
                              <w:rPr>
                                <w:rFonts w:eastAsia="等线"/>
                                <w:i/>
                              </w:rPr>
                            </w:pPr>
                            <w:r w:rsidRPr="003651A9">
                              <w:rPr>
                                <w:rFonts w:eastAsia="等线"/>
                                <w:i/>
                                <w:color w:val="00B050"/>
                                <w:lang w:val="en-US"/>
                              </w:rPr>
                              <w:t>RAN3 to discuss whether a mobile IAB node may be configured with multiple configurations, each corresponding to a different target donor, that can be activated upon fulfillment of certain condition(s). The details of the configurations are FFS</w:t>
                            </w:r>
                            <w:r w:rsidR="00E06DEB" w:rsidRPr="003651A9">
                              <w:rPr>
                                <w:rFonts w:eastAsia="等线"/>
                                <w:i/>
                                <w:color w:val="00B050"/>
                              </w:rPr>
                              <w:t>.</w:t>
                            </w:r>
                          </w:p>
                          <w:p w14:paraId="22A57554" w14:textId="3C74BF92" w:rsidR="00497BAC" w:rsidRPr="00C45180" w:rsidRDefault="00C45180" w:rsidP="00497BAC">
                            <w:pPr>
                              <w:numPr>
                                <w:ilvl w:val="0"/>
                                <w:numId w:val="18"/>
                              </w:numPr>
                              <w:spacing w:after="60"/>
                              <w:rPr>
                                <w:i/>
                                <w:sz w:val="16"/>
                                <w:szCs w:val="18"/>
                              </w:rPr>
                            </w:pPr>
                            <w:r w:rsidRPr="003651A9">
                              <w:rPr>
                                <w:rFonts w:eastAsia="宋体"/>
                                <w:i/>
                                <w:color w:val="0000FF"/>
                                <w:lang w:val="en-US"/>
                              </w:rPr>
                              <w:t xml:space="preserve">For mobile DU migration, RAN3 to discuss the benefit and whether to support the sharing info of configuration and/ or UE context between two logical DUs in the mobile IAB-node. </w:t>
                            </w:r>
                          </w:p>
                        </w:txbxContent>
                      </wps:txbx>
                      <wps:bodyPr rot="0" vert="horz" wrap="square" lIns="91440" tIns="45720" rIns="91440" bIns="45720" anchor="t" anchorCtr="0" upright="1">
                        <a:spAutoFit/>
                      </wps:bodyPr>
                    </wps:wsp>
                  </a:graphicData>
                </a:graphic>
              </wp:inline>
            </w:drawing>
          </mc:Choice>
          <mc:Fallback>
            <w:pict>
              <v:shapetype w14:anchorId="2C60B562" id="_x0000_t202" coordsize="21600,21600" o:spt="202" path="m,l,21600r21600,l21600,xe">
                <v:stroke joinstyle="miter"/>
                <v:path gradientshapeok="t" o:connecttype="rect"/>
              </v:shapetype>
              <v:shape id="文本框 3" o:spid="_x0000_s1026" type="#_x0000_t202" style="width:480.3pt;height:8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">
                <v:textbox style="mso-fit-shape-to-text:t">
                  <w:txbxContent>
                    <w:p w14:paraId="17D72B53" w14:textId="2A214CF7" w:rsidR="00E06DEB" w:rsidRPr="00E06DEB" w:rsidRDefault="00C45180" w:rsidP="00E06DEB">
                      <w:pPr>
                        <w:pStyle w:val="af9"/>
                        <w:numPr>
                          <w:ilvl w:val="0"/>
                          <w:numId w:val="18"/>
                        </w:numPr>
                        <w:spacing w:after="60"/>
                        <w:ind w:firstLineChars="0"/>
                        <w:rPr>
                          <w:rFonts w:eastAsia="等线"/>
                          <w:i/>
                        </w:rPr>
                      </w:pPr>
                      <w:r w:rsidRPr="003651A9">
                        <w:rPr>
                          <w:rFonts w:eastAsia="等线"/>
                          <w:i/>
                          <w:color w:val="00B050"/>
                          <w:lang w:val="en-US"/>
                        </w:rPr>
                        <w:t>RAN3 to discuss whether a mobile IAB node may be configured with multiple configurations, each corresponding to a different target donor, that can be activated upon fulfillment of certain condition(s). The details of the configurations are FFS</w:t>
                      </w:r>
                      <w:r w:rsidR="00E06DEB" w:rsidRPr="003651A9">
                        <w:rPr>
                          <w:rFonts w:eastAsia="等线"/>
                          <w:i/>
                          <w:color w:val="00B050"/>
                        </w:rPr>
                        <w:t>.</w:t>
                      </w:r>
                    </w:p>
                    <w:p w14:paraId="22A57554" w14:textId="3C74BF92" w:rsidR="00497BAC" w:rsidRPr="00C45180" w:rsidRDefault="00C45180" w:rsidP="00497BAC">
                      <w:pPr>
                        <w:numPr>
                          <w:ilvl w:val="0"/>
                          <w:numId w:val="18"/>
                        </w:numPr>
                        <w:spacing w:after="60"/>
                        <w:rPr>
                          <w:i/>
                          <w:sz w:val="16"/>
                          <w:szCs w:val="18"/>
                        </w:rPr>
                      </w:pPr>
                      <w:r w:rsidRPr="003651A9">
                        <w:rPr>
                          <w:rFonts w:eastAsia="宋体"/>
                          <w:i/>
                          <w:color w:val="0000FF"/>
                          <w:lang w:val="en-US"/>
                        </w:rPr>
                        <w:t xml:space="preserve">For mobile DU migration, RAN3 to discuss the benefit and whether to support the sharing info of configuration and/ or UE context between two logical DUs in the mobile IAB-node. </w:t>
                      </w:r>
                    </w:p>
                  </w:txbxContent>
                </v:textbox>
                <w10:anchorlock/>
              </v:shape>
            </w:pict>
          </mc:Fallback>
        </mc:AlternateContent>
      </w:r>
    </w:p>
    <w:p w14:paraId="3FE9EEB9" w14:textId="2152E6CC" w:rsidR="00497BAC" w:rsidRDefault="00497BAC" w:rsidP="005C19C0">
      <w:pPr>
        <w:rPr>
          <w:rFonts w:eastAsia="宋体"/>
          <w:lang w:eastAsia="zh-CN"/>
        </w:rPr>
      </w:pPr>
      <w:r>
        <w:rPr>
          <w:rFonts w:eastAsia="宋体"/>
          <w:lang w:eastAsia="zh-CN"/>
        </w:rPr>
        <w:t xml:space="preserve">In this paper, we further discuss the </w:t>
      </w:r>
      <w:r w:rsidR="00E06DEB">
        <w:rPr>
          <w:rFonts w:eastAsia="宋体"/>
          <w:lang w:eastAsia="zh-CN"/>
        </w:rPr>
        <w:t>p</w:t>
      </w:r>
      <w:r w:rsidR="00E06DEB" w:rsidRPr="00E06DEB">
        <w:rPr>
          <w:rFonts w:eastAsia="宋体"/>
          <w:lang w:eastAsia="zh-CN"/>
        </w:rPr>
        <w:t>re-configuration and information sharing for mobile IAB</w:t>
      </w:r>
      <w:r w:rsidR="00E06DEB">
        <w:rPr>
          <w:rFonts w:eastAsia="宋体"/>
          <w:lang w:eastAsia="zh-CN"/>
        </w:rPr>
        <w:t>. We give our views on what configurations can be pre-stored and how to take advantage of the configuration sharing between the two logical DUs.</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60F60330" w14:textId="595E701F" w:rsidR="00C52FF0" w:rsidRPr="00C52FF0" w:rsidRDefault="00C52FF0" w:rsidP="00C52FF0">
      <w:pPr>
        <w:pStyle w:val="21"/>
        <w:ind w:left="0" w:firstLine="0"/>
      </w:pPr>
      <w:r>
        <w:t xml:space="preserve">2.1 </w:t>
      </w:r>
      <w:r w:rsidRPr="00C52FF0">
        <w:t>Pre-configuration for mobile IAB-node</w:t>
      </w:r>
    </w:p>
    <w:p w14:paraId="75A4B736" w14:textId="2F1D95F0" w:rsidR="007A3779" w:rsidRDefault="00D924ED">
      <w:pPr>
        <w:spacing w:beforeLines="50" w:before="120"/>
        <w:rPr>
          <w:rFonts w:eastAsia="宋体"/>
        </w:rPr>
      </w:pPr>
      <w:r w:rsidRPr="00D924ED">
        <w:rPr>
          <w:rFonts w:eastAsia="宋体"/>
        </w:rPr>
        <w:t xml:space="preserve">In the mobile IAB scenario, </w:t>
      </w:r>
      <w:r w:rsidR="004024F6">
        <w:rPr>
          <w:rFonts w:eastAsia="宋体"/>
        </w:rPr>
        <w:t xml:space="preserve">it may be beneficial if </w:t>
      </w:r>
      <w:r w:rsidRPr="00D924ED">
        <w:rPr>
          <w:rFonts w:eastAsia="宋体"/>
        </w:rPr>
        <w:t xml:space="preserve">some configurations which do not need to be activated right now can be pre-configured to the mobile IAB-node, and </w:t>
      </w:r>
      <w:r w:rsidR="004024F6">
        <w:rPr>
          <w:rFonts w:eastAsia="宋体"/>
        </w:rPr>
        <w:t xml:space="preserve">activated when some conditions is met. Such pre-configuration may be beneficial for reducing service interruption when the mobile IAB-node need to change some parameters of its configuration when it moves.  </w:t>
      </w:r>
      <w:r w:rsidR="00863C68">
        <w:rPr>
          <w:rFonts w:eastAsia="宋体"/>
        </w:rPr>
        <w:t>In the following part, we analyse which</w:t>
      </w:r>
      <w:r w:rsidR="00C337A0">
        <w:rPr>
          <w:rFonts w:eastAsia="宋体"/>
        </w:rPr>
        <w:t xml:space="preserve"> configurations can be pre-configured</w:t>
      </w:r>
      <w:r w:rsidR="00863C68">
        <w:rPr>
          <w:rFonts w:eastAsia="宋体"/>
        </w:rPr>
        <w:t xml:space="preserve"> for the mobile IAB-node</w:t>
      </w:r>
      <w:r w:rsidR="00C337A0">
        <w:rPr>
          <w:rFonts w:eastAsia="宋体"/>
        </w:rPr>
        <w:t xml:space="preserve">. </w:t>
      </w:r>
    </w:p>
    <w:p w14:paraId="7885F3E4" w14:textId="5551FDFD" w:rsidR="00C337A0" w:rsidRDefault="00C337A0" w:rsidP="0003192D">
      <w:pPr>
        <w:spacing w:beforeLines="50" w:before="120"/>
        <w:rPr>
          <w:rFonts w:eastAsia="宋体"/>
          <w:lang w:eastAsia="zh-CN"/>
        </w:rPr>
      </w:pPr>
      <w:r>
        <w:rPr>
          <w:rFonts w:eastAsia="宋体"/>
        </w:rPr>
        <w:t xml:space="preserve">As for </w:t>
      </w:r>
      <w:r w:rsidR="00322696">
        <w:rPr>
          <w:rFonts w:eastAsia="宋体"/>
        </w:rPr>
        <w:t xml:space="preserve">the </w:t>
      </w:r>
      <w:r>
        <w:rPr>
          <w:rFonts w:eastAsia="宋体"/>
        </w:rPr>
        <w:t xml:space="preserve">PCI, the PCI collision can be foreseen in the </w:t>
      </w:r>
      <w:r>
        <w:rPr>
          <w:rFonts w:eastAsia="宋体"/>
          <w:lang w:eastAsia="zh-CN"/>
        </w:rPr>
        <w:t xml:space="preserve">predetermined trajectory scenario, and for the non-predetermined trajectory, the </w:t>
      </w:r>
      <w:r w:rsidR="006D6CE3">
        <w:rPr>
          <w:rFonts w:eastAsia="宋体"/>
          <w:lang w:eastAsia="zh-CN"/>
        </w:rPr>
        <w:t xml:space="preserve">potential </w:t>
      </w:r>
      <w:r>
        <w:rPr>
          <w:rFonts w:eastAsia="宋体"/>
          <w:lang w:eastAsia="zh-CN"/>
        </w:rPr>
        <w:t xml:space="preserve">PCI collision </w:t>
      </w:r>
      <w:r w:rsidR="006D6CE3">
        <w:rPr>
          <w:rFonts w:eastAsia="宋体"/>
          <w:lang w:eastAsia="zh-CN"/>
        </w:rPr>
        <w:t>can be detected by the mobile IAB-node based on the measurement of IAB-MT and/or the information of neighbouring cell PCIs</w:t>
      </w:r>
      <w:r w:rsidR="007A3779">
        <w:rPr>
          <w:rFonts w:eastAsia="宋体"/>
          <w:lang w:eastAsia="zh-CN"/>
        </w:rPr>
        <w:t>.</w:t>
      </w:r>
      <w:r w:rsidR="006D6CE3">
        <w:rPr>
          <w:rFonts w:eastAsia="宋体"/>
          <w:lang w:eastAsia="zh-CN"/>
        </w:rPr>
        <w:t xml:space="preserve"> In such case, a</w:t>
      </w:r>
      <w:r w:rsidR="007A3779">
        <w:rPr>
          <w:rFonts w:eastAsia="宋体"/>
          <w:lang w:eastAsia="zh-CN"/>
        </w:rPr>
        <w:t xml:space="preserve"> list of PCI can be pre-configured to the mobile IAB-DU, </w:t>
      </w:r>
      <w:r w:rsidR="006D6CE3">
        <w:rPr>
          <w:rFonts w:eastAsia="宋体"/>
          <w:lang w:eastAsia="zh-CN"/>
        </w:rPr>
        <w:t>if PCI collision is detected</w:t>
      </w:r>
      <w:r w:rsidR="007A3779">
        <w:rPr>
          <w:rFonts w:eastAsia="宋体"/>
          <w:lang w:eastAsia="zh-CN"/>
        </w:rPr>
        <w:t xml:space="preserve">, </w:t>
      </w:r>
      <w:r w:rsidR="006D6CE3">
        <w:rPr>
          <w:rFonts w:eastAsia="宋体"/>
          <w:lang w:eastAsia="zh-CN"/>
        </w:rPr>
        <w:t>the IAB-node can pick a new one from the pre-configured PCI list to avoid such collision.</w:t>
      </w:r>
      <w:r w:rsidR="007A3779">
        <w:rPr>
          <w:rFonts w:eastAsia="宋体"/>
          <w:lang w:eastAsia="zh-CN"/>
        </w:rPr>
        <w:t xml:space="preserve"> </w:t>
      </w:r>
    </w:p>
    <w:p w14:paraId="112C9033" w14:textId="77484910" w:rsidR="007A3779" w:rsidRDefault="00CB2F87" w:rsidP="0003192D">
      <w:pPr>
        <w:spacing w:beforeLines="50" w:before="120"/>
        <w:rPr>
          <w:rFonts w:eastAsia="宋体"/>
          <w:lang w:eastAsia="zh-CN"/>
        </w:rPr>
      </w:pPr>
      <w:r>
        <w:rPr>
          <w:rFonts w:eastAsia="宋体"/>
          <w:lang w:eastAsia="zh-CN"/>
        </w:rPr>
        <w:t>Besides the PCI, we see that</w:t>
      </w:r>
      <w:r w:rsidR="007A3779">
        <w:rPr>
          <w:rFonts w:eastAsia="宋体"/>
          <w:lang w:eastAsia="zh-CN"/>
        </w:rPr>
        <w:t xml:space="preserve"> the IP address, IAB-DU cell configurations</w:t>
      </w:r>
      <w:r w:rsidR="0048756B">
        <w:rPr>
          <w:rFonts w:eastAsia="宋体"/>
          <w:lang w:eastAsia="zh-CN"/>
        </w:rPr>
        <w:t>, and F1 associations</w:t>
      </w:r>
      <w:r>
        <w:rPr>
          <w:rFonts w:eastAsia="宋体"/>
          <w:lang w:eastAsia="zh-CN"/>
        </w:rPr>
        <w:t xml:space="preserve"> related configuration may also be pre-configured to the mobile IAB-node</w:t>
      </w:r>
      <w:r w:rsidR="0048756B">
        <w:rPr>
          <w:rFonts w:eastAsia="宋体"/>
          <w:lang w:eastAsia="zh-CN"/>
        </w:rPr>
        <w:t>,</w:t>
      </w:r>
      <w:r>
        <w:rPr>
          <w:rFonts w:eastAsia="宋体"/>
          <w:lang w:eastAsia="zh-CN"/>
        </w:rPr>
        <w:t xml:space="preserve"> sicne</w:t>
      </w:r>
      <w:r w:rsidR="0048756B">
        <w:rPr>
          <w:rFonts w:eastAsia="宋体"/>
          <w:lang w:eastAsia="zh-CN"/>
        </w:rPr>
        <w:t xml:space="preserve"> these configurations depend on the </w:t>
      </w:r>
      <w:r w:rsidR="00F26090">
        <w:rPr>
          <w:rFonts w:eastAsia="宋体"/>
          <w:lang w:eastAsia="zh-CN"/>
        </w:rPr>
        <w:t xml:space="preserve">target donor DU, </w:t>
      </w:r>
      <w:r w:rsidR="0048756B">
        <w:rPr>
          <w:rFonts w:eastAsia="宋体"/>
          <w:lang w:eastAsia="zh-CN"/>
        </w:rPr>
        <w:t>target cell</w:t>
      </w:r>
      <w:r w:rsidR="00F26090">
        <w:rPr>
          <w:rFonts w:eastAsia="宋体"/>
          <w:lang w:eastAsia="zh-CN"/>
        </w:rPr>
        <w:t xml:space="preserve"> and the target donor CU</w:t>
      </w:r>
      <w:r w:rsidR="0048756B">
        <w:rPr>
          <w:rFonts w:eastAsia="宋体"/>
          <w:lang w:eastAsia="zh-CN"/>
        </w:rPr>
        <w:t xml:space="preserve"> of the mobile IAB-MT. </w:t>
      </w:r>
      <w:r w:rsidR="00074132">
        <w:rPr>
          <w:rFonts w:eastAsia="宋体"/>
          <w:lang w:eastAsia="zh-CN"/>
        </w:rPr>
        <w:t>The</w:t>
      </w:r>
      <w:r>
        <w:rPr>
          <w:rFonts w:eastAsia="宋体"/>
          <w:lang w:eastAsia="zh-CN"/>
        </w:rPr>
        <w:t>se</w:t>
      </w:r>
      <w:r w:rsidR="00074132">
        <w:rPr>
          <w:rFonts w:eastAsia="宋体"/>
          <w:lang w:eastAsia="zh-CN"/>
        </w:rPr>
        <w:t xml:space="preserve"> specific configuration </w:t>
      </w:r>
      <w:r>
        <w:rPr>
          <w:rFonts w:eastAsia="宋体"/>
          <w:lang w:eastAsia="zh-CN"/>
        </w:rPr>
        <w:t>can be</w:t>
      </w:r>
      <w:r w:rsidR="00074132">
        <w:rPr>
          <w:rFonts w:eastAsia="宋体"/>
          <w:lang w:eastAsia="zh-CN"/>
        </w:rPr>
        <w:t xml:space="preserve"> activated </w:t>
      </w:r>
      <w:r>
        <w:rPr>
          <w:rFonts w:eastAsia="宋体"/>
          <w:lang w:eastAsia="zh-CN"/>
        </w:rPr>
        <w:t>when the mobile IAB-MT switch to specific</w:t>
      </w:r>
      <w:r w:rsidR="00074132">
        <w:rPr>
          <w:rFonts w:eastAsia="宋体"/>
          <w:lang w:eastAsia="zh-CN"/>
        </w:rPr>
        <w:t xml:space="preserve"> target cell.</w:t>
      </w:r>
    </w:p>
    <w:p w14:paraId="2FC66891" w14:textId="2B27E685" w:rsidR="0048756B" w:rsidRDefault="0048756B" w:rsidP="0003192D">
      <w:pPr>
        <w:spacing w:beforeLines="50" w:before="120"/>
        <w:rPr>
          <w:rFonts w:eastAsia="宋体"/>
          <w:b/>
          <w:lang w:val="en-US" w:eastAsia="zh-CN"/>
        </w:rPr>
      </w:pPr>
      <w:r w:rsidRPr="007A3779">
        <w:rPr>
          <w:rFonts w:eastAsia="宋体"/>
          <w:b/>
        </w:rPr>
        <w:t xml:space="preserve">Proposal </w:t>
      </w:r>
      <w:r w:rsidR="003651A9">
        <w:rPr>
          <w:rFonts w:eastAsia="宋体"/>
          <w:b/>
        </w:rPr>
        <w:t>1</w:t>
      </w:r>
      <w:r w:rsidRPr="007A3779">
        <w:rPr>
          <w:rFonts w:eastAsia="宋体"/>
          <w:b/>
          <w:lang w:eastAsia="zh-CN"/>
        </w:rPr>
        <w:t xml:space="preserve">: </w:t>
      </w:r>
      <w:r w:rsidR="003651A9">
        <w:rPr>
          <w:rFonts w:eastAsia="宋体"/>
          <w:b/>
          <w:lang w:eastAsia="zh-CN"/>
        </w:rPr>
        <w:t xml:space="preserve">PCI list, </w:t>
      </w:r>
      <w:r w:rsidRPr="0048756B">
        <w:rPr>
          <w:rFonts w:eastAsia="宋体"/>
          <w:b/>
          <w:lang w:val="en-US" w:eastAsia="zh-CN"/>
        </w:rPr>
        <w:t>IP address, IAB-DU cell configuration and F1 association related configuration can be pre-configured to the mobile IAB node.</w:t>
      </w:r>
    </w:p>
    <w:p w14:paraId="162E6E7D" w14:textId="54E30BFD" w:rsidR="00877BD1" w:rsidRDefault="0048756B" w:rsidP="0003192D">
      <w:pPr>
        <w:spacing w:beforeLines="50" w:before="120"/>
        <w:rPr>
          <w:rFonts w:eastAsia="宋体"/>
          <w:lang w:val="en-US" w:eastAsia="zh-CN"/>
        </w:rPr>
      </w:pPr>
      <w:r w:rsidRPr="0048756B">
        <w:rPr>
          <w:rFonts w:eastAsia="宋体"/>
          <w:lang w:val="en-US" w:eastAsia="zh-CN"/>
        </w:rPr>
        <w:lastRenderedPageBreak/>
        <w:t>As for the BH related confi</w:t>
      </w:r>
      <w:r w:rsidR="00877BD1">
        <w:rPr>
          <w:rFonts w:eastAsia="宋体"/>
          <w:lang w:val="en-US" w:eastAsia="zh-CN"/>
        </w:rPr>
        <w:t>guration</w:t>
      </w:r>
      <w:r w:rsidRPr="0048756B">
        <w:rPr>
          <w:rFonts w:eastAsia="宋体"/>
          <w:lang w:val="en-US" w:eastAsia="zh-CN"/>
        </w:rPr>
        <w:t xml:space="preserve">, </w:t>
      </w:r>
      <w:r w:rsidR="00877BD1">
        <w:rPr>
          <w:rFonts w:eastAsia="宋体"/>
          <w:lang w:val="en-US" w:eastAsia="zh-CN"/>
        </w:rPr>
        <w:t xml:space="preserve">we see when the BH configuration is transmitted to the mobile IAB-node, it means the whole transmission path </w:t>
      </w:r>
      <w:r w:rsidR="00322696">
        <w:rPr>
          <w:rFonts w:eastAsia="宋体"/>
          <w:lang w:val="en-US" w:eastAsia="zh-CN"/>
        </w:rPr>
        <w:t>should be</w:t>
      </w:r>
      <w:r w:rsidR="00877BD1">
        <w:rPr>
          <w:rFonts w:eastAsia="宋体"/>
          <w:lang w:val="en-US" w:eastAsia="zh-CN"/>
        </w:rPr>
        <w:t xml:space="preserve"> </w:t>
      </w:r>
      <w:r w:rsidR="009B3768">
        <w:rPr>
          <w:rFonts w:eastAsia="宋体"/>
          <w:lang w:val="en-US" w:eastAsia="zh-CN"/>
        </w:rPr>
        <w:t>ready</w:t>
      </w:r>
      <w:r w:rsidR="00877BD1">
        <w:rPr>
          <w:rFonts w:eastAsia="宋体"/>
          <w:lang w:val="en-US" w:eastAsia="zh-CN"/>
        </w:rPr>
        <w:t xml:space="preserve">, and the resource is reserved in each hop of the IAB-node between the mobile IAB-node and the donor.  </w:t>
      </w:r>
      <w:r w:rsidR="009B3768">
        <w:rPr>
          <w:rFonts w:eastAsia="宋体"/>
          <w:lang w:val="en-US" w:eastAsia="zh-CN"/>
        </w:rPr>
        <w:t xml:space="preserve">So, </w:t>
      </w:r>
      <w:r w:rsidR="00877BD1">
        <w:rPr>
          <w:rFonts w:eastAsia="宋体"/>
          <w:lang w:val="en-US" w:eastAsia="zh-CN"/>
        </w:rPr>
        <w:t xml:space="preserve">for the BH configuration of F1-U, reserving the resource to all F1-U traffic in all possible target paths is resource consuming, which may be unacceptable. </w:t>
      </w:r>
      <w:r w:rsidR="001E732C">
        <w:rPr>
          <w:rFonts w:eastAsia="宋体"/>
          <w:lang w:val="en-US" w:eastAsia="zh-CN"/>
        </w:rPr>
        <w:t xml:space="preserve">In addition, the UP traffic served by the mobile IAB-node may change a lot during the moving of the vehicle, and such traffic change is not predictable, then the reserved resource along the target path may not suitable any more when the mobile IAB node access the target parent node in this target path. </w:t>
      </w:r>
      <w:r w:rsidR="009B3768">
        <w:rPr>
          <w:rFonts w:eastAsia="宋体"/>
          <w:lang w:val="en-US" w:eastAsia="zh-CN"/>
        </w:rPr>
        <w:t>Alternatively, we see that the default BH configuration which to be used by the non F1-U traffic, may be pre-configured , since the resource reserved for the default BH configuration is not large</w:t>
      </w:r>
      <w:r w:rsidR="001E732C">
        <w:rPr>
          <w:rFonts w:eastAsia="宋体"/>
          <w:lang w:val="en-US" w:eastAsia="zh-CN"/>
        </w:rPr>
        <w:t>, and the QoS info for the non-UP traffic is stable</w:t>
      </w:r>
      <w:r w:rsidR="009B3768">
        <w:rPr>
          <w:rFonts w:eastAsia="宋体"/>
          <w:lang w:val="en-US" w:eastAsia="zh-CN"/>
        </w:rPr>
        <w:t xml:space="preserve">. </w:t>
      </w:r>
    </w:p>
    <w:p w14:paraId="6D88FB55" w14:textId="7707BE85" w:rsidR="00980611" w:rsidRDefault="00980611" w:rsidP="0003192D">
      <w:pPr>
        <w:spacing w:beforeLines="50" w:before="120"/>
        <w:rPr>
          <w:rFonts w:eastAsia="宋体"/>
          <w:b/>
          <w:lang w:eastAsia="zh-CN"/>
        </w:rPr>
      </w:pPr>
      <w:r>
        <w:rPr>
          <w:rFonts w:eastAsia="宋体" w:hint="eastAsia"/>
          <w:b/>
          <w:lang w:eastAsia="zh-CN"/>
        </w:rPr>
        <w:t>O</w:t>
      </w:r>
      <w:r>
        <w:rPr>
          <w:rFonts w:eastAsia="宋体"/>
          <w:b/>
          <w:lang w:eastAsia="zh-CN"/>
        </w:rPr>
        <w:t xml:space="preserve">bservation 1: </w:t>
      </w:r>
      <w:r w:rsidR="001E732C">
        <w:rPr>
          <w:rFonts w:eastAsia="宋体"/>
          <w:b/>
          <w:lang w:eastAsia="zh-CN"/>
        </w:rPr>
        <w:t>The BH configuration for all UP traffic served by the mobile IAB node will be resource consuming</w:t>
      </w:r>
      <w:r w:rsidR="007109A8">
        <w:rPr>
          <w:rFonts w:eastAsia="宋体"/>
          <w:b/>
          <w:lang w:eastAsia="zh-CN"/>
        </w:rPr>
        <w:t xml:space="preserve"> along the target path</w:t>
      </w:r>
      <w:r w:rsidR="001E732C">
        <w:rPr>
          <w:rFonts w:eastAsia="宋体"/>
          <w:b/>
          <w:lang w:eastAsia="zh-CN"/>
        </w:rPr>
        <w:t>, and may out of date when the mobile IAB node comes, since the change of UP traffic is not predictable.</w:t>
      </w:r>
    </w:p>
    <w:p w14:paraId="15C789A2" w14:textId="59DE57EB" w:rsidR="00C943B3" w:rsidRPr="00C52FF0" w:rsidRDefault="00C943B3" w:rsidP="0003192D">
      <w:pPr>
        <w:spacing w:beforeLines="50" w:before="120"/>
        <w:rPr>
          <w:rFonts w:eastAsia="宋体"/>
          <w:b/>
          <w:lang w:eastAsia="zh-CN"/>
        </w:rPr>
      </w:pPr>
      <w:r w:rsidRPr="00C52FF0">
        <w:rPr>
          <w:rFonts w:eastAsia="宋体"/>
          <w:b/>
          <w:lang w:eastAsia="zh-CN"/>
        </w:rPr>
        <w:t>Proposal</w:t>
      </w:r>
      <w:r w:rsidR="0048756B" w:rsidRPr="00C52FF0">
        <w:rPr>
          <w:rFonts w:eastAsia="宋体"/>
          <w:b/>
          <w:lang w:eastAsia="zh-CN"/>
        </w:rPr>
        <w:t xml:space="preserve"> </w:t>
      </w:r>
      <w:r w:rsidR="003651A9">
        <w:rPr>
          <w:rFonts w:eastAsia="宋体"/>
          <w:b/>
          <w:lang w:eastAsia="zh-CN"/>
        </w:rPr>
        <w:t>2</w:t>
      </w:r>
      <w:r w:rsidRPr="00C52FF0">
        <w:rPr>
          <w:rFonts w:eastAsia="宋体"/>
          <w:b/>
          <w:lang w:eastAsia="zh-CN"/>
        </w:rPr>
        <w:t xml:space="preserve">: </w:t>
      </w:r>
      <w:r w:rsidR="00877BD1" w:rsidRPr="00C52FF0">
        <w:rPr>
          <w:rFonts w:eastAsia="宋体"/>
          <w:b/>
          <w:lang w:eastAsia="zh-CN"/>
        </w:rPr>
        <w:t xml:space="preserve">The default BH configuration can be pre-configured </w:t>
      </w:r>
      <w:r w:rsidR="009B3768">
        <w:rPr>
          <w:rFonts w:eastAsia="宋体"/>
          <w:b/>
          <w:lang w:eastAsia="zh-CN"/>
        </w:rPr>
        <w:t>for mobile IAB-node</w:t>
      </w:r>
      <w:r w:rsidRPr="00C52FF0">
        <w:rPr>
          <w:rFonts w:eastAsia="宋体"/>
          <w:b/>
          <w:lang w:eastAsia="zh-CN"/>
        </w:rPr>
        <w:t>.</w:t>
      </w:r>
    </w:p>
    <w:p w14:paraId="5FEC745A" w14:textId="12F0CFC2" w:rsidR="00A7495D" w:rsidRPr="00C52FF0" w:rsidRDefault="00A7495D" w:rsidP="00A7495D">
      <w:pPr>
        <w:pStyle w:val="21"/>
        <w:ind w:left="0" w:firstLine="0"/>
      </w:pPr>
      <w:r>
        <w:t xml:space="preserve">2.2 </w:t>
      </w:r>
      <w:r w:rsidR="00121474">
        <w:t>Configuration</w:t>
      </w:r>
      <w:r w:rsidRPr="00A7495D">
        <w:t xml:space="preserve"> sharing between the two logical DU</w:t>
      </w:r>
      <w:r>
        <w:t>s</w:t>
      </w:r>
    </w:p>
    <w:p w14:paraId="6EC9947C" w14:textId="77777777" w:rsidR="00943E8E" w:rsidRDefault="00943E8E" w:rsidP="00943E8E">
      <w:pPr>
        <w:pStyle w:val="aff3"/>
        <w:spacing w:line="300" w:lineRule="auto"/>
        <w:ind w:left="0"/>
        <w:jc w:val="center"/>
      </w:pP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w:instrText>
      </w:r>
      <w:r>
        <w:rPr>
          <w:rFonts w:hint="eastAsia"/>
        </w:rPr>
        <w:instrText>INCLUDEPICTURE  "D:\\</w:instrText>
      </w:r>
      <w:r>
        <w:rPr>
          <w:rFonts w:hint="eastAsia"/>
        </w:rPr>
        <w:instrText>工作安排</w:instrText>
      </w:r>
      <w:r>
        <w:rPr>
          <w:rFonts w:hint="eastAsia"/>
        </w:rPr>
        <w:instrText>\\AppData\\Roaming\\eSpace_Desktop\\UserData\\z00631415\\imagefiles\\originalImgfiles\\2611BFAC-DB6E-45E1-A27E-32FB5ED5C0FD.png"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w:instrText>
      </w:r>
      <w:r>
        <w:rPr>
          <w:rFonts w:hint="eastAsia"/>
        </w:rPr>
        <w:instrText>工作安排</w:instrText>
      </w:r>
      <w:r>
        <w:rPr>
          <w:rFonts w:hint="eastAsia"/>
        </w:rPr>
        <w:instrText>\\AppData\\Roaming\\eSpace_Desktop\\UserData\\z00631415\\imagefiles\\originalImgfiles\\2611BFAC-DB6E-45E1-A27E-32FB5ED5C0FD.png"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w:instrText>
      </w:r>
      <w:r>
        <w:rPr>
          <w:rFonts w:hint="eastAsia"/>
        </w:rPr>
        <w:instrText>工作安排</w:instrText>
      </w:r>
      <w:r>
        <w:rPr>
          <w:rFonts w:hint="eastAsia"/>
        </w:rPr>
        <w:instrText>\\AppData\\Roaming\\eSpace_Desktop\\UserData\\z00631415\\imagefiles\\originalImgfiles\\2611BFAC-DB6E-45E1-A27E-32FB5ED5C0FD.png"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w:instrText>
      </w:r>
      <w:r>
        <w:rPr>
          <w:rFonts w:hint="eastAsia"/>
        </w:rPr>
        <w:instrText>工作安排</w:instrText>
      </w:r>
      <w:r>
        <w:rPr>
          <w:rFonts w:hint="eastAsia"/>
        </w:rPr>
        <w:instrText>\\AppData\\Roaming\\eSpace_Desktop\\UserData\\z00631415\\imagefiles\\originalImgfiles\\2611BFAC-DB6E-45E1-A27E-32FB5ED5C0FD.png"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rsidR="00CD6226">
        <w:fldChar w:fldCharType="begin"/>
      </w:r>
      <w:r w:rsidR="00CD6226">
        <w:instrText xml:space="preserve"> INCLUDEPICTURE  "C:\\..\\..\\..\\AppData\\Roaming\\eSpace_Desktop\\UserData\\z00631415\\imagefiles\\originalImgfiles\\2611BFAC-DB6E-45E1-A27E-32FB5ED5C0FD.png" \* MERGEFORMATINET </w:instrText>
      </w:r>
      <w:r w:rsidR="00CD6226">
        <w:fldChar w:fldCharType="separate"/>
      </w:r>
      <w:r w:rsidR="0073059E">
        <w:fldChar w:fldCharType="begin"/>
      </w:r>
      <w:r w:rsidR="0073059E">
        <w:instrText xml:space="preserve"> INCLUDEPICTURE  "D:\\..\\..\\..\\..\\..\\AppData\\Roaming\\eSpace_Desktop\\UserData\\z00631415\\imagefiles\\originalImgfiles\\2611BFAC-DB6E-45E1-A27E-32FB5ED5C0FD.png" \* MERGEFORMATINET </w:instrText>
      </w:r>
      <w:r w:rsidR="0073059E">
        <w:fldChar w:fldCharType="separate"/>
      </w:r>
      <w:r w:rsidR="00712C57">
        <w:fldChar w:fldCharType="begin"/>
      </w:r>
      <w:r w:rsidR="00712C57">
        <w:instrText xml:space="preserve"> </w:instrText>
      </w:r>
      <w:r w:rsidR="00712C57">
        <w:instrText>INCLUDEPICTURE  "D:\\..\\..\\..\\..\\..\\AppData\\Roaming\\eSpace_Desktop\\UserData\\z00631415\\imagefiles\\originalImgfiles\\2611BFAC-DB6E-45E1-A27E-32FB5ED5C0FD.png" \* MERGEFORMATINET</w:instrText>
      </w:r>
      <w:r w:rsidR="00712C57">
        <w:instrText xml:space="preserve"> </w:instrText>
      </w:r>
      <w:r w:rsidR="00712C57">
        <w:fldChar w:fldCharType="separate"/>
      </w:r>
      <w:r w:rsidR="003651A9">
        <w:pict w14:anchorId="41B8E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611BFAC-DB6E-45E1-A27E-32FB5ED5C0FD" o:spid="_x0000_i1025" type="#_x0000_t75" style="width:473.85pt;height:155.75pt;mso-wrap-distance-left:2.25pt;mso-wrap-distance-top:2.25pt;mso-wrap-distance-right:2.25pt;mso-wrap-distance-bottom:2.25pt">
            <v:imagedata r:id="rId8" r:href="rId9"/>
          </v:shape>
        </w:pict>
      </w:r>
      <w:r w:rsidR="00712C57">
        <w:fldChar w:fldCharType="end"/>
      </w:r>
      <w:r w:rsidR="0073059E">
        <w:fldChar w:fldCharType="end"/>
      </w:r>
      <w:r w:rsidR="00CD6226">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1DDB889" w14:textId="5E091716" w:rsidR="00943E8E" w:rsidRPr="00943E8E" w:rsidRDefault="00943E8E" w:rsidP="00943E8E">
      <w:pPr>
        <w:pStyle w:val="af7"/>
        <w:jc w:val="center"/>
        <w:rPr>
          <w:sz w:val="18"/>
        </w:rPr>
      </w:pPr>
      <w:r w:rsidRPr="00786376">
        <w:rPr>
          <w:sz w:val="18"/>
        </w:rPr>
        <w:t xml:space="preserve">Figure </w:t>
      </w:r>
      <w:r>
        <w:rPr>
          <w:sz w:val="18"/>
        </w:rPr>
        <w:t>1 Full migration sequences</w:t>
      </w:r>
    </w:p>
    <w:p w14:paraId="7FEA83FB" w14:textId="77777777" w:rsidR="001D1A31" w:rsidRDefault="00A7495D" w:rsidP="00A7495D">
      <w:pPr>
        <w:rPr>
          <w:rFonts w:eastAsia="宋体"/>
          <w:lang w:eastAsia="zh-CN"/>
        </w:rPr>
      </w:pPr>
      <w:r>
        <w:rPr>
          <w:rFonts w:eastAsia="宋体"/>
          <w:lang w:eastAsia="zh-CN"/>
        </w:rPr>
        <w:t xml:space="preserve">As </w:t>
      </w:r>
      <w:r w:rsidR="00943E8E">
        <w:rPr>
          <w:rFonts w:eastAsia="宋体"/>
          <w:lang w:eastAsia="zh-CN"/>
        </w:rPr>
        <w:t>shown in Figure 1</w:t>
      </w:r>
      <w:r>
        <w:rPr>
          <w:rFonts w:eastAsia="宋体"/>
          <w:lang w:eastAsia="zh-CN"/>
        </w:rPr>
        <w:t xml:space="preserve">, in full migration, a new F1 interface is to be set up between the migrating DU and the target Donor-CU. Under the rule that a DU should not have multiple F1 interfaces with different CUs and to ensure the UE service continuity, the migrating IAB-node has two logical DUs, which respectively possess F1 interfaces with the source and target CUs, and the UEs switch (handover) from one logical DU to the other. </w:t>
      </w:r>
    </w:p>
    <w:p w14:paraId="742FF32B" w14:textId="0239BF81" w:rsidR="00A7495D" w:rsidRDefault="00A7495D" w:rsidP="00A7495D">
      <w:pPr>
        <w:rPr>
          <w:rFonts w:eastAsia="宋体"/>
          <w:lang w:eastAsia="zh-CN"/>
        </w:rPr>
      </w:pPr>
      <w:r>
        <w:rPr>
          <w:rFonts w:eastAsia="宋体"/>
          <w:lang w:eastAsia="zh-CN"/>
        </w:rPr>
        <w:t xml:space="preserve">In normal handover, the </w:t>
      </w:r>
      <w:r w:rsidR="00D24CE5">
        <w:rPr>
          <w:rFonts w:eastAsia="宋体"/>
          <w:lang w:eastAsia="zh-CN"/>
        </w:rPr>
        <w:t>source CU</w:t>
      </w:r>
      <w:r>
        <w:rPr>
          <w:rFonts w:eastAsia="宋体"/>
          <w:lang w:eastAsia="zh-CN"/>
        </w:rPr>
        <w:t xml:space="preserve"> </w:t>
      </w:r>
      <w:r w:rsidR="00D24CE5">
        <w:rPr>
          <w:rFonts w:eastAsia="宋体"/>
          <w:lang w:eastAsia="zh-CN"/>
        </w:rPr>
        <w:t xml:space="preserve">chooses </w:t>
      </w:r>
      <w:r>
        <w:rPr>
          <w:rFonts w:eastAsia="宋体"/>
          <w:lang w:eastAsia="zh-CN"/>
        </w:rPr>
        <w:t xml:space="preserve">the target cell based on the UE’s measurement report. </w:t>
      </w:r>
      <w:r w:rsidR="00137F4A">
        <w:rPr>
          <w:rFonts w:eastAsia="宋体"/>
          <w:lang w:eastAsia="zh-CN"/>
        </w:rPr>
        <w:t>But in the vehicle mounted IAB scenario, the relative position</w:t>
      </w:r>
      <w:r w:rsidR="00B87AC7">
        <w:rPr>
          <w:rFonts w:eastAsia="宋体"/>
          <w:lang w:eastAsia="zh-CN"/>
        </w:rPr>
        <w:t>s</w:t>
      </w:r>
      <w:r w:rsidR="00137F4A">
        <w:rPr>
          <w:rFonts w:eastAsia="宋体"/>
          <w:lang w:eastAsia="zh-CN"/>
        </w:rPr>
        <w:t xml:space="preserve"> between the UE and the two logical DUs </w:t>
      </w:r>
      <w:r w:rsidR="00B87AC7">
        <w:rPr>
          <w:rFonts w:eastAsia="宋体"/>
          <w:lang w:eastAsia="zh-CN"/>
        </w:rPr>
        <w:t>do not change.</w:t>
      </w:r>
      <w:r w:rsidR="00137F4A">
        <w:rPr>
          <w:rFonts w:eastAsia="宋体"/>
          <w:lang w:eastAsia="zh-CN"/>
        </w:rPr>
        <w:t xml:space="preserve"> </w:t>
      </w:r>
      <w:r w:rsidR="00B87AC7">
        <w:rPr>
          <w:rFonts w:eastAsia="宋体"/>
          <w:lang w:eastAsia="zh-CN"/>
        </w:rPr>
        <w:t>If</w:t>
      </w:r>
      <w:r w:rsidR="00137F4A">
        <w:rPr>
          <w:rFonts w:eastAsia="宋体"/>
          <w:lang w:eastAsia="zh-CN"/>
        </w:rPr>
        <w:t xml:space="preserve"> th</w:t>
      </w:r>
      <w:r w:rsidR="00121474">
        <w:rPr>
          <w:rFonts w:eastAsia="宋体"/>
          <w:lang w:eastAsia="zh-CN"/>
        </w:rPr>
        <w:t>e two logical DUs</w:t>
      </w:r>
      <w:r w:rsidR="00137F4A">
        <w:rPr>
          <w:rFonts w:eastAsia="宋体"/>
          <w:lang w:eastAsia="zh-CN"/>
        </w:rPr>
        <w:t xml:space="preserve"> have some configurations in common (e.g., with the same beam directions, </w:t>
      </w:r>
      <w:r w:rsidR="00B87AC7">
        <w:rPr>
          <w:rFonts w:eastAsia="宋体"/>
          <w:lang w:eastAsia="zh-CN"/>
        </w:rPr>
        <w:t>the same slot configurations, and different carriers</w:t>
      </w:r>
      <w:r w:rsidR="00137F4A">
        <w:rPr>
          <w:rFonts w:eastAsia="宋体"/>
          <w:lang w:eastAsia="zh-CN"/>
        </w:rPr>
        <w:t>)</w:t>
      </w:r>
      <w:r w:rsidR="00B87AC7">
        <w:rPr>
          <w:rFonts w:eastAsia="宋体"/>
          <w:lang w:eastAsia="zh-CN"/>
        </w:rPr>
        <w:t xml:space="preserve">, the UE’s target cell can be directly assigned </w:t>
      </w:r>
      <w:r w:rsidR="00976571">
        <w:rPr>
          <w:rFonts w:eastAsia="宋体"/>
          <w:lang w:eastAsia="zh-CN"/>
        </w:rPr>
        <w:t>without</w:t>
      </w:r>
      <w:r w:rsidR="00B87AC7">
        <w:rPr>
          <w:rFonts w:eastAsia="宋体"/>
          <w:lang w:eastAsia="zh-CN"/>
        </w:rPr>
        <w:t xml:space="preserve"> </w:t>
      </w:r>
      <w:r w:rsidR="00976571">
        <w:rPr>
          <w:rFonts w:eastAsia="宋体"/>
          <w:lang w:eastAsia="zh-CN"/>
        </w:rPr>
        <w:t xml:space="preserve">the </w:t>
      </w:r>
      <w:r w:rsidR="00B87AC7">
        <w:rPr>
          <w:rFonts w:eastAsia="宋体"/>
          <w:lang w:eastAsia="zh-CN"/>
        </w:rPr>
        <w:t xml:space="preserve">measurement </w:t>
      </w:r>
      <w:r w:rsidR="00976571">
        <w:rPr>
          <w:rFonts w:eastAsia="宋体"/>
          <w:lang w:eastAsia="zh-CN"/>
        </w:rPr>
        <w:t>report</w:t>
      </w:r>
      <w:r w:rsidR="00F43D84">
        <w:rPr>
          <w:rFonts w:eastAsia="宋体"/>
          <w:lang w:eastAsia="zh-CN"/>
        </w:rPr>
        <w:t>, if there is mapping relationship of the cells served by the source logical IAB-DU and the target logical IAB-DU. And the configuration procedure for the target logical IAB-DU will be simpler than the normal procedure for DU’s cell management. In such sense it will be</w:t>
      </w:r>
      <w:r w:rsidR="00976571">
        <w:rPr>
          <w:rFonts w:eastAsia="宋体"/>
          <w:lang w:eastAsia="zh-CN"/>
        </w:rPr>
        <w:t xml:space="preserve"> beneficial to reduce the full migration execution time</w:t>
      </w:r>
      <w:r w:rsidR="00B87AC7">
        <w:rPr>
          <w:rFonts w:eastAsia="宋体"/>
          <w:lang w:eastAsia="zh-CN"/>
        </w:rPr>
        <w:t xml:space="preserve">. </w:t>
      </w:r>
      <w:r w:rsidR="001D1A31">
        <w:rPr>
          <w:rFonts w:eastAsia="宋体"/>
          <w:lang w:eastAsia="zh-CN"/>
        </w:rPr>
        <w:t xml:space="preserve">Besides, another benefit of the configuration sharing between the two logical DUs is that </w:t>
      </w:r>
      <w:r w:rsidR="00D24CE5">
        <w:rPr>
          <w:rFonts w:eastAsia="宋体"/>
          <w:lang w:eastAsia="zh-CN"/>
        </w:rPr>
        <w:t>impact when updating radio resource related configuration to UE can be reduced as</w:t>
      </w:r>
      <w:r w:rsidR="001D1A31">
        <w:rPr>
          <w:rFonts w:eastAsia="宋体"/>
          <w:lang w:eastAsia="zh-CN"/>
        </w:rPr>
        <w:t xml:space="preserve"> </w:t>
      </w:r>
      <w:r w:rsidR="00D24CE5">
        <w:rPr>
          <w:rFonts w:eastAsia="宋体"/>
          <w:lang w:eastAsia="zh-CN"/>
        </w:rPr>
        <w:t xml:space="preserve">much </w:t>
      </w:r>
      <w:r w:rsidR="001D1A31">
        <w:rPr>
          <w:rFonts w:eastAsia="宋体"/>
          <w:lang w:eastAsia="zh-CN"/>
        </w:rPr>
        <w:t>as possible</w:t>
      </w:r>
      <w:r w:rsidR="00976571">
        <w:rPr>
          <w:rFonts w:eastAsia="宋体"/>
          <w:lang w:eastAsia="zh-CN"/>
        </w:rPr>
        <w:t xml:space="preserve">. </w:t>
      </w:r>
    </w:p>
    <w:p w14:paraId="4CBF2266" w14:textId="656A5C63" w:rsidR="00A7495D" w:rsidRDefault="00F43D84" w:rsidP="0003192D">
      <w:pPr>
        <w:spacing w:beforeLines="50" w:before="120"/>
        <w:rPr>
          <w:rFonts w:eastAsia="宋体"/>
          <w:lang w:eastAsia="zh-CN"/>
        </w:rPr>
      </w:pPr>
      <w:r>
        <w:rPr>
          <w:rFonts w:eastAsia="宋体"/>
          <w:lang w:eastAsia="zh-CN"/>
        </w:rPr>
        <w:t xml:space="preserve">More </w:t>
      </w:r>
      <w:r w:rsidR="000E7A61">
        <w:rPr>
          <w:rFonts w:eastAsia="宋体"/>
          <w:lang w:eastAsia="zh-CN"/>
        </w:rPr>
        <w:t xml:space="preserve">details </w:t>
      </w:r>
      <w:r>
        <w:rPr>
          <w:rFonts w:eastAsia="宋体"/>
          <w:lang w:eastAsia="zh-CN"/>
        </w:rPr>
        <w:t>for how to enable the configuration sharing and which configuration can be shared still</w:t>
      </w:r>
      <w:r w:rsidR="00976571">
        <w:rPr>
          <w:rFonts w:eastAsia="宋体"/>
          <w:lang w:eastAsia="zh-CN"/>
        </w:rPr>
        <w:t xml:space="preserve"> need to be further </w:t>
      </w:r>
      <w:r w:rsidR="001D1A31">
        <w:rPr>
          <w:rFonts w:eastAsia="宋体"/>
          <w:lang w:eastAsia="zh-CN"/>
        </w:rPr>
        <w:t xml:space="preserve">discussed, but </w:t>
      </w:r>
      <w:r w:rsidR="00976571">
        <w:rPr>
          <w:rFonts w:eastAsia="宋体"/>
          <w:lang w:eastAsia="zh-CN"/>
        </w:rPr>
        <w:t xml:space="preserve">the </w:t>
      </w:r>
      <w:r w:rsidR="001D1A31">
        <w:rPr>
          <w:rFonts w:eastAsia="宋体"/>
          <w:lang w:eastAsia="zh-CN"/>
        </w:rPr>
        <w:t xml:space="preserve">benefit of configuration sharing between the two logical DUs is clear, and the </w:t>
      </w:r>
      <w:r w:rsidR="00976571">
        <w:rPr>
          <w:rFonts w:eastAsia="宋体"/>
          <w:lang w:eastAsia="zh-CN"/>
        </w:rPr>
        <w:t xml:space="preserve">motivation of configuring UE’s target cell without measurement is </w:t>
      </w:r>
      <w:r w:rsidR="001D1A31">
        <w:rPr>
          <w:rFonts w:eastAsia="宋体"/>
          <w:lang w:eastAsia="zh-CN"/>
        </w:rPr>
        <w:t xml:space="preserve">also </w:t>
      </w:r>
      <w:r w:rsidR="00976571">
        <w:rPr>
          <w:rFonts w:eastAsia="宋体"/>
          <w:lang w:eastAsia="zh-CN"/>
        </w:rPr>
        <w:t>clear.</w:t>
      </w:r>
      <w:r w:rsidR="001D1A31">
        <w:rPr>
          <w:rFonts w:eastAsia="宋体"/>
          <w:lang w:eastAsia="zh-CN"/>
        </w:rPr>
        <w:t xml:space="preserve"> Therefore, we propose:</w:t>
      </w:r>
    </w:p>
    <w:p w14:paraId="5AC27067" w14:textId="3C672FCF" w:rsidR="001D1A31" w:rsidRPr="00C52FF0" w:rsidRDefault="001D1A31" w:rsidP="001D1A31">
      <w:pPr>
        <w:spacing w:beforeLines="50" w:before="120"/>
        <w:rPr>
          <w:rFonts w:eastAsia="宋体"/>
          <w:b/>
          <w:lang w:eastAsia="zh-CN"/>
        </w:rPr>
      </w:pPr>
      <w:r w:rsidRPr="00C52FF0">
        <w:rPr>
          <w:rFonts w:eastAsia="宋体"/>
          <w:b/>
          <w:lang w:eastAsia="zh-CN"/>
        </w:rPr>
        <w:t xml:space="preserve">Proposal </w:t>
      </w:r>
      <w:r w:rsidR="003651A9">
        <w:rPr>
          <w:rFonts w:eastAsia="宋体"/>
          <w:b/>
          <w:lang w:eastAsia="zh-CN"/>
        </w:rPr>
        <w:t>3</w:t>
      </w:r>
      <w:r w:rsidRPr="00C52FF0">
        <w:rPr>
          <w:rFonts w:eastAsia="宋体"/>
          <w:b/>
          <w:lang w:eastAsia="zh-CN"/>
        </w:rPr>
        <w:t xml:space="preserve">: </w:t>
      </w:r>
      <w:r w:rsidR="00F057C1">
        <w:rPr>
          <w:rFonts w:eastAsia="宋体"/>
          <w:b/>
          <w:lang w:eastAsia="zh-CN"/>
        </w:rPr>
        <w:t>Some</w:t>
      </w:r>
      <w:r>
        <w:rPr>
          <w:rFonts w:eastAsia="宋体"/>
          <w:b/>
          <w:lang w:eastAsia="zh-CN"/>
        </w:rPr>
        <w:t xml:space="preserve"> cell configurations </w:t>
      </w:r>
      <w:r w:rsidR="00F057C1">
        <w:rPr>
          <w:rFonts w:eastAsia="宋体"/>
          <w:b/>
          <w:lang w:eastAsia="zh-CN"/>
        </w:rPr>
        <w:t>can be shared</w:t>
      </w:r>
      <w:r>
        <w:rPr>
          <w:rFonts w:eastAsia="宋体"/>
          <w:b/>
          <w:lang w:eastAsia="zh-CN"/>
        </w:rPr>
        <w:t xml:space="preserve"> between the two logical DUs. Based on the sharing of cell configurations, </w:t>
      </w:r>
      <w:r w:rsidR="00F057C1">
        <w:rPr>
          <w:rFonts w:eastAsia="宋体"/>
          <w:b/>
          <w:lang w:eastAsia="zh-CN"/>
        </w:rPr>
        <w:t>the network can acquire the UE’s target cell without the measurement report.</w:t>
      </w:r>
    </w:p>
    <w:p w14:paraId="0B09F2FD" w14:textId="0EB064E0" w:rsidR="00150551" w:rsidRPr="00707EB3" w:rsidRDefault="00150551" w:rsidP="00150551">
      <w:pPr>
        <w:pStyle w:val="10"/>
        <w:rPr>
          <w:rFonts w:eastAsia="宋体"/>
        </w:rPr>
      </w:pPr>
      <w:r>
        <w:rPr>
          <w:rFonts w:eastAsia="宋体"/>
        </w:rPr>
        <w:lastRenderedPageBreak/>
        <w:t xml:space="preserve">3 </w:t>
      </w:r>
      <w:r w:rsidRPr="00707EB3">
        <w:rPr>
          <w:rFonts w:eastAsia="宋体"/>
        </w:rPr>
        <w:t>Conclusion</w:t>
      </w:r>
    </w:p>
    <w:p w14:paraId="382D0BF2" w14:textId="38F12F58" w:rsidR="00150551" w:rsidRDefault="00150551" w:rsidP="00150551">
      <w:pPr>
        <w:rPr>
          <w:lang w:val="x-none"/>
        </w:rPr>
      </w:pPr>
      <w:r w:rsidRPr="00707EB3">
        <w:t>This pape</w:t>
      </w:r>
      <w:r>
        <w:t xml:space="preserve">r mainly discusses the potential issues on </w:t>
      </w:r>
      <w:r w:rsidR="00F057C1">
        <w:t>the p</w:t>
      </w:r>
      <w:r w:rsidR="00F057C1" w:rsidRPr="00F057C1">
        <w:t>re-configuration and information sharing for mobile IAB</w:t>
      </w:r>
      <w:r w:rsidR="0003192D">
        <w:rPr>
          <w:lang w:val="x-none"/>
        </w:rPr>
        <w:t>. W</w:t>
      </w:r>
      <w:r w:rsidRPr="00707EB3">
        <w:rPr>
          <w:lang w:val="x-none"/>
        </w:rPr>
        <w:t>e provide the following observation</w:t>
      </w:r>
      <w:r>
        <w:rPr>
          <w:lang w:val="x-none"/>
        </w:rPr>
        <w:t>s</w:t>
      </w:r>
      <w:r w:rsidRPr="00707EB3">
        <w:rPr>
          <w:lang w:val="x-none"/>
        </w:rPr>
        <w:t xml:space="preserve"> and proposals:</w:t>
      </w:r>
    </w:p>
    <w:p w14:paraId="4574B480" w14:textId="77777777" w:rsidR="00C6723E" w:rsidRDefault="00C6723E" w:rsidP="00C6723E">
      <w:pPr>
        <w:spacing w:beforeLines="50" w:before="120"/>
        <w:rPr>
          <w:rFonts w:eastAsia="宋体"/>
          <w:b/>
          <w:lang w:eastAsia="zh-CN"/>
        </w:rPr>
      </w:pPr>
      <w:r>
        <w:rPr>
          <w:rFonts w:eastAsia="宋体" w:hint="eastAsia"/>
          <w:b/>
          <w:lang w:eastAsia="zh-CN"/>
        </w:rPr>
        <w:t>O</w:t>
      </w:r>
      <w:r>
        <w:rPr>
          <w:rFonts w:eastAsia="宋体"/>
          <w:b/>
          <w:lang w:eastAsia="zh-CN"/>
        </w:rPr>
        <w:t>bservation 1: The BH configuration for all UP traffic served by the mobile IAB node will be resource consuming along the target path, and may out of date when the mobile IAB node comes, since the change of UP traffic is not predictable.</w:t>
      </w:r>
    </w:p>
    <w:p w14:paraId="4EF5D2B5" w14:textId="35917B33" w:rsidR="00F057C1" w:rsidRDefault="00F057C1" w:rsidP="00F057C1">
      <w:pPr>
        <w:spacing w:beforeLines="50" w:before="120"/>
        <w:rPr>
          <w:rFonts w:eastAsia="宋体"/>
          <w:b/>
          <w:lang w:val="en-US" w:eastAsia="zh-CN"/>
        </w:rPr>
      </w:pPr>
      <w:r w:rsidRPr="007A3779">
        <w:rPr>
          <w:rFonts w:eastAsia="宋体"/>
          <w:b/>
        </w:rPr>
        <w:t xml:space="preserve">Proposal </w:t>
      </w:r>
      <w:r w:rsidR="003651A9">
        <w:rPr>
          <w:rFonts w:eastAsia="宋体"/>
          <w:b/>
        </w:rPr>
        <w:t>1</w:t>
      </w:r>
      <w:r w:rsidRPr="007A3779">
        <w:rPr>
          <w:rFonts w:eastAsia="宋体"/>
          <w:b/>
          <w:lang w:eastAsia="zh-CN"/>
        </w:rPr>
        <w:t xml:space="preserve">: </w:t>
      </w:r>
      <w:r w:rsidR="003651A9">
        <w:rPr>
          <w:rFonts w:eastAsia="宋体"/>
          <w:b/>
          <w:lang w:eastAsia="zh-CN"/>
        </w:rPr>
        <w:t xml:space="preserve">PCI list, </w:t>
      </w:r>
      <w:r w:rsidRPr="0048756B">
        <w:rPr>
          <w:rFonts w:eastAsia="宋体"/>
          <w:b/>
          <w:lang w:val="en-US" w:eastAsia="zh-CN"/>
        </w:rPr>
        <w:t>IP address, IAB-DU cell configuration and F1 association related configuration can be pre-configured to the mobile IAB node.</w:t>
      </w:r>
    </w:p>
    <w:p w14:paraId="140C28F7" w14:textId="042C28F7" w:rsidR="00F057C1" w:rsidRPr="00C52FF0" w:rsidRDefault="00F057C1" w:rsidP="00F057C1">
      <w:pPr>
        <w:spacing w:beforeLines="50" w:before="120"/>
        <w:rPr>
          <w:rFonts w:eastAsia="宋体"/>
          <w:b/>
          <w:lang w:eastAsia="zh-CN"/>
        </w:rPr>
      </w:pPr>
      <w:r w:rsidRPr="00C52FF0">
        <w:rPr>
          <w:rFonts w:eastAsia="宋体"/>
          <w:b/>
          <w:lang w:eastAsia="zh-CN"/>
        </w:rPr>
        <w:t xml:space="preserve">Proposal </w:t>
      </w:r>
      <w:r w:rsidR="003651A9">
        <w:rPr>
          <w:rFonts w:eastAsia="宋体"/>
          <w:b/>
          <w:lang w:eastAsia="zh-CN"/>
        </w:rPr>
        <w:t>2</w:t>
      </w:r>
      <w:r w:rsidRPr="00C52FF0">
        <w:rPr>
          <w:rFonts w:eastAsia="宋体"/>
          <w:b/>
          <w:lang w:eastAsia="zh-CN"/>
        </w:rPr>
        <w:t>: The default BH configuration can be pre-configured</w:t>
      </w:r>
      <w:r w:rsidR="00C6723E" w:rsidRPr="00C52FF0">
        <w:rPr>
          <w:rFonts w:eastAsia="宋体"/>
          <w:b/>
          <w:lang w:eastAsia="zh-CN"/>
        </w:rPr>
        <w:t xml:space="preserve"> </w:t>
      </w:r>
      <w:r w:rsidR="00C6723E">
        <w:rPr>
          <w:rFonts w:eastAsia="宋体"/>
          <w:b/>
          <w:lang w:eastAsia="zh-CN"/>
        </w:rPr>
        <w:t>for mobile IAB-node</w:t>
      </w:r>
      <w:r w:rsidR="00C6723E" w:rsidRPr="00C52FF0">
        <w:rPr>
          <w:rFonts w:eastAsia="宋体"/>
          <w:b/>
          <w:lang w:eastAsia="zh-CN"/>
        </w:rPr>
        <w:t>.</w:t>
      </w:r>
    </w:p>
    <w:p w14:paraId="7022F236" w14:textId="13961C0B" w:rsidR="00416B3B" w:rsidRPr="00F057C1" w:rsidRDefault="00F057C1" w:rsidP="003651A9">
      <w:pPr>
        <w:spacing w:beforeLines="50" w:before="120"/>
        <w:rPr>
          <w:rFonts w:eastAsia="宋体"/>
          <w:b/>
          <w:lang w:eastAsia="zh-CN"/>
        </w:rPr>
      </w:pPr>
      <w:r w:rsidRPr="00C52FF0">
        <w:rPr>
          <w:rFonts w:eastAsia="宋体"/>
          <w:b/>
          <w:lang w:eastAsia="zh-CN"/>
        </w:rPr>
        <w:t xml:space="preserve">Proposal </w:t>
      </w:r>
      <w:r w:rsidR="003651A9">
        <w:rPr>
          <w:rFonts w:eastAsia="宋体"/>
          <w:b/>
          <w:lang w:eastAsia="zh-CN"/>
        </w:rPr>
        <w:t>3</w:t>
      </w:r>
      <w:r w:rsidRPr="00C52FF0">
        <w:rPr>
          <w:rFonts w:eastAsia="宋体"/>
          <w:b/>
          <w:lang w:eastAsia="zh-CN"/>
        </w:rPr>
        <w:t xml:space="preserve">: </w:t>
      </w:r>
      <w:r>
        <w:rPr>
          <w:rFonts w:eastAsia="宋体"/>
          <w:b/>
          <w:lang w:eastAsia="zh-CN"/>
        </w:rPr>
        <w:t>Some cell configurations can be shared between the two logical DUs. Based on the sharing of cell configurations, the network can acquire the UE’s target cell without the measurement report.</w:t>
      </w:r>
    </w:p>
    <w:p w14:paraId="762393B1" w14:textId="77777777" w:rsidR="005C19C0" w:rsidRDefault="005C19C0" w:rsidP="005C19C0">
      <w:pPr>
        <w:pStyle w:val="10"/>
        <w:tabs>
          <w:tab w:val="num" w:pos="432"/>
        </w:tabs>
        <w:overflowPunct w:val="0"/>
        <w:autoSpaceDE w:val="0"/>
        <w:autoSpaceDN w:val="0"/>
        <w:adjustRightInd w:val="0"/>
        <w:ind w:left="432" w:hanging="432"/>
        <w:rPr>
          <w:rFonts w:eastAsia="宋体"/>
        </w:rPr>
      </w:pPr>
      <w:r>
        <w:rPr>
          <w:rFonts w:hint="eastAsia"/>
        </w:rPr>
        <w:t>Reference</w:t>
      </w:r>
    </w:p>
    <w:p w14:paraId="114D1F40" w14:textId="428F18F7" w:rsidR="00646323" w:rsidRDefault="003651A9" w:rsidP="002D4E86">
      <w:pPr>
        <w:numPr>
          <w:ilvl w:val="0"/>
          <w:numId w:val="13"/>
        </w:numPr>
        <w:overflowPunct w:val="0"/>
        <w:autoSpaceDE w:val="0"/>
        <w:autoSpaceDN w:val="0"/>
        <w:adjustRightInd w:val="0"/>
        <w:spacing w:after="120"/>
        <w:jc w:val="both"/>
        <w:rPr>
          <w:szCs w:val="22"/>
          <w:lang w:val="x-none"/>
        </w:rPr>
      </w:pPr>
      <w:bookmarkStart w:id="2" w:name="_Ref114929905"/>
      <w:bookmarkEnd w:id="0"/>
      <w:bookmarkEnd w:id="1"/>
      <w:r>
        <w:rPr>
          <w:szCs w:val="22"/>
          <w:lang w:val="x-none"/>
        </w:rPr>
        <w:t>Chairman notes of RAN3-117e meeting</w:t>
      </w:r>
      <w:bookmarkStart w:id="3" w:name="_GoBack"/>
      <w:bookmarkEnd w:id="3"/>
      <w:r w:rsidR="00972A87">
        <w:rPr>
          <w:szCs w:val="22"/>
          <w:lang w:val="x-none"/>
        </w:rPr>
        <w:t>.</w:t>
      </w:r>
      <w:bookmarkEnd w:id="2"/>
    </w:p>
    <w:sectPr w:rsidR="00646323" w:rsidSect="00510DB4">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40CC9" w14:textId="77777777" w:rsidR="00712C57" w:rsidRDefault="00712C57">
      <w:r>
        <w:separator/>
      </w:r>
    </w:p>
  </w:endnote>
  <w:endnote w:type="continuationSeparator" w:id="0">
    <w:p w14:paraId="7C72B02E" w14:textId="77777777" w:rsidR="00712C57" w:rsidRDefault="00712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B8534" w14:textId="77777777" w:rsidR="00712C57" w:rsidRDefault="00712C57">
      <w:r>
        <w:separator/>
      </w:r>
    </w:p>
  </w:footnote>
  <w:footnote w:type="continuationSeparator" w:id="0">
    <w:p w14:paraId="5B38E505" w14:textId="77777777" w:rsidR="00712C57" w:rsidRDefault="00712C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D6222"/>
    <w:multiLevelType w:val="hybridMultilevel"/>
    <w:tmpl w:val="0328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00F41A9"/>
    <w:multiLevelType w:val="hybridMultilevel"/>
    <w:tmpl w:val="BDC4A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C4700B8"/>
    <w:multiLevelType w:val="hybridMultilevel"/>
    <w:tmpl w:val="9E2217E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33D7D"/>
    <w:multiLevelType w:val="hybridMultilevel"/>
    <w:tmpl w:val="D954285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A333CF"/>
    <w:multiLevelType w:val="hybridMultilevel"/>
    <w:tmpl w:val="636A64E2"/>
    <w:lvl w:ilvl="0" w:tplc="B5BC75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1"/>
  </w:num>
  <w:num w:numId="4">
    <w:abstractNumId w:val="16"/>
  </w:num>
  <w:num w:numId="5">
    <w:abstractNumId w:val="1"/>
  </w:num>
  <w:num w:numId="6">
    <w:abstractNumId w:val="6"/>
  </w:num>
  <w:num w:numId="7">
    <w:abstractNumId w:val="12"/>
  </w:num>
  <w:num w:numId="8">
    <w:abstractNumId w:val="13"/>
  </w:num>
  <w:num w:numId="9">
    <w:abstractNumId w:val="11"/>
  </w:num>
  <w:num w:numId="10">
    <w:abstractNumId w:val="14"/>
  </w:num>
  <w:num w:numId="11">
    <w:abstractNumId w:val="17"/>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
  </w:num>
  <w:num w:numId="18">
    <w:abstractNumId w:val="8"/>
  </w:num>
  <w:num w:numId="19">
    <w:abstractNumId w:val="5"/>
  </w:num>
  <w:num w:numId="20">
    <w:abstractNumId w:val="18"/>
  </w:num>
  <w:num w:numId="21">
    <w:abstractNumId w:val="0"/>
  </w:num>
  <w:num w:numId="22">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C43"/>
    <w:rsid w:val="000205C0"/>
    <w:rsid w:val="00020BFF"/>
    <w:rsid w:val="000221DC"/>
    <w:rsid w:val="000224E8"/>
    <w:rsid w:val="00022E4A"/>
    <w:rsid w:val="00023E5C"/>
    <w:rsid w:val="00025434"/>
    <w:rsid w:val="00026C57"/>
    <w:rsid w:val="0002747B"/>
    <w:rsid w:val="0002791A"/>
    <w:rsid w:val="00027BC6"/>
    <w:rsid w:val="00027E54"/>
    <w:rsid w:val="000302A7"/>
    <w:rsid w:val="00031567"/>
    <w:rsid w:val="0003192D"/>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CEB"/>
    <w:rsid w:val="00057F83"/>
    <w:rsid w:val="00060722"/>
    <w:rsid w:val="00061B84"/>
    <w:rsid w:val="000622D3"/>
    <w:rsid w:val="00062A3B"/>
    <w:rsid w:val="00064173"/>
    <w:rsid w:val="000655EF"/>
    <w:rsid w:val="00066274"/>
    <w:rsid w:val="00070BB3"/>
    <w:rsid w:val="00070CDD"/>
    <w:rsid w:val="00072EDF"/>
    <w:rsid w:val="000737BB"/>
    <w:rsid w:val="00073C97"/>
    <w:rsid w:val="00074132"/>
    <w:rsid w:val="000747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0DAD"/>
    <w:rsid w:val="000912E3"/>
    <w:rsid w:val="0009133E"/>
    <w:rsid w:val="00091874"/>
    <w:rsid w:val="000918C5"/>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E63"/>
    <w:rsid w:val="000C2908"/>
    <w:rsid w:val="000C3E8E"/>
    <w:rsid w:val="000C42DD"/>
    <w:rsid w:val="000C4E93"/>
    <w:rsid w:val="000C51C7"/>
    <w:rsid w:val="000C6CBB"/>
    <w:rsid w:val="000C6D76"/>
    <w:rsid w:val="000C6E31"/>
    <w:rsid w:val="000C7168"/>
    <w:rsid w:val="000D0344"/>
    <w:rsid w:val="000D1440"/>
    <w:rsid w:val="000D3B23"/>
    <w:rsid w:val="000D468C"/>
    <w:rsid w:val="000D5B88"/>
    <w:rsid w:val="000D5EC9"/>
    <w:rsid w:val="000E02F8"/>
    <w:rsid w:val="000E03F5"/>
    <w:rsid w:val="000E13C9"/>
    <w:rsid w:val="000E1FA1"/>
    <w:rsid w:val="000E301C"/>
    <w:rsid w:val="000E305A"/>
    <w:rsid w:val="000E3370"/>
    <w:rsid w:val="000E33C3"/>
    <w:rsid w:val="000E4329"/>
    <w:rsid w:val="000E4DC6"/>
    <w:rsid w:val="000E558F"/>
    <w:rsid w:val="000E5717"/>
    <w:rsid w:val="000E5C17"/>
    <w:rsid w:val="000E71F2"/>
    <w:rsid w:val="000E7A61"/>
    <w:rsid w:val="000E7C81"/>
    <w:rsid w:val="000F00A7"/>
    <w:rsid w:val="000F025B"/>
    <w:rsid w:val="000F1FC4"/>
    <w:rsid w:val="000F2D41"/>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47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37F4A"/>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702E"/>
    <w:rsid w:val="00147999"/>
    <w:rsid w:val="00147C10"/>
    <w:rsid w:val="0015009A"/>
    <w:rsid w:val="00150551"/>
    <w:rsid w:val="0015093A"/>
    <w:rsid w:val="00150FD5"/>
    <w:rsid w:val="00152608"/>
    <w:rsid w:val="001551A2"/>
    <w:rsid w:val="0015526C"/>
    <w:rsid w:val="00156B6D"/>
    <w:rsid w:val="00156BF8"/>
    <w:rsid w:val="00157372"/>
    <w:rsid w:val="0016006A"/>
    <w:rsid w:val="0016044E"/>
    <w:rsid w:val="00160C4A"/>
    <w:rsid w:val="00160DF5"/>
    <w:rsid w:val="001636D5"/>
    <w:rsid w:val="00163EEC"/>
    <w:rsid w:val="00165014"/>
    <w:rsid w:val="001666EC"/>
    <w:rsid w:val="001679FD"/>
    <w:rsid w:val="0017100B"/>
    <w:rsid w:val="00171104"/>
    <w:rsid w:val="00171619"/>
    <w:rsid w:val="00171F68"/>
    <w:rsid w:val="0017283A"/>
    <w:rsid w:val="0017425F"/>
    <w:rsid w:val="00176961"/>
    <w:rsid w:val="00177369"/>
    <w:rsid w:val="001775C4"/>
    <w:rsid w:val="001778DC"/>
    <w:rsid w:val="00177ED9"/>
    <w:rsid w:val="0018017B"/>
    <w:rsid w:val="00181069"/>
    <w:rsid w:val="00181BFE"/>
    <w:rsid w:val="00184EF7"/>
    <w:rsid w:val="00185A40"/>
    <w:rsid w:val="001860A0"/>
    <w:rsid w:val="001871A8"/>
    <w:rsid w:val="00192266"/>
    <w:rsid w:val="0019227A"/>
    <w:rsid w:val="00194D63"/>
    <w:rsid w:val="00195650"/>
    <w:rsid w:val="00197312"/>
    <w:rsid w:val="001977C8"/>
    <w:rsid w:val="00197C7B"/>
    <w:rsid w:val="001A1693"/>
    <w:rsid w:val="001A1B88"/>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511A"/>
    <w:rsid w:val="001B57B0"/>
    <w:rsid w:val="001B6380"/>
    <w:rsid w:val="001B6CDE"/>
    <w:rsid w:val="001B7CA3"/>
    <w:rsid w:val="001B7EB1"/>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CFD"/>
    <w:rsid w:val="001D1842"/>
    <w:rsid w:val="001D1A31"/>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41F3"/>
    <w:rsid w:val="001E4AA3"/>
    <w:rsid w:val="001E50E2"/>
    <w:rsid w:val="001E5E06"/>
    <w:rsid w:val="001E6065"/>
    <w:rsid w:val="001E6A2B"/>
    <w:rsid w:val="001E6E86"/>
    <w:rsid w:val="001E6F6D"/>
    <w:rsid w:val="001E732C"/>
    <w:rsid w:val="001E7450"/>
    <w:rsid w:val="001E7D40"/>
    <w:rsid w:val="001F0201"/>
    <w:rsid w:val="001F0CA1"/>
    <w:rsid w:val="001F1D9E"/>
    <w:rsid w:val="001F2538"/>
    <w:rsid w:val="001F2CFC"/>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42A1"/>
    <w:rsid w:val="00204A12"/>
    <w:rsid w:val="0020587A"/>
    <w:rsid w:val="00205938"/>
    <w:rsid w:val="00205B9C"/>
    <w:rsid w:val="00206268"/>
    <w:rsid w:val="00206464"/>
    <w:rsid w:val="00206EF0"/>
    <w:rsid w:val="00207048"/>
    <w:rsid w:val="00207793"/>
    <w:rsid w:val="002107B2"/>
    <w:rsid w:val="0021160E"/>
    <w:rsid w:val="0021178B"/>
    <w:rsid w:val="00212651"/>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200"/>
    <w:rsid w:val="002263AA"/>
    <w:rsid w:val="00226AF5"/>
    <w:rsid w:val="00227026"/>
    <w:rsid w:val="002277A5"/>
    <w:rsid w:val="002313BF"/>
    <w:rsid w:val="00231E54"/>
    <w:rsid w:val="002321E8"/>
    <w:rsid w:val="002322F7"/>
    <w:rsid w:val="002323C1"/>
    <w:rsid w:val="002323E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1592"/>
    <w:rsid w:val="00241AD4"/>
    <w:rsid w:val="0024279E"/>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77D5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5DB2"/>
    <w:rsid w:val="002A622D"/>
    <w:rsid w:val="002A6701"/>
    <w:rsid w:val="002A6B38"/>
    <w:rsid w:val="002A6FBE"/>
    <w:rsid w:val="002B0689"/>
    <w:rsid w:val="002B1C9E"/>
    <w:rsid w:val="002B1E85"/>
    <w:rsid w:val="002B2545"/>
    <w:rsid w:val="002B3654"/>
    <w:rsid w:val="002B3A99"/>
    <w:rsid w:val="002B4407"/>
    <w:rsid w:val="002B4A9F"/>
    <w:rsid w:val="002B565A"/>
    <w:rsid w:val="002B59FE"/>
    <w:rsid w:val="002B689A"/>
    <w:rsid w:val="002B7766"/>
    <w:rsid w:val="002C0977"/>
    <w:rsid w:val="002C24E5"/>
    <w:rsid w:val="002C285E"/>
    <w:rsid w:val="002C28CD"/>
    <w:rsid w:val="002C3F9C"/>
    <w:rsid w:val="002C4BB7"/>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6E"/>
    <w:rsid w:val="002D4229"/>
    <w:rsid w:val="002D4826"/>
    <w:rsid w:val="002D4B06"/>
    <w:rsid w:val="002D4DCF"/>
    <w:rsid w:val="002D4E86"/>
    <w:rsid w:val="002D59D1"/>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F03BC"/>
    <w:rsid w:val="002F1E63"/>
    <w:rsid w:val="002F2315"/>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3421"/>
    <w:rsid w:val="003034F2"/>
    <w:rsid w:val="0030384A"/>
    <w:rsid w:val="00303DCF"/>
    <w:rsid w:val="003045A8"/>
    <w:rsid w:val="00304CEE"/>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5DA"/>
    <w:rsid w:val="003208C3"/>
    <w:rsid w:val="0032128F"/>
    <w:rsid w:val="0032143F"/>
    <w:rsid w:val="00322696"/>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52B6"/>
    <w:rsid w:val="003457C2"/>
    <w:rsid w:val="00346560"/>
    <w:rsid w:val="00346577"/>
    <w:rsid w:val="0034701E"/>
    <w:rsid w:val="00347361"/>
    <w:rsid w:val="0035052F"/>
    <w:rsid w:val="00350A2E"/>
    <w:rsid w:val="00350A9F"/>
    <w:rsid w:val="0035114E"/>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1A9"/>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B41"/>
    <w:rsid w:val="00384193"/>
    <w:rsid w:val="00384EED"/>
    <w:rsid w:val="003851CE"/>
    <w:rsid w:val="003852F4"/>
    <w:rsid w:val="003857CF"/>
    <w:rsid w:val="0038586B"/>
    <w:rsid w:val="003862C3"/>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D86"/>
    <w:rsid w:val="003A4FE1"/>
    <w:rsid w:val="003A557A"/>
    <w:rsid w:val="003A5726"/>
    <w:rsid w:val="003A5B8B"/>
    <w:rsid w:val="003A6006"/>
    <w:rsid w:val="003A67E1"/>
    <w:rsid w:val="003A6D6C"/>
    <w:rsid w:val="003A754E"/>
    <w:rsid w:val="003B2C5E"/>
    <w:rsid w:val="003B3117"/>
    <w:rsid w:val="003B39D6"/>
    <w:rsid w:val="003B5800"/>
    <w:rsid w:val="003B5A40"/>
    <w:rsid w:val="003B7703"/>
    <w:rsid w:val="003B7C7F"/>
    <w:rsid w:val="003B7D4F"/>
    <w:rsid w:val="003B7D53"/>
    <w:rsid w:val="003C1312"/>
    <w:rsid w:val="003C1645"/>
    <w:rsid w:val="003C3310"/>
    <w:rsid w:val="003C4C53"/>
    <w:rsid w:val="003C61BC"/>
    <w:rsid w:val="003C6D51"/>
    <w:rsid w:val="003C7216"/>
    <w:rsid w:val="003C7845"/>
    <w:rsid w:val="003D0F1F"/>
    <w:rsid w:val="003D17A2"/>
    <w:rsid w:val="003D1A37"/>
    <w:rsid w:val="003D23A1"/>
    <w:rsid w:val="003D3B12"/>
    <w:rsid w:val="003D4B4C"/>
    <w:rsid w:val="003D4CBF"/>
    <w:rsid w:val="003D5967"/>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24F6"/>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F69"/>
    <w:rsid w:val="004253B9"/>
    <w:rsid w:val="0042735E"/>
    <w:rsid w:val="0043083B"/>
    <w:rsid w:val="00431E9D"/>
    <w:rsid w:val="00432019"/>
    <w:rsid w:val="00433E63"/>
    <w:rsid w:val="004341F2"/>
    <w:rsid w:val="00434BE2"/>
    <w:rsid w:val="00435C19"/>
    <w:rsid w:val="00435C42"/>
    <w:rsid w:val="00436F94"/>
    <w:rsid w:val="00437000"/>
    <w:rsid w:val="00437312"/>
    <w:rsid w:val="00437A99"/>
    <w:rsid w:val="00437FF7"/>
    <w:rsid w:val="004406B0"/>
    <w:rsid w:val="0044265E"/>
    <w:rsid w:val="00442861"/>
    <w:rsid w:val="00443515"/>
    <w:rsid w:val="0044366C"/>
    <w:rsid w:val="0044367F"/>
    <w:rsid w:val="00444983"/>
    <w:rsid w:val="00444AAF"/>
    <w:rsid w:val="00444F8C"/>
    <w:rsid w:val="004453C9"/>
    <w:rsid w:val="00445A1C"/>
    <w:rsid w:val="0044648D"/>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72B"/>
    <w:rsid w:val="004607BA"/>
    <w:rsid w:val="00460DFE"/>
    <w:rsid w:val="004612A8"/>
    <w:rsid w:val="00461BC9"/>
    <w:rsid w:val="00462325"/>
    <w:rsid w:val="0046249C"/>
    <w:rsid w:val="0046486C"/>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56B"/>
    <w:rsid w:val="00487B9E"/>
    <w:rsid w:val="004905B3"/>
    <w:rsid w:val="00490C38"/>
    <w:rsid w:val="00490E4A"/>
    <w:rsid w:val="0049166A"/>
    <w:rsid w:val="00491C2A"/>
    <w:rsid w:val="00491F4A"/>
    <w:rsid w:val="004921E7"/>
    <w:rsid w:val="00492263"/>
    <w:rsid w:val="00492450"/>
    <w:rsid w:val="00492D7B"/>
    <w:rsid w:val="00492DE0"/>
    <w:rsid w:val="004938DF"/>
    <w:rsid w:val="00493A4F"/>
    <w:rsid w:val="00493D19"/>
    <w:rsid w:val="0049407E"/>
    <w:rsid w:val="004943C9"/>
    <w:rsid w:val="00494A79"/>
    <w:rsid w:val="00494E96"/>
    <w:rsid w:val="00495A6C"/>
    <w:rsid w:val="00496A9B"/>
    <w:rsid w:val="00497167"/>
    <w:rsid w:val="004972A4"/>
    <w:rsid w:val="00497BAC"/>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5C5"/>
    <w:rsid w:val="004B171E"/>
    <w:rsid w:val="004B3D21"/>
    <w:rsid w:val="004B4C38"/>
    <w:rsid w:val="004B52E1"/>
    <w:rsid w:val="004B5426"/>
    <w:rsid w:val="004B5622"/>
    <w:rsid w:val="004B7249"/>
    <w:rsid w:val="004B73E3"/>
    <w:rsid w:val="004B7988"/>
    <w:rsid w:val="004C1046"/>
    <w:rsid w:val="004C14C8"/>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79B"/>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6F4E"/>
    <w:rsid w:val="004F73A5"/>
    <w:rsid w:val="004F76F4"/>
    <w:rsid w:val="00501087"/>
    <w:rsid w:val="00502BBF"/>
    <w:rsid w:val="00502CE9"/>
    <w:rsid w:val="0050399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203B7"/>
    <w:rsid w:val="0052072E"/>
    <w:rsid w:val="00521A9E"/>
    <w:rsid w:val="00522187"/>
    <w:rsid w:val="00522396"/>
    <w:rsid w:val="005223F3"/>
    <w:rsid w:val="00522A48"/>
    <w:rsid w:val="00523857"/>
    <w:rsid w:val="00523B56"/>
    <w:rsid w:val="005242AC"/>
    <w:rsid w:val="00524AA4"/>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08E"/>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8102B"/>
    <w:rsid w:val="005831DD"/>
    <w:rsid w:val="00583D3F"/>
    <w:rsid w:val="0058463A"/>
    <w:rsid w:val="0058472F"/>
    <w:rsid w:val="00584912"/>
    <w:rsid w:val="00586396"/>
    <w:rsid w:val="005865D8"/>
    <w:rsid w:val="00586DD7"/>
    <w:rsid w:val="00586F21"/>
    <w:rsid w:val="00587E59"/>
    <w:rsid w:val="00591B67"/>
    <w:rsid w:val="00591F90"/>
    <w:rsid w:val="00592C71"/>
    <w:rsid w:val="00593412"/>
    <w:rsid w:val="005936AE"/>
    <w:rsid w:val="005936AF"/>
    <w:rsid w:val="00593CFF"/>
    <w:rsid w:val="00593FFC"/>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23FE"/>
    <w:rsid w:val="005E2C44"/>
    <w:rsid w:val="005E300B"/>
    <w:rsid w:val="005E3280"/>
    <w:rsid w:val="005E39B7"/>
    <w:rsid w:val="005E5A4E"/>
    <w:rsid w:val="005E64D8"/>
    <w:rsid w:val="005E655E"/>
    <w:rsid w:val="005F0E08"/>
    <w:rsid w:val="005F1896"/>
    <w:rsid w:val="005F22F7"/>
    <w:rsid w:val="005F40A0"/>
    <w:rsid w:val="005F48CD"/>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2CA5"/>
    <w:rsid w:val="00614995"/>
    <w:rsid w:val="00614FC3"/>
    <w:rsid w:val="00615149"/>
    <w:rsid w:val="00615C80"/>
    <w:rsid w:val="00615EEE"/>
    <w:rsid w:val="00620216"/>
    <w:rsid w:val="006208D7"/>
    <w:rsid w:val="006209D5"/>
    <w:rsid w:val="00620B0F"/>
    <w:rsid w:val="00621B5F"/>
    <w:rsid w:val="00621D26"/>
    <w:rsid w:val="00622936"/>
    <w:rsid w:val="00623FA7"/>
    <w:rsid w:val="006246EF"/>
    <w:rsid w:val="00625940"/>
    <w:rsid w:val="00625CEF"/>
    <w:rsid w:val="00625D09"/>
    <w:rsid w:val="006263CC"/>
    <w:rsid w:val="0062772E"/>
    <w:rsid w:val="00627890"/>
    <w:rsid w:val="00627CC7"/>
    <w:rsid w:val="00627D95"/>
    <w:rsid w:val="00630165"/>
    <w:rsid w:val="006302A6"/>
    <w:rsid w:val="00630D2E"/>
    <w:rsid w:val="00631181"/>
    <w:rsid w:val="00631F54"/>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323"/>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F1C"/>
    <w:rsid w:val="006631D6"/>
    <w:rsid w:val="006631D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6CB"/>
    <w:rsid w:val="006726F6"/>
    <w:rsid w:val="006734A8"/>
    <w:rsid w:val="00673B4E"/>
    <w:rsid w:val="00673E5A"/>
    <w:rsid w:val="00673F38"/>
    <w:rsid w:val="00674975"/>
    <w:rsid w:val="00674A87"/>
    <w:rsid w:val="00674B31"/>
    <w:rsid w:val="00675414"/>
    <w:rsid w:val="006765FF"/>
    <w:rsid w:val="00681497"/>
    <w:rsid w:val="00681ED0"/>
    <w:rsid w:val="00683590"/>
    <w:rsid w:val="00683A98"/>
    <w:rsid w:val="0068422A"/>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E60"/>
    <w:rsid w:val="006C4736"/>
    <w:rsid w:val="006C481F"/>
    <w:rsid w:val="006C4AFC"/>
    <w:rsid w:val="006C62DC"/>
    <w:rsid w:val="006C6605"/>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CE3"/>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95F"/>
    <w:rsid w:val="006F3F78"/>
    <w:rsid w:val="006F495F"/>
    <w:rsid w:val="006F4DAF"/>
    <w:rsid w:val="006F4F50"/>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478"/>
    <w:rsid w:val="00703566"/>
    <w:rsid w:val="00703CB7"/>
    <w:rsid w:val="00703ED8"/>
    <w:rsid w:val="00703F1B"/>
    <w:rsid w:val="007041D2"/>
    <w:rsid w:val="00705FA1"/>
    <w:rsid w:val="007060C9"/>
    <w:rsid w:val="00707064"/>
    <w:rsid w:val="00707D3A"/>
    <w:rsid w:val="0071066D"/>
    <w:rsid w:val="007109A8"/>
    <w:rsid w:val="00711D04"/>
    <w:rsid w:val="007125B7"/>
    <w:rsid w:val="0071262A"/>
    <w:rsid w:val="00712946"/>
    <w:rsid w:val="00712AA2"/>
    <w:rsid w:val="00712C57"/>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059E"/>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503B9"/>
    <w:rsid w:val="007506E8"/>
    <w:rsid w:val="0075158B"/>
    <w:rsid w:val="0075286F"/>
    <w:rsid w:val="007538D1"/>
    <w:rsid w:val="00753A02"/>
    <w:rsid w:val="0075402D"/>
    <w:rsid w:val="00754097"/>
    <w:rsid w:val="00754854"/>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32E5"/>
    <w:rsid w:val="007A3695"/>
    <w:rsid w:val="007A3779"/>
    <w:rsid w:val="007A4999"/>
    <w:rsid w:val="007A4CD1"/>
    <w:rsid w:val="007A5589"/>
    <w:rsid w:val="007A7292"/>
    <w:rsid w:val="007A76A0"/>
    <w:rsid w:val="007A7F18"/>
    <w:rsid w:val="007B1D5F"/>
    <w:rsid w:val="007B446A"/>
    <w:rsid w:val="007B512A"/>
    <w:rsid w:val="007B5849"/>
    <w:rsid w:val="007B5967"/>
    <w:rsid w:val="007B6697"/>
    <w:rsid w:val="007B6720"/>
    <w:rsid w:val="007B744C"/>
    <w:rsid w:val="007B74F1"/>
    <w:rsid w:val="007C0D6B"/>
    <w:rsid w:val="007C1493"/>
    <w:rsid w:val="007C1ABF"/>
    <w:rsid w:val="007C2BF9"/>
    <w:rsid w:val="007C31E4"/>
    <w:rsid w:val="007C377C"/>
    <w:rsid w:val="007C39A6"/>
    <w:rsid w:val="007C3D26"/>
    <w:rsid w:val="007C4D2A"/>
    <w:rsid w:val="007C4F48"/>
    <w:rsid w:val="007C50C2"/>
    <w:rsid w:val="007C587E"/>
    <w:rsid w:val="007C6B55"/>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6D6"/>
    <w:rsid w:val="007E2042"/>
    <w:rsid w:val="007E220C"/>
    <w:rsid w:val="007E2488"/>
    <w:rsid w:val="007E2E1C"/>
    <w:rsid w:val="007E3B8F"/>
    <w:rsid w:val="007E6913"/>
    <w:rsid w:val="007E74CD"/>
    <w:rsid w:val="007E7FB5"/>
    <w:rsid w:val="007E7FB6"/>
    <w:rsid w:val="007F0AE8"/>
    <w:rsid w:val="007F0E6B"/>
    <w:rsid w:val="007F11E8"/>
    <w:rsid w:val="007F12FC"/>
    <w:rsid w:val="007F1803"/>
    <w:rsid w:val="007F2759"/>
    <w:rsid w:val="007F3CA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7946"/>
    <w:rsid w:val="00822F59"/>
    <w:rsid w:val="0082326C"/>
    <w:rsid w:val="008236A1"/>
    <w:rsid w:val="00823BD5"/>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D3"/>
    <w:rsid w:val="00842F5B"/>
    <w:rsid w:val="0084390A"/>
    <w:rsid w:val="00843B67"/>
    <w:rsid w:val="0084422A"/>
    <w:rsid w:val="00845A4F"/>
    <w:rsid w:val="00846A3E"/>
    <w:rsid w:val="00846E9B"/>
    <w:rsid w:val="00847222"/>
    <w:rsid w:val="00847343"/>
    <w:rsid w:val="00850DCF"/>
    <w:rsid w:val="008525BE"/>
    <w:rsid w:val="008532A9"/>
    <w:rsid w:val="008537FC"/>
    <w:rsid w:val="00855B68"/>
    <w:rsid w:val="00855EEE"/>
    <w:rsid w:val="0085631C"/>
    <w:rsid w:val="0085641C"/>
    <w:rsid w:val="00857986"/>
    <w:rsid w:val="008607C5"/>
    <w:rsid w:val="0086080E"/>
    <w:rsid w:val="00862DDF"/>
    <w:rsid w:val="00863C68"/>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77BD1"/>
    <w:rsid w:val="0088045B"/>
    <w:rsid w:val="008809A6"/>
    <w:rsid w:val="0088193D"/>
    <w:rsid w:val="00881BC8"/>
    <w:rsid w:val="008838A3"/>
    <w:rsid w:val="00883AE0"/>
    <w:rsid w:val="00883DE9"/>
    <w:rsid w:val="00883E88"/>
    <w:rsid w:val="008847F8"/>
    <w:rsid w:val="00884A7E"/>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7872"/>
    <w:rsid w:val="00897B92"/>
    <w:rsid w:val="008A0411"/>
    <w:rsid w:val="008A07B6"/>
    <w:rsid w:val="008A1845"/>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6BBE"/>
    <w:rsid w:val="008B751B"/>
    <w:rsid w:val="008C00E3"/>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C23"/>
    <w:rsid w:val="008D1CC6"/>
    <w:rsid w:val="008D21B1"/>
    <w:rsid w:val="008D2C81"/>
    <w:rsid w:val="008D3E78"/>
    <w:rsid w:val="008D4E16"/>
    <w:rsid w:val="008D54BC"/>
    <w:rsid w:val="008D54D3"/>
    <w:rsid w:val="008D5FF6"/>
    <w:rsid w:val="008D62F9"/>
    <w:rsid w:val="008D665E"/>
    <w:rsid w:val="008D6B8C"/>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5476"/>
    <w:rsid w:val="00915C27"/>
    <w:rsid w:val="00915DF8"/>
    <w:rsid w:val="00916611"/>
    <w:rsid w:val="0091686E"/>
    <w:rsid w:val="0091692A"/>
    <w:rsid w:val="009173E2"/>
    <w:rsid w:val="0091792E"/>
    <w:rsid w:val="00920974"/>
    <w:rsid w:val="0092108A"/>
    <w:rsid w:val="009222D0"/>
    <w:rsid w:val="00922D7C"/>
    <w:rsid w:val="00923907"/>
    <w:rsid w:val="009239BB"/>
    <w:rsid w:val="00924582"/>
    <w:rsid w:val="00924F21"/>
    <w:rsid w:val="0092516E"/>
    <w:rsid w:val="00926114"/>
    <w:rsid w:val="00926886"/>
    <w:rsid w:val="00926D9A"/>
    <w:rsid w:val="00927857"/>
    <w:rsid w:val="009317D0"/>
    <w:rsid w:val="00931D1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E8E"/>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612A1"/>
    <w:rsid w:val="00961780"/>
    <w:rsid w:val="00961F4D"/>
    <w:rsid w:val="009642D6"/>
    <w:rsid w:val="00964DEA"/>
    <w:rsid w:val="00965C4B"/>
    <w:rsid w:val="00966677"/>
    <w:rsid w:val="00966E9C"/>
    <w:rsid w:val="00967109"/>
    <w:rsid w:val="00967BBC"/>
    <w:rsid w:val="00970245"/>
    <w:rsid w:val="00970271"/>
    <w:rsid w:val="00971D2B"/>
    <w:rsid w:val="00972179"/>
    <w:rsid w:val="00972A87"/>
    <w:rsid w:val="009730B0"/>
    <w:rsid w:val="00974045"/>
    <w:rsid w:val="009744D0"/>
    <w:rsid w:val="0097454C"/>
    <w:rsid w:val="00974677"/>
    <w:rsid w:val="00974794"/>
    <w:rsid w:val="009749F3"/>
    <w:rsid w:val="00974FA3"/>
    <w:rsid w:val="009755EE"/>
    <w:rsid w:val="009756A6"/>
    <w:rsid w:val="00975B05"/>
    <w:rsid w:val="00975E6F"/>
    <w:rsid w:val="00976571"/>
    <w:rsid w:val="00976714"/>
    <w:rsid w:val="0097679C"/>
    <w:rsid w:val="00976F6C"/>
    <w:rsid w:val="00977536"/>
    <w:rsid w:val="00980067"/>
    <w:rsid w:val="00980611"/>
    <w:rsid w:val="00980D31"/>
    <w:rsid w:val="00981B7A"/>
    <w:rsid w:val="00981BB7"/>
    <w:rsid w:val="00981C13"/>
    <w:rsid w:val="00981DCB"/>
    <w:rsid w:val="00982B90"/>
    <w:rsid w:val="00983665"/>
    <w:rsid w:val="00983A3A"/>
    <w:rsid w:val="009840AE"/>
    <w:rsid w:val="00985C52"/>
    <w:rsid w:val="00986DE3"/>
    <w:rsid w:val="00987F4F"/>
    <w:rsid w:val="00990189"/>
    <w:rsid w:val="00990380"/>
    <w:rsid w:val="00990A84"/>
    <w:rsid w:val="00990FB1"/>
    <w:rsid w:val="00991380"/>
    <w:rsid w:val="00992F7D"/>
    <w:rsid w:val="009930E6"/>
    <w:rsid w:val="009935B7"/>
    <w:rsid w:val="00994276"/>
    <w:rsid w:val="00994B55"/>
    <w:rsid w:val="00995239"/>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D0D"/>
    <w:rsid w:val="009A722D"/>
    <w:rsid w:val="009A7356"/>
    <w:rsid w:val="009A7D60"/>
    <w:rsid w:val="009A7D66"/>
    <w:rsid w:val="009B2BFE"/>
    <w:rsid w:val="009B3419"/>
    <w:rsid w:val="009B350B"/>
    <w:rsid w:val="009B3768"/>
    <w:rsid w:val="009B3BAD"/>
    <w:rsid w:val="009B3D69"/>
    <w:rsid w:val="009B5128"/>
    <w:rsid w:val="009B6453"/>
    <w:rsid w:val="009B6FA1"/>
    <w:rsid w:val="009B75FB"/>
    <w:rsid w:val="009C24D5"/>
    <w:rsid w:val="009C2D25"/>
    <w:rsid w:val="009C3424"/>
    <w:rsid w:val="009C387A"/>
    <w:rsid w:val="009C3C1E"/>
    <w:rsid w:val="009C3F6D"/>
    <w:rsid w:val="009C4690"/>
    <w:rsid w:val="009C4FD9"/>
    <w:rsid w:val="009C5FA0"/>
    <w:rsid w:val="009C7F67"/>
    <w:rsid w:val="009D0574"/>
    <w:rsid w:val="009D0770"/>
    <w:rsid w:val="009D119A"/>
    <w:rsid w:val="009D16FA"/>
    <w:rsid w:val="009D2EF1"/>
    <w:rsid w:val="009D3199"/>
    <w:rsid w:val="009D3DDE"/>
    <w:rsid w:val="009D4386"/>
    <w:rsid w:val="009D63F9"/>
    <w:rsid w:val="009D69DE"/>
    <w:rsid w:val="009D7893"/>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38E8"/>
    <w:rsid w:val="009F3A61"/>
    <w:rsid w:val="009F4256"/>
    <w:rsid w:val="009F458D"/>
    <w:rsid w:val="009F4672"/>
    <w:rsid w:val="009F5C3D"/>
    <w:rsid w:val="009F6450"/>
    <w:rsid w:val="009F6C4F"/>
    <w:rsid w:val="009F7C31"/>
    <w:rsid w:val="00A00590"/>
    <w:rsid w:val="00A007DD"/>
    <w:rsid w:val="00A03496"/>
    <w:rsid w:val="00A03D23"/>
    <w:rsid w:val="00A05D90"/>
    <w:rsid w:val="00A0622B"/>
    <w:rsid w:val="00A06BE4"/>
    <w:rsid w:val="00A06BFC"/>
    <w:rsid w:val="00A07ACA"/>
    <w:rsid w:val="00A10593"/>
    <w:rsid w:val="00A10749"/>
    <w:rsid w:val="00A1163E"/>
    <w:rsid w:val="00A11860"/>
    <w:rsid w:val="00A11DA6"/>
    <w:rsid w:val="00A12026"/>
    <w:rsid w:val="00A142CE"/>
    <w:rsid w:val="00A15B3E"/>
    <w:rsid w:val="00A16333"/>
    <w:rsid w:val="00A16A4C"/>
    <w:rsid w:val="00A174F6"/>
    <w:rsid w:val="00A17DB6"/>
    <w:rsid w:val="00A20464"/>
    <w:rsid w:val="00A21B43"/>
    <w:rsid w:val="00A21FB9"/>
    <w:rsid w:val="00A22E52"/>
    <w:rsid w:val="00A2366A"/>
    <w:rsid w:val="00A2404D"/>
    <w:rsid w:val="00A243EE"/>
    <w:rsid w:val="00A2699F"/>
    <w:rsid w:val="00A26A1E"/>
    <w:rsid w:val="00A26DE2"/>
    <w:rsid w:val="00A2785C"/>
    <w:rsid w:val="00A27EC6"/>
    <w:rsid w:val="00A30656"/>
    <w:rsid w:val="00A3088A"/>
    <w:rsid w:val="00A3180A"/>
    <w:rsid w:val="00A31AC6"/>
    <w:rsid w:val="00A33D68"/>
    <w:rsid w:val="00A34915"/>
    <w:rsid w:val="00A35E6A"/>
    <w:rsid w:val="00A36038"/>
    <w:rsid w:val="00A366CA"/>
    <w:rsid w:val="00A36B62"/>
    <w:rsid w:val="00A36EF0"/>
    <w:rsid w:val="00A376FA"/>
    <w:rsid w:val="00A402CF"/>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44DB"/>
    <w:rsid w:val="00A55128"/>
    <w:rsid w:val="00A55835"/>
    <w:rsid w:val="00A55CBD"/>
    <w:rsid w:val="00A56772"/>
    <w:rsid w:val="00A570EF"/>
    <w:rsid w:val="00A60619"/>
    <w:rsid w:val="00A61D78"/>
    <w:rsid w:val="00A62658"/>
    <w:rsid w:val="00A62B37"/>
    <w:rsid w:val="00A632EB"/>
    <w:rsid w:val="00A63584"/>
    <w:rsid w:val="00A638C7"/>
    <w:rsid w:val="00A63C72"/>
    <w:rsid w:val="00A64F6B"/>
    <w:rsid w:val="00A671CE"/>
    <w:rsid w:val="00A677DD"/>
    <w:rsid w:val="00A711DC"/>
    <w:rsid w:val="00A71FE2"/>
    <w:rsid w:val="00A7250A"/>
    <w:rsid w:val="00A725DB"/>
    <w:rsid w:val="00A72DE1"/>
    <w:rsid w:val="00A730E8"/>
    <w:rsid w:val="00A7314C"/>
    <w:rsid w:val="00A73682"/>
    <w:rsid w:val="00A73BFE"/>
    <w:rsid w:val="00A740DE"/>
    <w:rsid w:val="00A7420F"/>
    <w:rsid w:val="00A7495D"/>
    <w:rsid w:val="00A74B44"/>
    <w:rsid w:val="00A7613D"/>
    <w:rsid w:val="00A766B8"/>
    <w:rsid w:val="00A76980"/>
    <w:rsid w:val="00A77061"/>
    <w:rsid w:val="00A8011C"/>
    <w:rsid w:val="00A816A6"/>
    <w:rsid w:val="00A81C95"/>
    <w:rsid w:val="00A8205B"/>
    <w:rsid w:val="00A8255B"/>
    <w:rsid w:val="00A82733"/>
    <w:rsid w:val="00A82EAB"/>
    <w:rsid w:val="00A83083"/>
    <w:rsid w:val="00A83254"/>
    <w:rsid w:val="00A83501"/>
    <w:rsid w:val="00A83E7D"/>
    <w:rsid w:val="00A83ED4"/>
    <w:rsid w:val="00A85669"/>
    <w:rsid w:val="00A861B1"/>
    <w:rsid w:val="00A863EE"/>
    <w:rsid w:val="00A875EF"/>
    <w:rsid w:val="00A879FD"/>
    <w:rsid w:val="00A91C3D"/>
    <w:rsid w:val="00A928E5"/>
    <w:rsid w:val="00A934D0"/>
    <w:rsid w:val="00A94392"/>
    <w:rsid w:val="00A954AC"/>
    <w:rsid w:val="00A95754"/>
    <w:rsid w:val="00A9721B"/>
    <w:rsid w:val="00AA0355"/>
    <w:rsid w:val="00AA046A"/>
    <w:rsid w:val="00AA3A7F"/>
    <w:rsid w:val="00AA4C5E"/>
    <w:rsid w:val="00AA69A0"/>
    <w:rsid w:val="00AA73DA"/>
    <w:rsid w:val="00AA7DFA"/>
    <w:rsid w:val="00AB057B"/>
    <w:rsid w:val="00AB08D9"/>
    <w:rsid w:val="00AB1925"/>
    <w:rsid w:val="00AB2179"/>
    <w:rsid w:val="00AB22F8"/>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4FEC"/>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82F"/>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22BA"/>
    <w:rsid w:val="00AF3473"/>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40BA4"/>
    <w:rsid w:val="00B40DC0"/>
    <w:rsid w:val="00B41217"/>
    <w:rsid w:val="00B41E30"/>
    <w:rsid w:val="00B42D10"/>
    <w:rsid w:val="00B4374E"/>
    <w:rsid w:val="00B44656"/>
    <w:rsid w:val="00B45A16"/>
    <w:rsid w:val="00B4694B"/>
    <w:rsid w:val="00B4739F"/>
    <w:rsid w:val="00B47C0A"/>
    <w:rsid w:val="00B50132"/>
    <w:rsid w:val="00B50621"/>
    <w:rsid w:val="00B50707"/>
    <w:rsid w:val="00B51609"/>
    <w:rsid w:val="00B51FA5"/>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AC7"/>
    <w:rsid w:val="00B87B22"/>
    <w:rsid w:val="00B90F40"/>
    <w:rsid w:val="00B90FD9"/>
    <w:rsid w:val="00B91474"/>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6430"/>
    <w:rsid w:val="00BB6A53"/>
    <w:rsid w:val="00BB6B31"/>
    <w:rsid w:val="00BB7367"/>
    <w:rsid w:val="00BB75BD"/>
    <w:rsid w:val="00BC0496"/>
    <w:rsid w:val="00BC15A4"/>
    <w:rsid w:val="00BC2514"/>
    <w:rsid w:val="00BC2BF1"/>
    <w:rsid w:val="00BC3573"/>
    <w:rsid w:val="00BC35B5"/>
    <w:rsid w:val="00BC39FF"/>
    <w:rsid w:val="00BC410E"/>
    <w:rsid w:val="00BC4269"/>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36A6"/>
    <w:rsid w:val="00C138D6"/>
    <w:rsid w:val="00C1434A"/>
    <w:rsid w:val="00C1589E"/>
    <w:rsid w:val="00C16107"/>
    <w:rsid w:val="00C167B6"/>
    <w:rsid w:val="00C168C6"/>
    <w:rsid w:val="00C16A56"/>
    <w:rsid w:val="00C17D9F"/>
    <w:rsid w:val="00C20182"/>
    <w:rsid w:val="00C20F4E"/>
    <w:rsid w:val="00C20FCE"/>
    <w:rsid w:val="00C234B6"/>
    <w:rsid w:val="00C2412B"/>
    <w:rsid w:val="00C243AF"/>
    <w:rsid w:val="00C2448E"/>
    <w:rsid w:val="00C24A4F"/>
    <w:rsid w:val="00C24A98"/>
    <w:rsid w:val="00C24E1D"/>
    <w:rsid w:val="00C26A4C"/>
    <w:rsid w:val="00C31610"/>
    <w:rsid w:val="00C322F9"/>
    <w:rsid w:val="00C33600"/>
    <w:rsid w:val="00C337A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50D5"/>
    <w:rsid w:val="00C45180"/>
    <w:rsid w:val="00C4539D"/>
    <w:rsid w:val="00C45879"/>
    <w:rsid w:val="00C458AC"/>
    <w:rsid w:val="00C459B7"/>
    <w:rsid w:val="00C460F5"/>
    <w:rsid w:val="00C4727C"/>
    <w:rsid w:val="00C47F2E"/>
    <w:rsid w:val="00C503A2"/>
    <w:rsid w:val="00C5044D"/>
    <w:rsid w:val="00C5104E"/>
    <w:rsid w:val="00C52735"/>
    <w:rsid w:val="00C52CA4"/>
    <w:rsid w:val="00C52FF0"/>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23E"/>
    <w:rsid w:val="00C673DC"/>
    <w:rsid w:val="00C67933"/>
    <w:rsid w:val="00C67B92"/>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3B3"/>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11E0"/>
    <w:rsid w:val="00CB1403"/>
    <w:rsid w:val="00CB1ECB"/>
    <w:rsid w:val="00CB2D83"/>
    <w:rsid w:val="00CB2F87"/>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4590"/>
    <w:rsid w:val="00CD5D62"/>
    <w:rsid w:val="00CD6226"/>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7357"/>
    <w:rsid w:val="00CF73D4"/>
    <w:rsid w:val="00CF7811"/>
    <w:rsid w:val="00D0140B"/>
    <w:rsid w:val="00D020D2"/>
    <w:rsid w:val="00D0291E"/>
    <w:rsid w:val="00D045B1"/>
    <w:rsid w:val="00D051A3"/>
    <w:rsid w:val="00D0592B"/>
    <w:rsid w:val="00D07AEA"/>
    <w:rsid w:val="00D106C8"/>
    <w:rsid w:val="00D11191"/>
    <w:rsid w:val="00D12684"/>
    <w:rsid w:val="00D129E1"/>
    <w:rsid w:val="00D13AF7"/>
    <w:rsid w:val="00D14BDC"/>
    <w:rsid w:val="00D1547D"/>
    <w:rsid w:val="00D15747"/>
    <w:rsid w:val="00D15834"/>
    <w:rsid w:val="00D15B3F"/>
    <w:rsid w:val="00D15D1D"/>
    <w:rsid w:val="00D17D34"/>
    <w:rsid w:val="00D20A32"/>
    <w:rsid w:val="00D233A3"/>
    <w:rsid w:val="00D2389D"/>
    <w:rsid w:val="00D2435E"/>
    <w:rsid w:val="00D24B5B"/>
    <w:rsid w:val="00D24CE5"/>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77E1"/>
    <w:rsid w:val="00D37B0F"/>
    <w:rsid w:val="00D40198"/>
    <w:rsid w:val="00D40910"/>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24ED"/>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4090"/>
    <w:rsid w:val="00DE434B"/>
    <w:rsid w:val="00DE4A17"/>
    <w:rsid w:val="00DE4E33"/>
    <w:rsid w:val="00DE5003"/>
    <w:rsid w:val="00DE60A2"/>
    <w:rsid w:val="00DE6F4A"/>
    <w:rsid w:val="00DE7727"/>
    <w:rsid w:val="00DE7D8F"/>
    <w:rsid w:val="00DF0337"/>
    <w:rsid w:val="00DF1383"/>
    <w:rsid w:val="00DF20D7"/>
    <w:rsid w:val="00DF2A1A"/>
    <w:rsid w:val="00DF2FB4"/>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06DEB"/>
    <w:rsid w:val="00E10018"/>
    <w:rsid w:val="00E10F6B"/>
    <w:rsid w:val="00E119DC"/>
    <w:rsid w:val="00E12F74"/>
    <w:rsid w:val="00E139CA"/>
    <w:rsid w:val="00E14A2C"/>
    <w:rsid w:val="00E151AC"/>
    <w:rsid w:val="00E15C46"/>
    <w:rsid w:val="00E15E28"/>
    <w:rsid w:val="00E16632"/>
    <w:rsid w:val="00E16BCC"/>
    <w:rsid w:val="00E16F1D"/>
    <w:rsid w:val="00E17FCE"/>
    <w:rsid w:val="00E214EB"/>
    <w:rsid w:val="00E21906"/>
    <w:rsid w:val="00E22AF9"/>
    <w:rsid w:val="00E232BC"/>
    <w:rsid w:val="00E234D2"/>
    <w:rsid w:val="00E23835"/>
    <w:rsid w:val="00E3067F"/>
    <w:rsid w:val="00E307BA"/>
    <w:rsid w:val="00E30D80"/>
    <w:rsid w:val="00E3131F"/>
    <w:rsid w:val="00E31582"/>
    <w:rsid w:val="00E319C5"/>
    <w:rsid w:val="00E31B55"/>
    <w:rsid w:val="00E3249F"/>
    <w:rsid w:val="00E324CC"/>
    <w:rsid w:val="00E33380"/>
    <w:rsid w:val="00E34407"/>
    <w:rsid w:val="00E3467F"/>
    <w:rsid w:val="00E35618"/>
    <w:rsid w:val="00E35C77"/>
    <w:rsid w:val="00E37191"/>
    <w:rsid w:val="00E37719"/>
    <w:rsid w:val="00E413B8"/>
    <w:rsid w:val="00E41A41"/>
    <w:rsid w:val="00E41CD1"/>
    <w:rsid w:val="00E42750"/>
    <w:rsid w:val="00E42AC9"/>
    <w:rsid w:val="00E42E27"/>
    <w:rsid w:val="00E43093"/>
    <w:rsid w:val="00E43316"/>
    <w:rsid w:val="00E4440F"/>
    <w:rsid w:val="00E454D5"/>
    <w:rsid w:val="00E4699A"/>
    <w:rsid w:val="00E47690"/>
    <w:rsid w:val="00E51340"/>
    <w:rsid w:val="00E513E4"/>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B"/>
    <w:rsid w:val="00EB52E7"/>
    <w:rsid w:val="00EB5621"/>
    <w:rsid w:val="00EB63D8"/>
    <w:rsid w:val="00EB69A6"/>
    <w:rsid w:val="00EB77A8"/>
    <w:rsid w:val="00EB7FA8"/>
    <w:rsid w:val="00EC0520"/>
    <w:rsid w:val="00EC0632"/>
    <w:rsid w:val="00EC1E45"/>
    <w:rsid w:val="00EC3290"/>
    <w:rsid w:val="00EC355E"/>
    <w:rsid w:val="00EC38C0"/>
    <w:rsid w:val="00EC4C18"/>
    <w:rsid w:val="00EC55D5"/>
    <w:rsid w:val="00EC586C"/>
    <w:rsid w:val="00EC6675"/>
    <w:rsid w:val="00EC6E6C"/>
    <w:rsid w:val="00EC7C1B"/>
    <w:rsid w:val="00ED00C2"/>
    <w:rsid w:val="00ED0ED4"/>
    <w:rsid w:val="00ED17A9"/>
    <w:rsid w:val="00ED1CA1"/>
    <w:rsid w:val="00ED1EE3"/>
    <w:rsid w:val="00ED2080"/>
    <w:rsid w:val="00ED2AFA"/>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5969"/>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57C1"/>
    <w:rsid w:val="00F076F4"/>
    <w:rsid w:val="00F07F7B"/>
    <w:rsid w:val="00F10B16"/>
    <w:rsid w:val="00F11903"/>
    <w:rsid w:val="00F12DAD"/>
    <w:rsid w:val="00F136F7"/>
    <w:rsid w:val="00F1450A"/>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090"/>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401CE"/>
    <w:rsid w:val="00F4025A"/>
    <w:rsid w:val="00F414C4"/>
    <w:rsid w:val="00F42936"/>
    <w:rsid w:val="00F42BE7"/>
    <w:rsid w:val="00F438DD"/>
    <w:rsid w:val="00F43D84"/>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3D02"/>
    <w:rsid w:val="00F73F22"/>
    <w:rsid w:val="00F74EB8"/>
    <w:rsid w:val="00F74FD8"/>
    <w:rsid w:val="00F75BCF"/>
    <w:rsid w:val="00F75C77"/>
    <w:rsid w:val="00F767E5"/>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68A3"/>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5" w:uiPriority="99"/>
    <w:lsdException w:name="Title" w:qFormat="1"/>
    <w:lsdException w:name="Default Paragraph Font" w:uiPriority="1"/>
    <w:lsdException w:name="Body Text" w:uiPriority="99"/>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uiPriority w:val="9"/>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uiPriority w:val="9"/>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
    <w:basedOn w:val="21"/>
    <w:next w:val="a2"/>
    <w:link w:val="3Char"/>
    <w:uiPriority w:val="9"/>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uiPriority w:val="9"/>
    <w:qFormat/>
    <w:rsid w:val="005456E5"/>
    <w:pPr>
      <w:ind w:left="1701" w:hanging="1701"/>
      <w:outlineLvl w:val="4"/>
    </w:pPr>
    <w:rPr>
      <w:sz w:val="22"/>
    </w:rPr>
  </w:style>
  <w:style w:type="paragraph" w:styleId="6">
    <w:name w:val="heading 6"/>
    <w:basedOn w:val="H6"/>
    <w:next w:val="a2"/>
    <w:link w:val="6Char"/>
    <w:uiPriority w:val="9"/>
    <w:qFormat/>
    <w:rsid w:val="005456E5"/>
    <w:pPr>
      <w:outlineLvl w:val="5"/>
    </w:pPr>
  </w:style>
  <w:style w:type="paragraph" w:styleId="7">
    <w:name w:val="heading 7"/>
    <w:basedOn w:val="H6"/>
    <w:next w:val="a2"/>
    <w:link w:val="7Char"/>
    <w:uiPriority w:val="9"/>
    <w:qFormat/>
    <w:rsid w:val="005456E5"/>
    <w:pPr>
      <w:outlineLvl w:val="6"/>
    </w:pPr>
  </w:style>
  <w:style w:type="paragraph" w:styleId="8">
    <w:name w:val="heading 8"/>
    <w:basedOn w:val="10"/>
    <w:next w:val="a2"/>
    <w:link w:val="8Char"/>
    <w:uiPriority w:val="9"/>
    <w:qFormat/>
    <w:rsid w:val="005456E5"/>
    <w:pPr>
      <w:ind w:left="0" w:firstLine="0"/>
      <w:outlineLvl w:val="7"/>
    </w:pPr>
  </w:style>
  <w:style w:type="paragraph" w:styleId="9">
    <w:name w:val="heading 9"/>
    <w:basedOn w:val="8"/>
    <w:next w:val="a2"/>
    <w:link w:val="9Char"/>
    <w:uiPriority w:val="9"/>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uiPriority w:val="99"/>
    <w:rsid w:val="005456E5"/>
    <w:pPr>
      <w:ind w:left="1985" w:hanging="1985"/>
      <w:outlineLvl w:val="9"/>
    </w:pPr>
    <w:rPr>
      <w:sz w:val="20"/>
    </w:rPr>
  </w:style>
  <w:style w:type="paragraph" w:styleId="80">
    <w:name w:val="toc 8"/>
    <w:basedOn w:val="11"/>
    <w:uiPriority w:val="99"/>
    <w:rsid w:val="005456E5"/>
    <w:pPr>
      <w:spacing w:before="180"/>
      <w:ind w:left="2693" w:hanging="2693"/>
    </w:pPr>
    <w:rPr>
      <w:b/>
    </w:rPr>
  </w:style>
  <w:style w:type="paragraph" w:styleId="11">
    <w:name w:val="toc 1"/>
    <w:aliases w:val="Observation TOC2"/>
    <w:uiPriority w:val="9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uiPriority w:val="99"/>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99"/>
    <w:rsid w:val="005456E5"/>
    <w:pPr>
      <w:ind w:left="1701" w:hanging="1701"/>
    </w:pPr>
  </w:style>
  <w:style w:type="paragraph" w:styleId="42">
    <w:name w:val="toc 4"/>
    <w:basedOn w:val="30"/>
    <w:uiPriority w:val="99"/>
    <w:rsid w:val="005456E5"/>
    <w:pPr>
      <w:ind w:left="1418" w:hanging="1418"/>
    </w:pPr>
  </w:style>
  <w:style w:type="paragraph" w:styleId="30">
    <w:name w:val="toc 3"/>
    <w:basedOn w:val="22"/>
    <w:uiPriority w:val="99"/>
    <w:rsid w:val="005456E5"/>
    <w:pPr>
      <w:ind w:left="1134" w:hanging="1134"/>
    </w:pPr>
  </w:style>
  <w:style w:type="paragraph" w:styleId="22">
    <w:name w:val="toc 2"/>
    <w:basedOn w:val="11"/>
    <w:uiPriority w:val="99"/>
    <w:rsid w:val="005456E5"/>
    <w:pPr>
      <w:keepNext w:val="0"/>
      <w:spacing w:before="0"/>
      <w:ind w:left="851" w:hanging="851"/>
    </w:pPr>
    <w:rPr>
      <w:sz w:val="20"/>
    </w:rPr>
  </w:style>
  <w:style w:type="paragraph" w:styleId="23">
    <w:name w:val="index 2"/>
    <w:basedOn w:val="12"/>
    <w:uiPriority w:val="99"/>
    <w:pPr>
      <w:ind w:left="284"/>
    </w:pPr>
  </w:style>
  <w:style w:type="paragraph" w:styleId="12">
    <w:name w:val="index 1"/>
    <w:basedOn w:val="a2"/>
    <w:uiPriority w:val="99"/>
    <w:pPr>
      <w:keepLines/>
      <w:spacing w:after="0"/>
    </w:pPr>
  </w:style>
  <w:style w:type="paragraph" w:customStyle="1" w:styleId="ZH">
    <w:name w:val="ZH"/>
    <w:uiPriority w:val="99"/>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uiPriority w:val="99"/>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uiPriority w:val="99"/>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9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uiPriority w:val="99"/>
    <w:rsid w:val="005456E5"/>
    <w:pPr>
      <w:spacing w:after="0"/>
    </w:pPr>
  </w:style>
  <w:style w:type="paragraph" w:customStyle="1" w:styleId="LD">
    <w:name w:val="LD"/>
    <w:uiPriority w:val="99"/>
    <w:rsid w:val="005456E5"/>
    <w:pPr>
      <w:keepNext/>
      <w:keepLines/>
      <w:spacing w:line="180" w:lineRule="exact"/>
    </w:pPr>
    <w:rPr>
      <w:rFonts w:ascii="Courier New" w:eastAsia="Times New Roman" w:hAnsi="Courier New"/>
      <w:noProof/>
      <w:lang w:val="en-GB"/>
    </w:rPr>
  </w:style>
  <w:style w:type="paragraph" w:customStyle="1" w:styleId="NW">
    <w:name w:val="NW"/>
    <w:basedOn w:val="NO"/>
    <w:uiPriority w:val="99"/>
    <w:rsid w:val="005456E5"/>
    <w:pPr>
      <w:spacing w:after="0"/>
    </w:pPr>
  </w:style>
  <w:style w:type="paragraph" w:customStyle="1" w:styleId="EW">
    <w:name w:val="EW"/>
    <w:basedOn w:val="EX"/>
    <w:uiPriority w:val="99"/>
    <w:rsid w:val="005456E5"/>
    <w:pPr>
      <w:spacing w:after="0"/>
    </w:pPr>
  </w:style>
  <w:style w:type="paragraph" w:styleId="60">
    <w:name w:val="toc 6"/>
    <w:basedOn w:val="50"/>
    <w:next w:val="a2"/>
    <w:uiPriority w:val="99"/>
    <w:rsid w:val="005456E5"/>
    <w:pPr>
      <w:ind w:left="1985" w:hanging="1985"/>
    </w:pPr>
  </w:style>
  <w:style w:type="paragraph" w:styleId="70">
    <w:name w:val="toc 7"/>
    <w:basedOn w:val="60"/>
    <w:next w:val="a2"/>
    <w:uiPriority w:val="9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uiPriority w:val="99"/>
    <w:rsid w:val="00D8495E"/>
    <w:pPr>
      <w:ind w:left="0" w:firstLine="0"/>
    </w:pPr>
  </w:style>
  <w:style w:type="paragraph" w:customStyle="1" w:styleId="Reference">
    <w:name w:val="Reference"/>
    <w:aliases w:val="ref"/>
    <w:basedOn w:val="a2"/>
    <w:uiPriority w:val="99"/>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rsid w:val="005456E5"/>
    <w:pPr>
      <w:keepLines/>
      <w:tabs>
        <w:tab w:val="center" w:pos="4536"/>
        <w:tab w:val="right" w:pos="9072"/>
      </w:tabs>
    </w:pPr>
    <w:rPr>
      <w:noProof/>
    </w:rPr>
  </w:style>
  <w:style w:type="paragraph" w:customStyle="1" w:styleId="NF">
    <w:name w:val="NF"/>
    <w:basedOn w:val="NO"/>
    <w:uiPriority w:val="99"/>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uiPriority w:val="99"/>
    <w:rsid w:val="005456E5"/>
    <w:pPr>
      <w:jc w:val="right"/>
    </w:pPr>
  </w:style>
  <w:style w:type="paragraph" w:customStyle="1" w:styleId="TAN">
    <w:name w:val="TAN"/>
    <w:basedOn w:val="TAL"/>
    <w:uiPriority w:val="99"/>
    <w:rsid w:val="005456E5"/>
    <w:pPr>
      <w:ind w:left="851" w:hanging="851"/>
    </w:pPr>
  </w:style>
  <w:style w:type="paragraph" w:customStyle="1" w:styleId="ZA">
    <w:name w:val="ZA"/>
    <w:uiPriority w:val="99"/>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uiPriority w:val="99"/>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uiPriority w:val="99"/>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uiPriority w:val="99"/>
    <w:rsid w:val="005456E5"/>
    <w:pPr>
      <w:framePr w:wrap="notBeside" w:y="16161"/>
    </w:pPr>
  </w:style>
  <w:style w:type="character" w:customStyle="1" w:styleId="ZGSM">
    <w:name w:val="ZGSM"/>
    <w:rsid w:val="005456E5"/>
  </w:style>
  <w:style w:type="paragraph" w:styleId="24">
    <w:name w:val="List 2"/>
    <w:basedOn w:val="a6"/>
    <w:uiPriority w:val="99"/>
    <w:pPr>
      <w:ind w:left="851"/>
    </w:pPr>
  </w:style>
  <w:style w:type="paragraph" w:customStyle="1" w:styleId="ZG">
    <w:name w:val="ZG"/>
    <w:uiPriority w:val="99"/>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uiPriority w:val="99"/>
    <w:pPr>
      <w:ind w:left="1135"/>
    </w:pPr>
  </w:style>
  <w:style w:type="paragraph" w:styleId="43">
    <w:name w:val="List 4"/>
    <w:basedOn w:val="31"/>
    <w:uiPriority w:val="99"/>
    <w:pPr>
      <w:ind w:left="1418"/>
    </w:pPr>
  </w:style>
  <w:style w:type="paragraph" w:styleId="51">
    <w:name w:val="List 5"/>
    <w:basedOn w:val="43"/>
    <w:uiPriority w:val="99"/>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uiPriority w:val="99"/>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uiPriority w:val="99"/>
    <w:rsid w:val="005456E5"/>
    <w:pPr>
      <w:ind w:left="1702" w:hanging="284"/>
    </w:pPr>
  </w:style>
  <w:style w:type="paragraph" w:styleId="ac">
    <w:name w:val="footer"/>
    <w:basedOn w:val="a7"/>
    <w:link w:val="Char2"/>
    <w:uiPriority w:val="99"/>
    <w:rsid w:val="005456E5"/>
    <w:pPr>
      <w:jc w:val="center"/>
    </w:pPr>
    <w:rPr>
      <w:i/>
    </w:rPr>
  </w:style>
  <w:style w:type="paragraph" w:customStyle="1" w:styleId="ZTD">
    <w:name w:val="ZTD"/>
    <w:basedOn w:val="ZB"/>
    <w:uiPriority w:val="99"/>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uiPriority w:val="99"/>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uiPriority w:val="99"/>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uiPriority w:val="99"/>
    <w:rPr>
      <w:b/>
      <w:bCs/>
    </w:rPr>
  </w:style>
  <w:style w:type="paragraph" w:styleId="af3">
    <w:name w:val="Document Map"/>
    <w:basedOn w:val="a2"/>
    <w:link w:val="Char6"/>
    <w:uiPriority w:val="9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uiPriority w:val="99"/>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uiPriority w:val="99"/>
    <w:rsid w:val="005456E5"/>
  </w:style>
  <w:style w:type="paragraph" w:customStyle="1" w:styleId="TT">
    <w:name w:val="TT"/>
    <w:basedOn w:val="10"/>
    <w:next w:val="a2"/>
    <w:uiPriority w:val="99"/>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uiPriority w:val="9"/>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uiPriority w:val="99"/>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uiPriority w:val="99"/>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列表段落"/>
    <w:basedOn w:val="a2"/>
    <w:link w:val="Char8"/>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uiPriority w:val="99"/>
    <w:rsid w:val="004B7988"/>
    <w:pPr>
      <w:numPr>
        <w:numId w:val="0"/>
      </w:numPr>
      <w:ind w:left="851" w:hanging="284"/>
    </w:pPr>
    <w:rPr>
      <w:rFonts w:eastAsiaTheme="minorEastAsia"/>
    </w:rPr>
  </w:style>
  <w:style w:type="paragraph" w:styleId="26">
    <w:name w:val="List Bullet 2"/>
    <w:basedOn w:val="aa"/>
    <w:uiPriority w:val="99"/>
    <w:rsid w:val="004B7988"/>
    <w:pPr>
      <w:ind w:left="851" w:hanging="284"/>
    </w:pPr>
    <w:rPr>
      <w:rFonts w:eastAsiaTheme="minorEastAsia"/>
    </w:rPr>
  </w:style>
  <w:style w:type="paragraph" w:styleId="32">
    <w:name w:val="List Bullet 3"/>
    <w:basedOn w:val="26"/>
    <w:uiPriority w:val="99"/>
    <w:rsid w:val="004B7988"/>
    <w:pPr>
      <w:ind w:left="1135"/>
    </w:pPr>
  </w:style>
  <w:style w:type="paragraph" w:styleId="52">
    <w:name w:val="List Bullet 5"/>
    <w:basedOn w:val="40"/>
    <w:uiPriority w:val="99"/>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uiPriority w:val="9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uiPriority w:val="99"/>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uiPriority w:val="99"/>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uiPriority w:val="9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uiPriority w:val="9"/>
    <w:rsid w:val="004B7988"/>
    <w:rPr>
      <w:rFonts w:ascii="Arial" w:eastAsia="Times New Roman" w:hAnsi="Arial"/>
      <w:sz w:val="22"/>
      <w:lang w:val="en-GB"/>
    </w:rPr>
  </w:style>
  <w:style w:type="character" w:customStyle="1" w:styleId="8Char">
    <w:name w:val="标题 8 Char"/>
    <w:link w:val="8"/>
    <w:uiPriority w:val="99"/>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uiPriority w:val="99"/>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locked/>
    <w:rsid w:val="004B7988"/>
    <w:rPr>
      <w:rFonts w:eastAsia="Times New Roman"/>
      <w:lang w:val="en-GB"/>
    </w:rPr>
  </w:style>
  <w:style w:type="paragraph" w:customStyle="1" w:styleId="FirstChange">
    <w:name w:val="First Change"/>
    <w:basedOn w:val="a2"/>
    <w:uiPriority w:val="99"/>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uiPriority w:val="99"/>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uiPriority w:val="99"/>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uiPriority w:val="99"/>
    <w:rsid w:val="005C19C0"/>
    <w:rPr>
      <w:rFonts w:ascii="Arial" w:eastAsia="Times New Roman" w:hAnsi="Arial"/>
      <w:lang w:val="en-GB"/>
    </w:rPr>
  </w:style>
  <w:style w:type="character" w:customStyle="1" w:styleId="9Char">
    <w:name w:val="标题 9 Char"/>
    <w:basedOn w:val="a3"/>
    <w:link w:val="9"/>
    <w:uiPriority w:val="9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uiPriority w:val="99"/>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uiPriority w:val="99"/>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AppData/Roaming/eSpace_Desktop/UserData/z00631415/imagefiles/originalImgfiles/2611BFAC-DB6E-45E1-A27E-32FB5ED5C0FD.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87C1A-579B-4ACF-88AC-C50309F8B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3</Pages>
  <Words>1277</Words>
  <Characters>7281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Huawei-Yuanping</cp:lastModifiedBy>
  <cp:revision>29</cp:revision>
  <cp:lastPrinted>2009-04-22T07:01:00Z</cp:lastPrinted>
  <dcterms:created xsi:type="dcterms:W3CDTF">2022-09-24T02:30:00Z</dcterms:created>
  <dcterms:modified xsi:type="dcterms:W3CDTF">2022-09-28T07:21:00Z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(3)7GZOMBEMBOpPwsxTzE+W7ilmese7afakDeRkwmynLd71qL0pdYNCegR95RJ/qjuWYpYwfOA5
7uTrfvdMn6JFaaTyUYvV8MzDAne0H9Q3l6xEVpaHl5oyCqaTLfhxeB4cS+xzpat9BiOa0IZh
d9Tl29LOUX07uRWCHnf7g1XBSn1nbKT8IFBfcrc7dhSy5syN7io62cgdmackmNuAqN4lDJQl
Vu1fp3Gw3Aw3s7OTcm</vt:lpwstr>
  </property>
  <property fmtid="{D5CDD505-2E9C-101B-9397-08002B2CF9AE}" pid="17" name="_2015_ms_pID_7253431">
    <vt:lpwstr>Ts7qqqweauMfaAFUT6icAC23cyHswzmKwMuUIvht74aJi5cvOIuCf4
aW6APmsNS3L9eIybeg9BRjE+2g8EsVyL1m06CgMaLrJrUmyfZoQ80avUxeKdzQyk3JXghWMS
qO5bfyraIwqe659EXT2u4wTj05gvQPNlwwWLFzdrPn4TL0F6azbm0Yr24fjgPb7nKX7YPTr4
KZd1seiHbqdQWu/U/HSICDrc8EOX/57wcPqt</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