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DAB56" w14:textId="13E39A03" w:rsidR="00685621" w:rsidRPr="00D1615C" w:rsidRDefault="00685621" w:rsidP="00685621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224786</w:t>
      </w:r>
    </w:p>
    <w:p w14:paraId="0282FBEE" w14:textId="77777777" w:rsidR="00685621" w:rsidRDefault="00685621" w:rsidP="00685621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August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</w:p>
    <w:p w14:paraId="180F4055" w14:textId="504EB409" w:rsidR="00912C62" w:rsidRDefault="00912C62" w:rsidP="00912C62">
      <w:pPr>
        <w:pStyle w:val="3GPPHeader"/>
        <w:jc w:val="right"/>
        <w:rPr>
          <w:rFonts w:eastAsia="MS Mincho"/>
          <w:lang w:eastAsia="x-none"/>
        </w:rPr>
      </w:pPr>
      <w:r>
        <w:tab/>
      </w:r>
    </w:p>
    <w:p w14:paraId="1C23C50A" w14:textId="07144FB3" w:rsidR="00912C62" w:rsidRPr="005E43A7" w:rsidRDefault="00912C62" w:rsidP="00912C62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C476EC">
        <w:rPr>
          <w:sz w:val="22"/>
          <w:szCs w:val="22"/>
          <w:lang w:val="sv-SE"/>
        </w:rPr>
        <w:t>13.1</w:t>
      </w:r>
    </w:p>
    <w:p w14:paraId="234AC10A" w14:textId="4AD44752" w:rsidR="00912C62" w:rsidRPr="00CE0424" w:rsidRDefault="00912C62" w:rsidP="00912C6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A6432C" w:rsidRPr="00A6432C">
        <w:rPr>
          <w:sz w:val="22"/>
          <w:szCs w:val="22"/>
        </w:rPr>
        <w:t xml:space="preserve">Intel Corporation, Qualcomm, Huawei, Ericsson, Nokia, </w:t>
      </w:r>
      <w:proofErr w:type="spellStart"/>
      <w:r w:rsidR="00A6432C" w:rsidRPr="00A6432C">
        <w:rPr>
          <w:sz w:val="22"/>
          <w:szCs w:val="22"/>
        </w:rPr>
        <w:t>InterDigital</w:t>
      </w:r>
      <w:proofErr w:type="spellEnd"/>
    </w:p>
    <w:p w14:paraId="05DC5D26" w14:textId="588BDD39" w:rsidR="00912C62" w:rsidRPr="00CE0424" w:rsidRDefault="00912C62" w:rsidP="00912C62">
      <w:pPr>
        <w:pStyle w:val="3GPPHeader"/>
        <w:rPr>
          <w:sz w:val="22"/>
          <w:szCs w:val="22"/>
        </w:rPr>
      </w:pPr>
      <w:r w:rsidRPr="2EFBD880">
        <w:rPr>
          <w:sz w:val="22"/>
          <w:szCs w:val="22"/>
        </w:rPr>
        <w:t>Title:</w:t>
      </w:r>
      <w:r>
        <w:tab/>
      </w:r>
      <w:r w:rsidR="006E73A1" w:rsidRPr="2EFBD880">
        <w:rPr>
          <w:sz w:val="22"/>
          <w:szCs w:val="22"/>
        </w:rPr>
        <w:t>Discussion on multi-hop scenario</w:t>
      </w:r>
      <w:r w:rsidR="00C768DE" w:rsidRPr="2EFBD880">
        <w:rPr>
          <w:sz w:val="22"/>
          <w:szCs w:val="22"/>
        </w:rPr>
        <w:t xml:space="preserve"> </w:t>
      </w:r>
      <w:r w:rsidR="003E7D94" w:rsidRPr="2EFBD880">
        <w:rPr>
          <w:sz w:val="22"/>
          <w:szCs w:val="22"/>
        </w:rPr>
        <w:t xml:space="preserve">for </w:t>
      </w:r>
      <w:r w:rsidR="00C768DE" w:rsidRPr="2EFBD880">
        <w:rPr>
          <w:sz w:val="22"/>
          <w:szCs w:val="22"/>
        </w:rPr>
        <w:t>mobile IAB-node</w:t>
      </w:r>
    </w:p>
    <w:p w14:paraId="71EE3D57" w14:textId="77777777" w:rsidR="00912C62" w:rsidRDefault="00912C62" w:rsidP="008E367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52C70642" w14:textId="77777777" w:rsidR="00017FC6" w:rsidRDefault="00017FC6" w:rsidP="00017FC6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3847F5A2" w14:textId="3E50FD90" w:rsidR="00017FC6" w:rsidRPr="00C7161D" w:rsidRDefault="00C7161D" w:rsidP="00017FC6">
      <w:r>
        <w:t xml:space="preserve">In the WID of mobile IAB [1], </w:t>
      </w:r>
      <w:r w:rsidR="0058251B">
        <w:t xml:space="preserve">the </w:t>
      </w:r>
      <w:r>
        <w:t xml:space="preserve">following note was captured during </w:t>
      </w:r>
      <w:r w:rsidR="0058251B">
        <w:t xml:space="preserve">the </w:t>
      </w:r>
      <w:r>
        <w:t>RAN #96</w:t>
      </w:r>
      <w:r w:rsidR="0058251B">
        <w:t xml:space="preserve"> plenary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7FC6" w14:paraId="1CB01642" w14:textId="77777777" w:rsidTr="00315F5E">
        <w:tc>
          <w:tcPr>
            <w:tcW w:w="9350" w:type="dxa"/>
          </w:tcPr>
          <w:p w14:paraId="70A59E20" w14:textId="6C7380CE" w:rsidR="00017FC6" w:rsidRPr="00025E78" w:rsidRDefault="004170DD" w:rsidP="004170DD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 w:rsidRPr="005B511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Note: At the beginning of the work period, RAN3, RAN2 should discuss the potential complexity of a scenario where a mobile IAB node connects to a stationary (intermediate) IAB node, with respect to the scenario where a mobile IAB node connects directly to an IAB-donor</w:t>
            </w:r>
            <w:r w:rsidR="005B511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</w:tbl>
    <w:p w14:paraId="305A49E3" w14:textId="57EA4450" w:rsidR="00025E78" w:rsidRDefault="00025E78" w:rsidP="00E836E5">
      <w:pPr>
        <w:spacing w:before="240"/>
      </w:pPr>
      <w:r>
        <w:t xml:space="preserve">In this contribution, we </w:t>
      </w:r>
      <w:r w:rsidR="00DA3800">
        <w:t>conduct the discussion recommended by this note.</w:t>
      </w:r>
      <w:r w:rsidR="00867F3C">
        <w:t xml:space="preserve"> </w:t>
      </w:r>
    </w:p>
    <w:p w14:paraId="3CEBD86F" w14:textId="77777777" w:rsidR="00017FC6" w:rsidRDefault="00017FC6" w:rsidP="00017FC6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5AE090D8" w14:textId="77777777" w:rsidR="00311546" w:rsidRPr="00095116" w:rsidRDefault="00311546" w:rsidP="00311546">
      <w:pPr>
        <w:rPr>
          <w:lang w:val="en-GB" w:eastAsia="zh-CN"/>
        </w:rPr>
      </w:pPr>
      <w:r>
        <w:rPr>
          <w:lang w:val="en-GB" w:eastAsia="zh-CN"/>
        </w:rPr>
        <w:t>The Rel-18</w:t>
      </w:r>
      <w:r w:rsidRPr="00095116">
        <w:rPr>
          <w:lang w:val="en-GB" w:eastAsia="zh-CN"/>
        </w:rPr>
        <w:t xml:space="preserve"> WID</w:t>
      </w:r>
      <w:r>
        <w:rPr>
          <w:lang w:val="en-GB" w:eastAsia="zh-CN"/>
        </w:rPr>
        <w:t xml:space="preserve"> on mobile IAB</w:t>
      </w:r>
      <w:r w:rsidRPr="00095116" w:rsidDel="006766D0">
        <w:rPr>
          <w:lang w:val="en-GB" w:eastAsia="zh-CN"/>
        </w:rPr>
        <w:t xml:space="preserve"> </w:t>
      </w:r>
      <w:r w:rsidRPr="00095116">
        <w:rPr>
          <w:lang w:val="en-GB" w:eastAsia="zh-CN"/>
        </w:rPr>
        <w:t xml:space="preserve">does not preclude the possibility of having intermediate IAB nodes between a mobile IAB-node and an IAB-donor </w:t>
      </w:r>
    </w:p>
    <w:p w14:paraId="7421902C" w14:textId="2FCA2709" w:rsidR="00311546" w:rsidRDefault="00311546" w:rsidP="00311546">
      <w:pPr>
        <w:rPr>
          <w:b/>
          <w:bCs/>
          <w:lang w:val="en-GB" w:eastAsia="zh-CN"/>
        </w:rPr>
      </w:pPr>
      <w:bookmarkStart w:id="1" w:name="O1"/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The Rel-18 </w:t>
      </w:r>
      <w:r w:rsidRPr="00305D0D">
        <w:rPr>
          <w:b/>
          <w:bCs/>
          <w:lang w:val="en-GB" w:eastAsia="zh-CN"/>
        </w:rPr>
        <w:t>WID</w:t>
      </w:r>
      <w:r w:rsidDel="006766D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does not preclude the possibility </w:t>
      </w:r>
      <w:r w:rsidRPr="00305D0D">
        <w:rPr>
          <w:b/>
          <w:bCs/>
          <w:lang w:val="en-GB" w:eastAsia="zh-CN"/>
        </w:rPr>
        <w:t>of</w:t>
      </w:r>
      <w:r>
        <w:rPr>
          <w:b/>
          <w:bCs/>
          <w:lang w:val="en-GB" w:eastAsia="zh-CN"/>
        </w:rPr>
        <w:t xml:space="preserve"> having intermediate IAB nodes between a mobile IAB-node and an IAB-donor</w:t>
      </w:r>
      <w:r w:rsidRPr="004774FC">
        <w:rPr>
          <w:b/>
          <w:bCs/>
          <w:lang w:val="en-GB" w:eastAsia="zh-CN"/>
        </w:rPr>
        <w:t>.</w:t>
      </w:r>
    </w:p>
    <w:bookmarkEnd w:id="1"/>
    <w:p w14:paraId="254D041D" w14:textId="2A1DAC3E" w:rsidR="00095116" w:rsidRDefault="00311546" w:rsidP="00867F3C">
      <w:pPr>
        <w:rPr>
          <w:lang w:val="en-GB" w:eastAsia="zh-CN"/>
        </w:rPr>
      </w:pPr>
      <w:r>
        <w:t>The</w:t>
      </w:r>
      <w:r w:rsidR="00095116">
        <w:t xml:space="preserve"> Rel-16/17 specification can </w:t>
      </w:r>
      <w:r>
        <w:t>already</w:t>
      </w:r>
      <w:r w:rsidR="00095116">
        <w:t xml:space="preserve"> support multi-hop backhauling for </w:t>
      </w:r>
      <w:r w:rsidR="009B6AE0">
        <w:t xml:space="preserve">the </w:t>
      </w:r>
      <w:r w:rsidR="00095116">
        <w:t>mobile IAB-nodes.</w:t>
      </w:r>
      <w:r w:rsidR="00A5018E">
        <w:t xml:space="preserve"> No additional specification is needed.</w:t>
      </w:r>
    </w:p>
    <w:p w14:paraId="4C04EC14" w14:textId="45D0574E" w:rsidR="00095116" w:rsidRDefault="00095116" w:rsidP="00095116">
      <w:pPr>
        <w:rPr>
          <w:b/>
          <w:bCs/>
          <w:lang w:val="en-GB" w:eastAsia="zh-CN"/>
        </w:rPr>
      </w:pPr>
      <w:bookmarkStart w:id="2" w:name="O2"/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</w:t>
      </w:r>
      <w:r w:rsidR="00311546">
        <w:rPr>
          <w:b/>
          <w:bCs/>
          <w:lang w:val="en-GB" w:eastAsia="zh-CN"/>
        </w:rPr>
        <w:t>2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Rel-16/17 specification can </w:t>
      </w:r>
      <w:r w:rsidR="00311546">
        <w:rPr>
          <w:b/>
          <w:bCs/>
          <w:lang w:val="en-GB" w:eastAsia="zh-CN"/>
        </w:rPr>
        <w:t xml:space="preserve">already </w:t>
      </w:r>
      <w:r>
        <w:rPr>
          <w:b/>
          <w:bCs/>
          <w:lang w:val="en-GB" w:eastAsia="zh-CN"/>
        </w:rPr>
        <w:t xml:space="preserve">support multi-hop backhauling for </w:t>
      </w:r>
      <w:r w:rsidR="009B6AE0">
        <w:rPr>
          <w:b/>
          <w:bCs/>
          <w:lang w:val="en-GB" w:eastAsia="zh-CN"/>
        </w:rPr>
        <w:t xml:space="preserve">the </w:t>
      </w:r>
      <w:r>
        <w:rPr>
          <w:b/>
          <w:bCs/>
          <w:lang w:val="en-GB" w:eastAsia="zh-CN"/>
        </w:rPr>
        <w:t>mobile IAB-node</w:t>
      </w:r>
      <w:r w:rsidRPr="004774FC">
        <w:rPr>
          <w:b/>
          <w:bCs/>
          <w:lang w:val="en-GB" w:eastAsia="zh-CN"/>
        </w:rPr>
        <w:t>.</w:t>
      </w:r>
    </w:p>
    <w:bookmarkEnd w:id="2"/>
    <w:p w14:paraId="439F8002" w14:textId="2ED5E8B1" w:rsidR="00F867D1" w:rsidRDefault="00311546" w:rsidP="00F867D1">
      <w:pPr>
        <w:rPr>
          <w:lang w:val="en-GB" w:eastAsia="zh-CN"/>
        </w:rPr>
      </w:pPr>
      <w:r>
        <w:rPr>
          <w:lang w:val="en-GB" w:eastAsia="zh-CN"/>
        </w:rPr>
        <w:t>W</w:t>
      </w:r>
      <w:r w:rsidR="00F867D1">
        <w:rPr>
          <w:lang w:val="en-GB" w:eastAsia="zh-CN"/>
        </w:rPr>
        <w:t xml:space="preserve">hether the mobile IAB-node connects to the IAB-donor CU or an intermediate stationary IAB-node does not impact the </w:t>
      </w:r>
      <w:r w:rsidR="00ED26F4">
        <w:rPr>
          <w:lang w:val="en-GB" w:eastAsia="zh-CN"/>
        </w:rPr>
        <w:t xml:space="preserve">migration </w:t>
      </w:r>
      <w:r w:rsidR="00F867D1">
        <w:rPr>
          <w:lang w:val="en-GB" w:eastAsia="zh-CN"/>
        </w:rPr>
        <w:t>procedure</w:t>
      </w:r>
      <w:r w:rsidR="00ED26F4">
        <w:rPr>
          <w:lang w:val="en-GB" w:eastAsia="zh-CN"/>
        </w:rPr>
        <w:t>s</w:t>
      </w:r>
      <w:r w:rsidR="00F867D1">
        <w:rPr>
          <w:lang w:val="en-GB" w:eastAsia="zh-CN"/>
        </w:rPr>
        <w:t xml:space="preserve"> of mobile IAB-node, as the hop number between mobile IAB-node and IAB-donor CU is transparent to the mobile IAB-node itself. Therefore, when full migration is triggered at the mobile IAB-node, the same message flows can be applied for both scenarios. </w:t>
      </w:r>
    </w:p>
    <w:p w14:paraId="58FE9D20" w14:textId="55BC3BCE" w:rsidR="00F867D1" w:rsidRPr="00E929DE" w:rsidRDefault="00F867D1" w:rsidP="00F867D1">
      <w:pPr>
        <w:rPr>
          <w:b/>
          <w:bCs/>
          <w:lang w:val="en-GB" w:eastAsia="zh-CN"/>
        </w:rPr>
      </w:pPr>
      <w:bookmarkStart w:id="3" w:name="O3"/>
      <w:r w:rsidRPr="002F025F">
        <w:rPr>
          <w:b/>
          <w:bCs/>
          <w:lang w:val="en-GB" w:eastAsia="zh-CN"/>
        </w:rPr>
        <w:t xml:space="preserve">Observation </w:t>
      </w:r>
      <w:r w:rsidR="00095116">
        <w:rPr>
          <w:b/>
          <w:bCs/>
          <w:lang w:val="en-GB" w:eastAsia="zh-CN"/>
        </w:rPr>
        <w:t>3</w:t>
      </w:r>
      <w:r w:rsidRPr="002F025F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ED26F4">
        <w:rPr>
          <w:b/>
          <w:bCs/>
          <w:lang w:val="en-GB" w:eastAsia="zh-CN"/>
        </w:rPr>
        <w:t xml:space="preserve">The hop number is transparent </w:t>
      </w:r>
      <w:r w:rsidR="00095116">
        <w:rPr>
          <w:b/>
          <w:bCs/>
          <w:lang w:val="en-GB" w:eastAsia="zh-CN"/>
        </w:rPr>
        <w:t xml:space="preserve">to the mobile IAB-node, </w:t>
      </w:r>
      <w:r w:rsidR="00ED26F4">
        <w:rPr>
          <w:b/>
          <w:bCs/>
          <w:lang w:val="en-GB" w:eastAsia="zh-CN"/>
        </w:rPr>
        <w:t xml:space="preserve">and thus the </w:t>
      </w:r>
      <w:r>
        <w:rPr>
          <w:b/>
          <w:bCs/>
          <w:lang w:val="en-GB" w:eastAsia="zh-CN"/>
        </w:rPr>
        <w:t>same full migration procedure</w:t>
      </w:r>
      <w:r w:rsidR="00ED26F4">
        <w:rPr>
          <w:b/>
          <w:bCs/>
          <w:lang w:val="en-GB" w:eastAsia="zh-CN"/>
        </w:rPr>
        <w:t xml:space="preserve"> </w:t>
      </w:r>
      <w:r w:rsidR="00311546">
        <w:rPr>
          <w:b/>
          <w:bCs/>
          <w:lang w:val="en-GB" w:eastAsia="zh-CN"/>
        </w:rPr>
        <w:t>can</w:t>
      </w:r>
      <w:r w:rsidR="00ED26F4">
        <w:rPr>
          <w:b/>
          <w:bCs/>
          <w:lang w:val="en-GB" w:eastAsia="zh-CN"/>
        </w:rPr>
        <w:t xml:space="preserve"> be used for a mobile IAB-node</w:t>
      </w:r>
      <w:r>
        <w:rPr>
          <w:b/>
          <w:bCs/>
          <w:lang w:val="en-GB" w:eastAsia="zh-CN"/>
        </w:rPr>
        <w:t xml:space="preserve">, no matter </w:t>
      </w:r>
      <w:r w:rsidR="00ED26F4">
        <w:rPr>
          <w:b/>
          <w:bCs/>
          <w:lang w:val="en-GB" w:eastAsia="zh-CN"/>
        </w:rPr>
        <w:t xml:space="preserve">whether </w:t>
      </w:r>
      <w:r>
        <w:rPr>
          <w:b/>
          <w:bCs/>
          <w:lang w:val="en-GB" w:eastAsia="zh-CN"/>
        </w:rPr>
        <w:t xml:space="preserve">it is connected to the IAB-donor CU directly or </w:t>
      </w:r>
      <w:r w:rsidR="00ED26F4">
        <w:rPr>
          <w:b/>
          <w:bCs/>
          <w:lang w:val="en-GB" w:eastAsia="zh-CN"/>
        </w:rPr>
        <w:t xml:space="preserve">connected </w:t>
      </w:r>
      <w:r>
        <w:rPr>
          <w:b/>
          <w:bCs/>
          <w:lang w:val="en-GB" w:eastAsia="zh-CN"/>
        </w:rPr>
        <w:t>to an intermediate IAB-node.</w:t>
      </w:r>
    </w:p>
    <w:bookmarkEnd w:id="3"/>
    <w:p w14:paraId="60279856" w14:textId="5327086B" w:rsidR="00C51995" w:rsidRDefault="00311546" w:rsidP="00861138">
      <w:pPr>
        <w:rPr>
          <w:lang w:val="en-GB" w:eastAsia="zh-CN"/>
        </w:rPr>
      </w:pPr>
      <w:r>
        <w:rPr>
          <w:lang w:val="en-GB" w:eastAsia="zh-CN"/>
        </w:rPr>
        <w:t xml:space="preserve">Rel-17 IAB extensively discussed enhancements to multi-hop latency </w:t>
      </w:r>
      <w:r w:rsidR="009B6AE0">
        <w:rPr>
          <w:lang w:val="en-GB" w:eastAsia="zh-CN"/>
        </w:rPr>
        <w:t xml:space="preserve">of </w:t>
      </w:r>
      <w:r>
        <w:rPr>
          <w:lang w:val="en-GB" w:eastAsia="zh-CN"/>
        </w:rPr>
        <w:t>stationary IAB</w:t>
      </w:r>
      <w:r w:rsidR="009B6AE0">
        <w:rPr>
          <w:lang w:val="en-GB" w:eastAsia="zh-CN"/>
        </w:rPr>
        <w:t xml:space="preserve"> networks</w:t>
      </w:r>
      <w:r>
        <w:rPr>
          <w:lang w:val="en-GB" w:eastAsia="zh-CN"/>
        </w:rPr>
        <w:t>. Since the discussions did not converge, the topic was excluded from Rel-17.</w:t>
      </w:r>
    </w:p>
    <w:p w14:paraId="0AF8C166" w14:textId="3C6A5111" w:rsidR="003C2C64" w:rsidRDefault="00F848A1" w:rsidP="00D13616">
      <w:pPr>
        <w:rPr>
          <w:lang w:val="en-GB" w:eastAsia="zh-CN"/>
        </w:rPr>
      </w:pPr>
      <w:r>
        <w:rPr>
          <w:lang w:val="en-GB" w:eastAsia="zh-CN"/>
        </w:rPr>
        <w:t xml:space="preserve">One cause for latency is </w:t>
      </w:r>
      <w:r w:rsidR="009914AA">
        <w:rPr>
          <w:lang w:val="en-GB" w:eastAsia="zh-CN"/>
        </w:rPr>
        <w:t>the</w:t>
      </w:r>
      <w:r>
        <w:rPr>
          <w:lang w:val="en-GB" w:eastAsia="zh-CN"/>
        </w:rPr>
        <w:t xml:space="preserve"> retransmission of packets discarded at intermediate nodes and source IAB-donor-DUs during IAB-node migration. </w:t>
      </w:r>
      <w:r w:rsidR="003C2C64">
        <w:rPr>
          <w:lang w:val="en-GB" w:eastAsia="zh-CN"/>
        </w:rPr>
        <w:t xml:space="preserve">Rel-17 IAB discussed enhancements to mitigate </w:t>
      </w:r>
      <w:r>
        <w:rPr>
          <w:lang w:val="en-GB" w:eastAsia="zh-CN"/>
        </w:rPr>
        <w:t xml:space="preserve">such </w:t>
      </w:r>
      <w:r w:rsidR="003C2C64">
        <w:rPr>
          <w:lang w:val="en-GB" w:eastAsia="zh-CN"/>
        </w:rPr>
        <w:t>packet discard</w:t>
      </w:r>
      <w:r>
        <w:rPr>
          <w:lang w:val="en-GB" w:eastAsia="zh-CN"/>
        </w:rPr>
        <w:t>, and these</w:t>
      </w:r>
      <w:r w:rsidR="003C2C64">
        <w:rPr>
          <w:lang w:val="en-GB" w:eastAsia="zh-CN"/>
        </w:rPr>
        <w:t xml:space="preserve"> enhancements were also deprioritized during Rel-17.</w:t>
      </w:r>
    </w:p>
    <w:p w14:paraId="2C0F6946" w14:textId="2B9900D0" w:rsidR="003C2C64" w:rsidRPr="002E3FB6" w:rsidRDefault="003C2C64" w:rsidP="003C2C64">
      <w:pPr>
        <w:rPr>
          <w:b/>
          <w:bCs/>
          <w:lang w:val="en-GB" w:eastAsia="zh-CN"/>
        </w:rPr>
      </w:pPr>
      <w:bookmarkStart w:id="4" w:name="O4b"/>
      <w:r w:rsidRPr="002E3FB6">
        <w:rPr>
          <w:b/>
          <w:bCs/>
          <w:lang w:val="en-GB" w:eastAsia="zh-CN"/>
        </w:rPr>
        <w:lastRenderedPageBreak/>
        <w:t xml:space="preserve">Observation </w:t>
      </w:r>
      <w:r>
        <w:rPr>
          <w:b/>
          <w:bCs/>
          <w:lang w:val="en-GB" w:eastAsia="zh-CN"/>
        </w:rPr>
        <w:t>4</w:t>
      </w:r>
      <w:r w:rsidRPr="002E3FB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Enhancements to </w:t>
      </w:r>
      <w:r w:rsidR="00D96150">
        <w:rPr>
          <w:b/>
          <w:bCs/>
          <w:lang w:val="en-GB" w:eastAsia="zh-CN"/>
        </w:rPr>
        <w:t xml:space="preserve">multi-hop latency and </w:t>
      </w:r>
      <w:r>
        <w:rPr>
          <w:b/>
          <w:bCs/>
          <w:lang w:val="en-GB" w:eastAsia="zh-CN"/>
        </w:rPr>
        <w:t>mitigate packet discard at intermediate nodes and source IAB-donor-DUs during IAB-node-migration were discussed in Rel-17 IAB, and they were deprioritized during Rel-17.</w:t>
      </w:r>
    </w:p>
    <w:bookmarkEnd w:id="4"/>
    <w:p w14:paraId="66359F2C" w14:textId="5805E0C7" w:rsidR="00CF7ADC" w:rsidRDefault="00D13616" w:rsidP="00CF7ADC">
      <w:pPr>
        <w:rPr>
          <w:lang w:val="en-GB" w:eastAsia="zh-CN"/>
        </w:rPr>
      </w:pPr>
      <w:r>
        <w:rPr>
          <w:lang w:val="en-GB" w:eastAsia="zh-CN"/>
        </w:rPr>
        <w:t>However, t</w:t>
      </w:r>
      <w:r w:rsidR="009B6AE0">
        <w:rPr>
          <w:lang w:val="en-GB" w:eastAsia="zh-CN"/>
        </w:rPr>
        <w:t xml:space="preserve">he </w:t>
      </w:r>
      <w:r w:rsidR="00CF7ADC">
        <w:rPr>
          <w:lang w:val="en-GB" w:eastAsia="zh-CN"/>
        </w:rPr>
        <w:t>Rel-18 WID on mobile IAB explicitly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7ADC" w14:paraId="4C796913" w14:textId="77777777" w:rsidTr="003102D1">
        <w:tc>
          <w:tcPr>
            <w:tcW w:w="9350" w:type="dxa"/>
          </w:tcPr>
          <w:p w14:paraId="32283B58" w14:textId="77777777" w:rsidR="00CF7ADC" w:rsidRPr="009424CE" w:rsidRDefault="00CF7ADC" w:rsidP="003102D1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 w:rsidRPr="009424CE">
              <w:rPr>
                <w:rFonts w:eastAsia="Times New Roman" w:cs="Times New Roman"/>
                <w:sz w:val="20"/>
                <w:szCs w:val="20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</w:tc>
      </w:tr>
    </w:tbl>
    <w:p w14:paraId="6E1E9992" w14:textId="77777777" w:rsidR="008B461B" w:rsidRDefault="008B461B" w:rsidP="00CF7ADC">
      <w:pPr>
        <w:rPr>
          <w:lang w:val="en-GB" w:eastAsia="zh-CN"/>
        </w:rPr>
      </w:pPr>
    </w:p>
    <w:p w14:paraId="4531A9D4" w14:textId="0BF96564" w:rsidR="00861138" w:rsidRPr="00610279" w:rsidRDefault="00966AFC" w:rsidP="00CF7ADC">
      <w:pPr>
        <w:rPr>
          <w:lang w:val="en-GB" w:eastAsia="zh-CN"/>
        </w:rPr>
      </w:pPr>
      <w:r>
        <w:rPr>
          <w:lang w:val="en-GB" w:eastAsia="zh-CN"/>
        </w:rPr>
        <w:t>W</w:t>
      </w:r>
      <w:r w:rsidR="00D13616">
        <w:rPr>
          <w:lang w:val="en-GB" w:eastAsia="zh-CN"/>
        </w:rPr>
        <w:t>e think that</w:t>
      </w:r>
      <w:r w:rsidR="009B6AE0">
        <w:rPr>
          <w:lang w:val="en-GB" w:eastAsia="zh-CN"/>
        </w:rPr>
        <w:t xml:space="preserve"> multi-hop latency</w:t>
      </w:r>
      <w:r w:rsidR="00803F65">
        <w:rPr>
          <w:lang w:val="en-GB" w:eastAsia="zh-CN"/>
        </w:rPr>
        <w:t xml:space="preserve"> itself</w:t>
      </w:r>
      <w:r w:rsidR="009B6AE0">
        <w:rPr>
          <w:lang w:val="en-GB" w:eastAsia="zh-CN"/>
        </w:rPr>
        <w:t xml:space="preserve"> is not specific to IAB-node mobility</w:t>
      </w:r>
      <w:r w:rsidR="00803F65">
        <w:rPr>
          <w:lang w:val="en-GB" w:eastAsia="zh-CN"/>
        </w:rPr>
        <w:t>.</w:t>
      </w:r>
      <w:r w:rsidR="009B6AE0">
        <w:rPr>
          <w:lang w:val="en-GB" w:eastAsia="zh-CN"/>
        </w:rPr>
        <w:t xml:space="preserve"> </w:t>
      </w:r>
      <w:r w:rsidR="00803F65">
        <w:rPr>
          <w:lang w:val="en-GB" w:eastAsia="zh-CN"/>
        </w:rPr>
        <w:t>E</w:t>
      </w:r>
      <w:r w:rsidR="009B6AE0" w:rsidRPr="00610279">
        <w:rPr>
          <w:lang w:val="en-GB" w:eastAsia="zh-CN"/>
        </w:rPr>
        <w:t xml:space="preserve">nhancements related to multi-hop latency </w:t>
      </w:r>
      <w:r w:rsidR="00803F65">
        <w:rPr>
          <w:lang w:val="en-GB" w:eastAsia="zh-CN"/>
        </w:rPr>
        <w:t xml:space="preserve">should </w:t>
      </w:r>
      <w:r w:rsidR="00A01373">
        <w:rPr>
          <w:lang w:val="en-GB" w:eastAsia="zh-CN"/>
        </w:rPr>
        <w:t xml:space="preserve">therefore </w:t>
      </w:r>
      <w:r w:rsidR="00803F65">
        <w:rPr>
          <w:lang w:val="en-GB" w:eastAsia="zh-CN"/>
        </w:rPr>
        <w:t>al</w:t>
      </w:r>
      <w:r>
        <w:rPr>
          <w:lang w:val="en-GB" w:eastAsia="zh-CN"/>
        </w:rPr>
        <w:t>s</w:t>
      </w:r>
      <w:r w:rsidR="00803F65">
        <w:rPr>
          <w:lang w:val="en-GB" w:eastAsia="zh-CN"/>
        </w:rPr>
        <w:t>o be</w:t>
      </w:r>
      <w:r w:rsidR="00803F65" w:rsidRPr="00610279">
        <w:rPr>
          <w:lang w:val="en-GB" w:eastAsia="zh-CN"/>
        </w:rPr>
        <w:t xml:space="preserve"> </w:t>
      </w:r>
      <w:r w:rsidR="009B6AE0" w:rsidRPr="00610279">
        <w:rPr>
          <w:lang w:val="en-GB" w:eastAsia="zh-CN"/>
        </w:rPr>
        <w:t xml:space="preserve">precluded </w:t>
      </w:r>
      <w:r w:rsidR="00803F65">
        <w:rPr>
          <w:lang w:val="en-GB" w:eastAsia="zh-CN"/>
        </w:rPr>
        <w:t>in</w:t>
      </w:r>
      <w:r w:rsidR="00803F65" w:rsidRPr="00610279">
        <w:rPr>
          <w:lang w:val="en-GB" w:eastAsia="zh-CN"/>
        </w:rPr>
        <w:t xml:space="preserve"> </w:t>
      </w:r>
      <w:r w:rsidR="009B6AE0" w:rsidRPr="00610279">
        <w:rPr>
          <w:lang w:val="en-GB" w:eastAsia="zh-CN"/>
        </w:rPr>
        <w:t>Rel-18</w:t>
      </w:r>
      <w:r w:rsidR="00861138" w:rsidRPr="00610279">
        <w:rPr>
          <w:lang w:val="en-GB" w:eastAsia="zh-CN"/>
        </w:rPr>
        <w:t>.</w:t>
      </w:r>
    </w:p>
    <w:p w14:paraId="54F1B16D" w14:textId="706E5780" w:rsidR="00CF7ADC" w:rsidRPr="002E3FB6" w:rsidRDefault="00CF7ADC" w:rsidP="00CF7ADC">
      <w:pPr>
        <w:rPr>
          <w:b/>
          <w:bCs/>
          <w:lang w:val="en-GB" w:eastAsia="zh-CN"/>
        </w:rPr>
      </w:pPr>
      <w:bookmarkStart w:id="5" w:name="O5"/>
      <w:r w:rsidRPr="002E3FB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2E3FB6">
        <w:rPr>
          <w:b/>
          <w:bCs/>
          <w:lang w:val="en-GB" w:eastAsia="zh-CN"/>
        </w:rPr>
        <w:t xml:space="preserve">: </w:t>
      </w:r>
      <w:r w:rsidR="00966AFC">
        <w:rPr>
          <w:b/>
          <w:bCs/>
          <w:lang w:val="en-GB" w:eastAsia="zh-CN"/>
        </w:rPr>
        <w:t>M</w:t>
      </w:r>
      <w:r w:rsidR="00B26202">
        <w:rPr>
          <w:b/>
          <w:bCs/>
          <w:lang w:val="en-GB" w:eastAsia="zh-CN"/>
        </w:rPr>
        <w:t xml:space="preserve">ulti-hop latency is not specific to IAB-node mobility. </w:t>
      </w:r>
      <w:r w:rsidR="00B24B9F">
        <w:rPr>
          <w:b/>
          <w:bCs/>
          <w:lang w:val="en-GB" w:eastAsia="zh-CN"/>
        </w:rPr>
        <w:t>D</w:t>
      </w:r>
      <w:r w:rsidR="00095116">
        <w:rPr>
          <w:b/>
          <w:bCs/>
          <w:lang w:val="en-GB" w:eastAsia="zh-CN"/>
        </w:rPr>
        <w:t xml:space="preserve">iscussions on </w:t>
      </w:r>
      <w:r>
        <w:rPr>
          <w:b/>
          <w:bCs/>
          <w:lang w:val="en-GB" w:eastAsia="zh-CN"/>
        </w:rPr>
        <w:t xml:space="preserve">enhancements </w:t>
      </w:r>
      <w:r w:rsidR="00095116">
        <w:rPr>
          <w:b/>
          <w:bCs/>
          <w:lang w:val="en-GB" w:eastAsia="zh-CN"/>
        </w:rPr>
        <w:t>for</w:t>
      </w:r>
      <w:r>
        <w:rPr>
          <w:b/>
          <w:bCs/>
          <w:lang w:val="en-GB" w:eastAsia="zh-CN"/>
        </w:rPr>
        <w:t xml:space="preserve"> multi-hop latency</w:t>
      </w:r>
      <w:r w:rsidR="00B24B9F">
        <w:rPr>
          <w:b/>
          <w:bCs/>
          <w:lang w:val="en-GB" w:eastAsia="zh-CN"/>
        </w:rPr>
        <w:t xml:space="preserve"> for </w:t>
      </w:r>
      <w:proofErr w:type="spellStart"/>
      <w:r w:rsidR="00B24B9F">
        <w:rPr>
          <w:b/>
          <w:bCs/>
          <w:lang w:val="en-GB" w:eastAsia="zh-CN"/>
        </w:rPr>
        <w:t>mIAB</w:t>
      </w:r>
      <w:proofErr w:type="spellEnd"/>
      <w:r w:rsidR="00B24B9F">
        <w:rPr>
          <w:b/>
          <w:bCs/>
          <w:lang w:val="en-GB" w:eastAsia="zh-CN"/>
        </w:rPr>
        <w:t xml:space="preserve"> should </w:t>
      </w:r>
      <w:r w:rsidR="00966AFC">
        <w:rPr>
          <w:b/>
          <w:bCs/>
          <w:lang w:val="en-GB" w:eastAsia="zh-CN"/>
        </w:rPr>
        <w:t>therefore</w:t>
      </w:r>
      <w:r w:rsidR="00B24B9F">
        <w:rPr>
          <w:b/>
          <w:bCs/>
          <w:lang w:val="en-GB" w:eastAsia="zh-CN"/>
        </w:rPr>
        <w:t xml:space="preserve"> be precluded based on Rel-18 WID</w:t>
      </w:r>
      <w:r>
        <w:rPr>
          <w:b/>
          <w:bCs/>
          <w:lang w:val="en-GB" w:eastAsia="zh-CN"/>
        </w:rPr>
        <w:t>.</w:t>
      </w:r>
    </w:p>
    <w:bookmarkEnd w:id="5"/>
    <w:p w14:paraId="00295D8E" w14:textId="261657DF" w:rsidR="00417CA6" w:rsidRDefault="00417CA6" w:rsidP="00417CA6">
      <w:pPr>
        <w:rPr>
          <w:lang w:val="en-GB" w:eastAsia="zh-CN"/>
        </w:rPr>
      </w:pPr>
      <w:r>
        <w:rPr>
          <w:lang w:val="en-GB" w:eastAsia="zh-CN"/>
        </w:rPr>
        <w:t xml:space="preserve">Rel-18 WI scope was agreed to </w:t>
      </w:r>
      <w:r w:rsidR="009B6AE0">
        <w:rPr>
          <w:lang w:val="en-GB" w:eastAsia="zh-CN"/>
        </w:rPr>
        <w:t xml:space="preserve">primarily </w:t>
      </w:r>
      <w:r>
        <w:rPr>
          <w:lang w:val="en-GB" w:eastAsia="zh-CN"/>
        </w:rPr>
        <w:t xml:space="preserve">focus on solutions for </w:t>
      </w:r>
      <w:r w:rsidR="00406C0B">
        <w:rPr>
          <w:lang w:val="en-GB" w:eastAsia="zh-CN"/>
        </w:rPr>
        <w:t xml:space="preserve">the </w:t>
      </w:r>
      <w:r>
        <w:rPr>
          <w:lang w:val="en-GB" w:eastAsia="zh-CN"/>
        </w:rPr>
        <w:t>mobile IAB-node’s full migration</w:t>
      </w:r>
      <w:r w:rsidR="00406C0B">
        <w:rPr>
          <w:lang w:val="en-GB" w:eastAsia="zh-CN"/>
        </w:rPr>
        <w:t>,</w:t>
      </w:r>
      <w:r>
        <w:rPr>
          <w:lang w:val="en-GB" w:eastAsia="zh-CN"/>
        </w:rPr>
        <w:t xml:space="preserve"> group mobility, etc. Considering these aspects</w:t>
      </w:r>
      <w:r w:rsidR="00095116">
        <w:rPr>
          <w:lang w:val="en-GB" w:eastAsia="zh-CN"/>
        </w:rPr>
        <w:t>,</w:t>
      </w:r>
      <w:r>
        <w:rPr>
          <w:lang w:val="en-GB" w:eastAsia="zh-CN"/>
        </w:rPr>
        <w:t xml:space="preserve"> and also considering the limited TU</w:t>
      </w:r>
      <w:r w:rsidR="009B6AE0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9D7D35">
        <w:rPr>
          <w:lang w:val="en-GB" w:eastAsia="zh-CN"/>
        </w:rPr>
        <w:t>available for</w:t>
      </w:r>
      <w:r>
        <w:rPr>
          <w:lang w:val="en-GB" w:eastAsia="zh-CN"/>
        </w:rPr>
        <w:t xml:space="preserve"> mobile IAB, we believe </w:t>
      </w:r>
      <w:r w:rsidR="009D7D35">
        <w:rPr>
          <w:lang w:val="en-GB" w:eastAsia="zh-CN"/>
        </w:rPr>
        <w:t xml:space="preserve">that enhancements and </w:t>
      </w:r>
      <w:r w:rsidR="00095116">
        <w:rPr>
          <w:lang w:val="en-GB" w:eastAsia="zh-CN"/>
        </w:rPr>
        <w:t xml:space="preserve">optimizations </w:t>
      </w:r>
      <w:r w:rsidR="009D7D35">
        <w:rPr>
          <w:lang w:val="en-GB" w:eastAsia="zh-CN"/>
        </w:rPr>
        <w:t>to</w:t>
      </w:r>
      <w:r>
        <w:rPr>
          <w:lang w:val="en-GB" w:eastAsia="zh-CN"/>
        </w:rPr>
        <w:t xml:space="preserve"> multi-hop </w:t>
      </w:r>
      <w:r w:rsidR="00095116">
        <w:rPr>
          <w:lang w:val="en-GB" w:eastAsia="zh-CN"/>
        </w:rPr>
        <w:t>backhauling</w:t>
      </w:r>
      <w:r w:rsidR="00F2472C">
        <w:rPr>
          <w:lang w:val="en-GB" w:eastAsia="zh-CN"/>
        </w:rPr>
        <w:t xml:space="preserve"> should be precluded from </w:t>
      </w:r>
      <w:r w:rsidR="009D7D35">
        <w:rPr>
          <w:lang w:val="en-GB" w:eastAsia="zh-CN"/>
        </w:rPr>
        <w:t xml:space="preserve">the </w:t>
      </w:r>
      <w:r w:rsidR="00F2472C">
        <w:rPr>
          <w:lang w:val="en-GB" w:eastAsia="zh-CN"/>
        </w:rPr>
        <w:t>Rel-18</w:t>
      </w:r>
      <w:r w:rsidR="009D7D35">
        <w:rPr>
          <w:lang w:val="en-GB" w:eastAsia="zh-CN"/>
        </w:rPr>
        <w:t xml:space="preserve"> WI</w:t>
      </w:r>
      <w:r>
        <w:rPr>
          <w:lang w:val="en-GB" w:eastAsia="zh-CN"/>
        </w:rPr>
        <w:t xml:space="preserve">. </w:t>
      </w:r>
      <w:r w:rsidR="00406C0B">
        <w:rPr>
          <w:lang w:val="en-GB" w:eastAsia="zh-CN"/>
        </w:rPr>
        <w:t>For RAN 2, t</w:t>
      </w:r>
      <w:r w:rsidR="009B6AE0">
        <w:rPr>
          <w:lang w:val="en-GB" w:eastAsia="zh-CN"/>
        </w:rPr>
        <w:t xml:space="preserve">his would conclude the discussion </w:t>
      </w:r>
      <w:r w:rsidR="00F2472C">
        <w:rPr>
          <w:lang w:val="en-GB" w:eastAsia="zh-CN"/>
        </w:rPr>
        <w:t>on</w:t>
      </w:r>
      <w:r w:rsidR="009B6AE0">
        <w:rPr>
          <w:lang w:val="en-GB" w:eastAsia="zh-CN"/>
        </w:rPr>
        <w:t xml:space="preserve"> multi-hop backhauling </w:t>
      </w:r>
      <w:r w:rsidR="009D7D35">
        <w:rPr>
          <w:lang w:val="en-GB" w:eastAsia="zh-CN"/>
        </w:rPr>
        <w:t>defined in the</w:t>
      </w:r>
      <w:r w:rsidR="009B6AE0">
        <w:rPr>
          <w:lang w:val="en-GB" w:eastAsia="zh-CN"/>
        </w:rPr>
        <w:t xml:space="preserve"> Rel-18 WID.</w:t>
      </w:r>
    </w:p>
    <w:p w14:paraId="4DF6ADBC" w14:textId="430B94A5" w:rsidR="00295F73" w:rsidRPr="00B8492D" w:rsidRDefault="00417CA6" w:rsidP="00935F1A">
      <w:pPr>
        <w:rPr>
          <w:b/>
          <w:bCs/>
          <w:lang w:val="en-GB" w:eastAsia="zh-CN"/>
        </w:rPr>
      </w:pPr>
      <w:bookmarkStart w:id="6" w:name="P1"/>
      <w:r w:rsidRPr="00B8492D">
        <w:rPr>
          <w:b/>
          <w:bCs/>
          <w:lang w:val="en-GB" w:eastAsia="zh-CN"/>
        </w:rPr>
        <w:t xml:space="preserve">Proposal 1: </w:t>
      </w:r>
      <w:r w:rsidR="002D648C">
        <w:rPr>
          <w:b/>
          <w:bCs/>
          <w:lang w:val="en-GB" w:eastAsia="zh-CN"/>
        </w:rPr>
        <w:t>Discussion on e</w:t>
      </w:r>
      <w:r w:rsidR="00204914">
        <w:rPr>
          <w:b/>
          <w:bCs/>
          <w:lang w:val="en-GB" w:eastAsia="zh-CN"/>
        </w:rPr>
        <w:t xml:space="preserve">nhancements/optimization </w:t>
      </w:r>
      <w:r w:rsidR="00CF33B4">
        <w:rPr>
          <w:b/>
          <w:bCs/>
          <w:lang w:val="en-GB" w:eastAsia="zh-CN"/>
        </w:rPr>
        <w:t>to</w:t>
      </w:r>
      <w:r w:rsidR="00204914">
        <w:rPr>
          <w:b/>
          <w:bCs/>
          <w:lang w:val="en-GB" w:eastAsia="zh-CN"/>
        </w:rPr>
        <w:t xml:space="preserve"> multi-hop backhauling are </w:t>
      </w:r>
      <w:r w:rsidR="009D7D35">
        <w:rPr>
          <w:b/>
          <w:bCs/>
          <w:lang w:val="en-GB" w:eastAsia="zh-CN"/>
        </w:rPr>
        <w:t>precluded from</w:t>
      </w:r>
      <w:r w:rsidR="00204914">
        <w:rPr>
          <w:b/>
          <w:bCs/>
          <w:lang w:val="en-GB" w:eastAsia="zh-CN"/>
        </w:rPr>
        <w:t xml:space="preserve"> </w:t>
      </w:r>
      <w:r w:rsidR="002D648C">
        <w:rPr>
          <w:b/>
          <w:bCs/>
          <w:lang w:val="en-GB" w:eastAsia="zh-CN"/>
        </w:rPr>
        <w:t xml:space="preserve">the </w:t>
      </w:r>
      <w:r w:rsidR="00204914">
        <w:rPr>
          <w:b/>
          <w:bCs/>
          <w:lang w:val="en-GB" w:eastAsia="zh-CN"/>
        </w:rPr>
        <w:t>mobile IAB</w:t>
      </w:r>
      <w:r w:rsidR="002D648C">
        <w:rPr>
          <w:b/>
          <w:bCs/>
          <w:lang w:val="en-GB" w:eastAsia="zh-CN"/>
        </w:rPr>
        <w:t xml:space="preserve"> WI, but the </w:t>
      </w:r>
      <w:r w:rsidR="003048E7">
        <w:rPr>
          <w:b/>
          <w:bCs/>
          <w:lang w:val="en-GB" w:eastAsia="zh-CN"/>
        </w:rPr>
        <w:t>scenario for mobile IAB connecting</w:t>
      </w:r>
      <w:r w:rsidR="0054257F">
        <w:rPr>
          <w:b/>
          <w:bCs/>
          <w:lang w:val="en-GB" w:eastAsia="zh-CN"/>
        </w:rPr>
        <w:t xml:space="preserve"> to a stationary (intermediate) IAB node is not precluded</w:t>
      </w:r>
      <w:r w:rsidR="00204914" w:rsidRPr="00B8492D">
        <w:rPr>
          <w:b/>
          <w:bCs/>
          <w:lang w:val="en-GB" w:eastAsia="zh-CN"/>
        </w:rPr>
        <w:t>.</w:t>
      </w:r>
      <w:r w:rsidR="00204914">
        <w:rPr>
          <w:b/>
          <w:bCs/>
          <w:lang w:val="en-GB" w:eastAsia="zh-CN"/>
        </w:rPr>
        <w:t xml:space="preserve"> </w:t>
      </w:r>
    </w:p>
    <w:bookmarkEnd w:id="6"/>
    <w:p w14:paraId="2D3797AA" w14:textId="77777777" w:rsidR="00017FC6" w:rsidRDefault="00017FC6" w:rsidP="00017FC6">
      <w:pPr>
        <w:pStyle w:val="Heading1"/>
      </w:pPr>
      <w:r>
        <w:t>Conclusion</w:t>
      </w:r>
    </w:p>
    <w:p w14:paraId="48C21BF1" w14:textId="50331E9B" w:rsidR="00025E78" w:rsidRDefault="00DA3800" w:rsidP="00025E78">
      <w:r>
        <w:t xml:space="preserve">This contribution </w:t>
      </w:r>
      <w:r w:rsidR="007E5D2C">
        <w:t xml:space="preserve">discussed the complexity between a mobile IAB-node connecting to an intermediate node vs. directly to the donor recommended in the Rel-18 WID. </w:t>
      </w:r>
    </w:p>
    <w:p w14:paraId="0C730993" w14:textId="77777777" w:rsidR="00935F1A" w:rsidRDefault="00935F1A" w:rsidP="00935F1A">
      <w:pPr>
        <w:rPr>
          <w:b/>
          <w:bCs/>
          <w:lang w:val="en-GB" w:eastAsia="zh-CN"/>
        </w:rPr>
      </w:pPr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The Rel-18 </w:t>
      </w:r>
      <w:r w:rsidRPr="00305D0D">
        <w:rPr>
          <w:b/>
          <w:bCs/>
          <w:lang w:val="en-GB" w:eastAsia="zh-CN"/>
        </w:rPr>
        <w:t>WID</w:t>
      </w:r>
      <w:r w:rsidDel="006766D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does not preclude the possibility </w:t>
      </w:r>
      <w:r w:rsidRPr="00305D0D">
        <w:rPr>
          <w:b/>
          <w:bCs/>
          <w:lang w:val="en-GB" w:eastAsia="zh-CN"/>
        </w:rPr>
        <w:t>of</w:t>
      </w:r>
      <w:r>
        <w:rPr>
          <w:b/>
          <w:bCs/>
          <w:lang w:val="en-GB" w:eastAsia="zh-CN"/>
        </w:rPr>
        <w:t xml:space="preserve"> having intermediate IAB nodes between a mobile IAB-node and an IAB-donor</w:t>
      </w:r>
      <w:r w:rsidRPr="004774FC">
        <w:rPr>
          <w:b/>
          <w:bCs/>
          <w:lang w:val="en-GB" w:eastAsia="zh-CN"/>
        </w:rPr>
        <w:t>.</w:t>
      </w:r>
    </w:p>
    <w:p w14:paraId="0C98274C" w14:textId="77777777" w:rsidR="00935F1A" w:rsidRDefault="00935F1A" w:rsidP="00935F1A">
      <w:pPr>
        <w:rPr>
          <w:b/>
          <w:bCs/>
          <w:lang w:val="en-GB" w:eastAsia="zh-CN"/>
        </w:rPr>
      </w:pPr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2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Rel-16/17 specification can already support multi-hop backhauling for the mobile IAB-node</w:t>
      </w:r>
      <w:r w:rsidRPr="004774FC">
        <w:rPr>
          <w:b/>
          <w:bCs/>
          <w:lang w:val="en-GB" w:eastAsia="zh-CN"/>
        </w:rPr>
        <w:t>.</w:t>
      </w:r>
    </w:p>
    <w:p w14:paraId="5864ED30" w14:textId="77777777" w:rsidR="00935F1A" w:rsidRPr="00E929DE" w:rsidRDefault="00935F1A" w:rsidP="00935F1A">
      <w:pPr>
        <w:rPr>
          <w:b/>
          <w:bCs/>
          <w:lang w:val="en-GB" w:eastAsia="zh-CN"/>
        </w:rPr>
      </w:pPr>
      <w:r w:rsidRPr="002F025F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2F025F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The hop number is transparent to the mobile IAB-node, and thus the same full migration procedure can be used for a mobile IAB-node, no matter whether it is connected to the IAB-donor CU directly or connected to an intermediate IAB-node.</w:t>
      </w:r>
    </w:p>
    <w:p w14:paraId="29DF1675" w14:textId="77777777" w:rsidR="00935F1A" w:rsidRPr="002E3FB6" w:rsidRDefault="00935F1A" w:rsidP="00935F1A">
      <w:pPr>
        <w:rPr>
          <w:b/>
          <w:bCs/>
          <w:lang w:val="en-GB" w:eastAsia="zh-CN"/>
        </w:rPr>
      </w:pPr>
      <w:r w:rsidRPr="002E3FB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2E3FB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Enhancements to multi-hop latency and mitigate packet discard at intermediate nodes and source IAB-donor-DUs during IAB-node-migration were discussed in Rel-17 IAB, and they were deprioritized during Rel-17.</w:t>
      </w:r>
    </w:p>
    <w:p w14:paraId="707876CA" w14:textId="77777777" w:rsidR="00935F1A" w:rsidRPr="002E3FB6" w:rsidRDefault="00935F1A" w:rsidP="00935F1A">
      <w:pPr>
        <w:rPr>
          <w:b/>
          <w:bCs/>
          <w:lang w:val="en-GB" w:eastAsia="zh-CN"/>
        </w:rPr>
      </w:pPr>
      <w:r w:rsidRPr="002E3FB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2E3FB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Multi-hop latency is not specific to IAB-node mobility. Discussions on enhancements for multi-hop latency for </w:t>
      </w:r>
      <w:proofErr w:type="spellStart"/>
      <w:r>
        <w:rPr>
          <w:b/>
          <w:bCs/>
          <w:lang w:val="en-GB" w:eastAsia="zh-CN"/>
        </w:rPr>
        <w:t>mIAB</w:t>
      </w:r>
      <w:proofErr w:type="spellEnd"/>
      <w:r>
        <w:rPr>
          <w:b/>
          <w:bCs/>
          <w:lang w:val="en-GB" w:eastAsia="zh-CN"/>
        </w:rPr>
        <w:t xml:space="preserve"> should therefore be precluded based on Rel-18 WID.</w:t>
      </w:r>
    </w:p>
    <w:p w14:paraId="2E9AF9EE" w14:textId="77777777" w:rsidR="00935F1A" w:rsidRPr="00B8492D" w:rsidRDefault="00935F1A" w:rsidP="00935F1A">
      <w:pPr>
        <w:rPr>
          <w:b/>
          <w:bCs/>
          <w:lang w:val="en-GB" w:eastAsia="zh-CN"/>
        </w:rPr>
      </w:pPr>
      <w:r w:rsidRPr="00B8492D">
        <w:rPr>
          <w:b/>
          <w:bCs/>
          <w:lang w:val="en-GB" w:eastAsia="zh-CN"/>
        </w:rPr>
        <w:t xml:space="preserve">Proposal 1: </w:t>
      </w:r>
      <w:r>
        <w:rPr>
          <w:b/>
          <w:bCs/>
          <w:lang w:val="en-GB" w:eastAsia="zh-CN"/>
        </w:rPr>
        <w:t>Discussion on enhancements/optimization to multi-hop backhauling are precluded from the mobile IAB WI, but the scenario for mobile IAB connecting to a stationary (intermediate) IAB node is not precluded</w:t>
      </w:r>
      <w:r w:rsidRPr="00B8492D">
        <w:rPr>
          <w:b/>
          <w:bCs/>
          <w:lang w:val="en-GB" w:eastAsia="zh-CN"/>
        </w:rPr>
        <w:t>.</w:t>
      </w:r>
      <w:r>
        <w:rPr>
          <w:b/>
          <w:bCs/>
          <w:lang w:val="en-GB" w:eastAsia="zh-CN"/>
        </w:rPr>
        <w:t xml:space="preserve"> </w:t>
      </w:r>
    </w:p>
    <w:p w14:paraId="0F50A711" w14:textId="77777777" w:rsidR="00017FC6" w:rsidRPr="005E43A7" w:rsidRDefault="00017FC6" w:rsidP="00017FC6">
      <w:pPr>
        <w:pStyle w:val="Heading1"/>
      </w:pPr>
      <w:r>
        <w:t>References</w:t>
      </w:r>
    </w:p>
    <w:p w14:paraId="3D6FF949" w14:textId="34D87C5F" w:rsidR="00510E98" w:rsidRDefault="00C44528" w:rsidP="00C44528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RP-221815, </w:t>
      </w:r>
      <w:r w:rsidR="00AD0CBC">
        <w:rPr>
          <w:rFonts w:ascii="Times New Roman" w:hAnsi="Times New Roman"/>
          <w:sz w:val="20"/>
          <w:szCs w:val="20"/>
        </w:rPr>
        <w:t xml:space="preserve">WID on </w:t>
      </w:r>
      <w:r>
        <w:rPr>
          <w:rFonts w:ascii="Times New Roman" w:hAnsi="Times New Roman"/>
          <w:sz w:val="20"/>
          <w:szCs w:val="20"/>
        </w:rPr>
        <w:t>Mobile IAB for NR</w:t>
      </w:r>
      <w:r w:rsidR="00AD0CBC">
        <w:rPr>
          <w:rFonts w:ascii="Times New Roman" w:hAnsi="Times New Roman"/>
          <w:sz w:val="20"/>
          <w:szCs w:val="20"/>
        </w:rPr>
        <w:t>, 3GPP TSG RAN#96</w:t>
      </w:r>
      <w:r w:rsidR="00BE2EF1">
        <w:rPr>
          <w:rFonts w:ascii="Times New Roman" w:hAnsi="Times New Roman"/>
          <w:sz w:val="20"/>
          <w:szCs w:val="20"/>
        </w:rPr>
        <w:t>, Budapest, Hungary, Jun</w:t>
      </w:r>
      <w:r w:rsidR="00B9444B">
        <w:rPr>
          <w:rFonts w:ascii="Times New Roman" w:hAnsi="Times New Roman"/>
          <w:sz w:val="20"/>
          <w:szCs w:val="20"/>
        </w:rPr>
        <w:t>e</w:t>
      </w:r>
      <w:r w:rsidR="00BE2EF1">
        <w:rPr>
          <w:rFonts w:ascii="Times New Roman" w:hAnsi="Times New Roman"/>
          <w:sz w:val="20"/>
          <w:szCs w:val="20"/>
        </w:rPr>
        <w:t xml:space="preserve"> 2022</w:t>
      </w:r>
    </w:p>
    <w:sectPr w:rsidR="00510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EEE1" w14:textId="77777777" w:rsidR="0075726C" w:rsidRDefault="0075726C" w:rsidP="00094E6A">
      <w:pPr>
        <w:spacing w:after="0"/>
      </w:pPr>
      <w:r>
        <w:separator/>
      </w:r>
    </w:p>
  </w:endnote>
  <w:endnote w:type="continuationSeparator" w:id="0">
    <w:p w14:paraId="11F4D20E" w14:textId="77777777" w:rsidR="0075726C" w:rsidRDefault="0075726C" w:rsidP="00094E6A">
      <w:pPr>
        <w:spacing w:after="0"/>
      </w:pPr>
      <w:r>
        <w:continuationSeparator/>
      </w:r>
    </w:p>
  </w:endnote>
  <w:endnote w:type="continuationNotice" w:id="1">
    <w:p w14:paraId="28ED99E6" w14:textId="77777777" w:rsidR="0075726C" w:rsidRDefault="007572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nSymbol10">
    <w:altName w:val="Cambria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C593" w14:textId="77777777" w:rsidR="0075726C" w:rsidRDefault="0075726C" w:rsidP="00094E6A">
      <w:pPr>
        <w:spacing w:after="0"/>
      </w:pPr>
      <w:r>
        <w:separator/>
      </w:r>
    </w:p>
  </w:footnote>
  <w:footnote w:type="continuationSeparator" w:id="0">
    <w:p w14:paraId="7D164A2F" w14:textId="77777777" w:rsidR="0075726C" w:rsidRDefault="0075726C" w:rsidP="00094E6A">
      <w:pPr>
        <w:spacing w:after="0"/>
      </w:pPr>
      <w:r>
        <w:continuationSeparator/>
      </w:r>
    </w:p>
  </w:footnote>
  <w:footnote w:type="continuationNotice" w:id="1">
    <w:p w14:paraId="4CF844F8" w14:textId="77777777" w:rsidR="0075726C" w:rsidRDefault="007572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77C26"/>
    <w:multiLevelType w:val="hybridMultilevel"/>
    <w:tmpl w:val="3DF42E3C"/>
    <w:lvl w:ilvl="0" w:tplc="49DA7F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62D2F"/>
    <w:multiLevelType w:val="multilevel"/>
    <w:tmpl w:val="DAC2E13A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C6"/>
    <w:rsid w:val="00001460"/>
    <w:rsid w:val="00001929"/>
    <w:rsid w:val="000039FD"/>
    <w:rsid w:val="0000423A"/>
    <w:rsid w:val="00017FC6"/>
    <w:rsid w:val="0002231B"/>
    <w:rsid w:val="00025E78"/>
    <w:rsid w:val="000267DC"/>
    <w:rsid w:val="000322AF"/>
    <w:rsid w:val="000323E2"/>
    <w:rsid w:val="00041F37"/>
    <w:rsid w:val="00042A0F"/>
    <w:rsid w:val="00045DFE"/>
    <w:rsid w:val="0005516D"/>
    <w:rsid w:val="0005751E"/>
    <w:rsid w:val="0006201C"/>
    <w:rsid w:val="00071180"/>
    <w:rsid w:val="00081B91"/>
    <w:rsid w:val="0008391E"/>
    <w:rsid w:val="000909E2"/>
    <w:rsid w:val="00093AEA"/>
    <w:rsid w:val="00094E6A"/>
    <w:rsid w:val="00095116"/>
    <w:rsid w:val="000A1AAC"/>
    <w:rsid w:val="000A1E37"/>
    <w:rsid w:val="000A22B8"/>
    <w:rsid w:val="000A5E63"/>
    <w:rsid w:val="000B0966"/>
    <w:rsid w:val="000B1312"/>
    <w:rsid w:val="000B1D8B"/>
    <w:rsid w:val="000B1EAD"/>
    <w:rsid w:val="000C093F"/>
    <w:rsid w:val="000C3449"/>
    <w:rsid w:val="000D072A"/>
    <w:rsid w:val="000D1C01"/>
    <w:rsid w:val="000D5D40"/>
    <w:rsid w:val="000E3249"/>
    <w:rsid w:val="000E67A7"/>
    <w:rsid w:val="000E6A0E"/>
    <w:rsid w:val="000E7B9F"/>
    <w:rsid w:val="00107DB0"/>
    <w:rsid w:val="001146ED"/>
    <w:rsid w:val="00120860"/>
    <w:rsid w:val="00122AE5"/>
    <w:rsid w:val="00124176"/>
    <w:rsid w:val="00126EA2"/>
    <w:rsid w:val="00130F66"/>
    <w:rsid w:val="00131C86"/>
    <w:rsid w:val="0013453C"/>
    <w:rsid w:val="00134EA6"/>
    <w:rsid w:val="00135399"/>
    <w:rsid w:val="00140CA5"/>
    <w:rsid w:val="00145799"/>
    <w:rsid w:val="00147C10"/>
    <w:rsid w:val="0015354F"/>
    <w:rsid w:val="001568B8"/>
    <w:rsid w:val="00163423"/>
    <w:rsid w:val="00174FBA"/>
    <w:rsid w:val="0019598E"/>
    <w:rsid w:val="00197910"/>
    <w:rsid w:val="001A4B0B"/>
    <w:rsid w:val="001A50E3"/>
    <w:rsid w:val="001A583D"/>
    <w:rsid w:val="001B7083"/>
    <w:rsid w:val="001C09F8"/>
    <w:rsid w:val="001C1772"/>
    <w:rsid w:val="001C2736"/>
    <w:rsid w:val="001C2DC3"/>
    <w:rsid w:val="001C5455"/>
    <w:rsid w:val="001C584C"/>
    <w:rsid w:val="001C5A7B"/>
    <w:rsid w:val="001C5F18"/>
    <w:rsid w:val="001D3B75"/>
    <w:rsid w:val="001D3E01"/>
    <w:rsid w:val="001D7F04"/>
    <w:rsid w:val="001E4950"/>
    <w:rsid w:val="001E714F"/>
    <w:rsid w:val="001E7FF8"/>
    <w:rsid w:val="001F076C"/>
    <w:rsid w:val="001F300F"/>
    <w:rsid w:val="001F3CA5"/>
    <w:rsid w:val="00204914"/>
    <w:rsid w:val="00211363"/>
    <w:rsid w:val="00215E69"/>
    <w:rsid w:val="00217172"/>
    <w:rsid w:val="002221EA"/>
    <w:rsid w:val="002276E6"/>
    <w:rsid w:val="002329E5"/>
    <w:rsid w:val="00233447"/>
    <w:rsid w:val="002334A8"/>
    <w:rsid w:val="00243288"/>
    <w:rsid w:val="0024497F"/>
    <w:rsid w:val="002457C7"/>
    <w:rsid w:val="00246360"/>
    <w:rsid w:val="002536D2"/>
    <w:rsid w:val="00255EDD"/>
    <w:rsid w:val="0026318E"/>
    <w:rsid w:val="00265614"/>
    <w:rsid w:val="00271484"/>
    <w:rsid w:val="00275FB5"/>
    <w:rsid w:val="00286265"/>
    <w:rsid w:val="0028700E"/>
    <w:rsid w:val="00295F73"/>
    <w:rsid w:val="002965DC"/>
    <w:rsid w:val="002A37AD"/>
    <w:rsid w:val="002A6D02"/>
    <w:rsid w:val="002A6F06"/>
    <w:rsid w:val="002A758F"/>
    <w:rsid w:val="002C0213"/>
    <w:rsid w:val="002C3663"/>
    <w:rsid w:val="002D0291"/>
    <w:rsid w:val="002D648C"/>
    <w:rsid w:val="002E191F"/>
    <w:rsid w:val="002E3FB6"/>
    <w:rsid w:val="002E42D9"/>
    <w:rsid w:val="002E4581"/>
    <w:rsid w:val="002E5E41"/>
    <w:rsid w:val="002F025F"/>
    <w:rsid w:val="002F47A7"/>
    <w:rsid w:val="002F4A2E"/>
    <w:rsid w:val="002F5AC8"/>
    <w:rsid w:val="003016F2"/>
    <w:rsid w:val="003048E7"/>
    <w:rsid w:val="003059EA"/>
    <w:rsid w:val="00305D0D"/>
    <w:rsid w:val="0030611F"/>
    <w:rsid w:val="00311546"/>
    <w:rsid w:val="00314E24"/>
    <w:rsid w:val="0031581E"/>
    <w:rsid w:val="00315F5E"/>
    <w:rsid w:val="0031603E"/>
    <w:rsid w:val="00322633"/>
    <w:rsid w:val="00332FB7"/>
    <w:rsid w:val="00335DA8"/>
    <w:rsid w:val="00337AA2"/>
    <w:rsid w:val="00342593"/>
    <w:rsid w:val="00343182"/>
    <w:rsid w:val="003431D3"/>
    <w:rsid w:val="003437A1"/>
    <w:rsid w:val="0036060B"/>
    <w:rsid w:val="00372F00"/>
    <w:rsid w:val="0038208A"/>
    <w:rsid w:val="003835CA"/>
    <w:rsid w:val="00384AC5"/>
    <w:rsid w:val="00390051"/>
    <w:rsid w:val="00392F35"/>
    <w:rsid w:val="00393CD6"/>
    <w:rsid w:val="00395663"/>
    <w:rsid w:val="003A09C2"/>
    <w:rsid w:val="003A2A50"/>
    <w:rsid w:val="003A5064"/>
    <w:rsid w:val="003A6DB4"/>
    <w:rsid w:val="003B325B"/>
    <w:rsid w:val="003B7F0A"/>
    <w:rsid w:val="003C09E9"/>
    <w:rsid w:val="003C238D"/>
    <w:rsid w:val="003C2C64"/>
    <w:rsid w:val="003C37C2"/>
    <w:rsid w:val="003C47B4"/>
    <w:rsid w:val="003D407B"/>
    <w:rsid w:val="003D6E99"/>
    <w:rsid w:val="003E1866"/>
    <w:rsid w:val="003E3AC1"/>
    <w:rsid w:val="003E55E1"/>
    <w:rsid w:val="003E7D94"/>
    <w:rsid w:val="003F1323"/>
    <w:rsid w:val="003F1C8B"/>
    <w:rsid w:val="003F1D46"/>
    <w:rsid w:val="003F2355"/>
    <w:rsid w:val="00405E3A"/>
    <w:rsid w:val="00406113"/>
    <w:rsid w:val="00406C0B"/>
    <w:rsid w:val="004072BC"/>
    <w:rsid w:val="00415020"/>
    <w:rsid w:val="00415051"/>
    <w:rsid w:val="00417021"/>
    <w:rsid w:val="004170DD"/>
    <w:rsid w:val="00417CA6"/>
    <w:rsid w:val="0042053D"/>
    <w:rsid w:val="00422993"/>
    <w:rsid w:val="00425B22"/>
    <w:rsid w:val="00426AFA"/>
    <w:rsid w:val="004343E6"/>
    <w:rsid w:val="00441951"/>
    <w:rsid w:val="0045335C"/>
    <w:rsid w:val="00456D5A"/>
    <w:rsid w:val="004618CB"/>
    <w:rsid w:val="004619FD"/>
    <w:rsid w:val="00464537"/>
    <w:rsid w:val="004652DF"/>
    <w:rsid w:val="00465367"/>
    <w:rsid w:val="004653EF"/>
    <w:rsid w:val="00466781"/>
    <w:rsid w:val="00467C83"/>
    <w:rsid w:val="0047176C"/>
    <w:rsid w:val="00474A69"/>
    <w:rsid w:val="004774FC"/>
    <w:rsid w:val="00477A66"/>
    <w:rsid w:val="00486655"/>
    <w:rsid w:val="00487C41"/>
    <w:rsid w:val="004A0145"/>
    <w:rsid w:val="004A1A66"/>
    <w:rsid w:val="004B0253"/>
    <w:rsid w:val="004B0A78"/>
    <w:rsid w:val="004D40FC"/>
    <w:rsid w:val="004D66D3"/>
    <w:rsid w:val="004D7DD6"/>
    <w:rsid w:val="004E16C4"/>
    <w:rsid w:val="004E3D96"/>
    <w:rsid w:val="004F454B"/>
    <w:rsid w:val="004F53BC"/>
    <w:rsid w:val="00500C66"/>
    <w:rsid w:val="005077CD"/>
    <w:rsid w:val="00507D78"/>
    <w:rsid w:val="005106C5"/>
    <w:rsid w:val="00510911"/>
    <w:rsid w:val="00510E98"/>
    <w:rsid w:val="0051222D"/>
    <w:rsid w:val="00520A1B"/>
    <w:rsid w:val="00523F0C"/>
    <w:rsid w:val="00530BC7"/>
    <w:rsid w:val="00531DA9"/>
    <w:rsid w:val="00532B3B"/>
    <w:rsid w:val="00533599"/>
    <w:rsid w:val="00540226"/>
    <w:rsid w:val="0054257F"/>
    <w:rsid w:val="00555DC7"/>
    <w:rsid w:val="00560413"/>
    <w:rsid w:val="00561E23"/>
    <w:rsid w:val="00563A54"/>
    <w:rsid w:val="00571EC9"/>
    <w:rsid w:val="005761BE"/>
    <w:rsid w:val="00580060"/>
    <w:rsid w:val="0058251B"/>
    <w:rsid w:val="00582A84"/>
    <w:rsid w:val="0058626B"/>
    <w:rsid w:val="00590913"/>
    <w:rsid w:val="0059097D"/>
    <w:rsid w:val="00591075"/>
    <w:rsid w:val="005924B0"/>
    <w:rsid w:val="005936FA"/>
    <w:rsid w:val="00597EBE"/>
    <w:rsid w:val="005A05BA"/>
    <w:rsid w:val="005A0EA8"/>
    <w:rsid w:val="005B511E"/>
    <w:rsid w:val="005B7C32"/>
    <w:rsid w:val="005C0923"/>
    <w:rsid w:val="005C19A1"/>
    <w:rsid w:val="005C3054"/>
    <w:rsid w:val="005C69F2"/>
    <w:rsid w:val="005C7F21"/>
    <w:rsid w:val="005E3498"/>
    <w:rsid w:val="005E4694"/>
    <w:rsid w:val="005F2435"/>
    <w:rsid w:val="005F3439"/>
    <w:rsid w:val="005F667B"/>
    <w:rsid w:val="0060073E"/>
    <w:rsid w:val="00610279"/>
    <w:rsid w:val="00610EFC"/>
    <w:rsid w:val="006125E0"/>
    <w:rsid w:val="006131CE"/>
    <w:rsid w:val="00613522"/>
    <w:rsid w:val="0062151C"/>
    <w:rsid w:val="00623AA0"/>
    <w:rsid w:val="00625A27"/>
    <w:rsid w:val="0062778A"/>
    <w:rsid w:val="00630AD2"/>
    <w:rsid w:val="006313C4"/>
    <w:rsid w:val="0063149A"/>
    <w:rsid w:val="006354D8"/>
    <w:rsid w:val="0065359A"/>
    <w:rsid w:val="00662255"/>
    <w:rsid w:val="006643A1"/>
    <w:rsid w:val="00667574"/>
    <w:rsid w:val="00673A47"/>
    <w:rsid w:val="006766D0"/>
    <w:rsid w:val="00680F66"/>
    <w:rsid w:val="006815CF"/>
    <w:rsid w:val="0068454D"/>
    <w:rsid w:val="00685621"/>
    <w:rsid w:val="006859F2"/>
    <w:rsid w:val="00687237"/>
    <w:rsid w:val="006902B1"/>
    <w:rsid w:val="0069122D"/>
    <w:rsid w:val="00691436"/>
    <w:rsid w:val="0069544D"/>
    <w:rsid w:val="00696DA4"/>
    <w:rsid w:val="006A7EC3"/>
    <w:rsid w:val="006B24C6"/>
    <w:rsid w:val="006B33EA"/>
    <w:rsid w:val="006C0EF1"/>
    <w:rsid w:val="006C1721"/>
    <w:rsid w:val="006C33E5"/>
    <w:rsid w:val="006C6A65"/>
    <w:rsid w:val="006D2D54"/>
    <w:rsid w:val="006E1B55"/>
    <w:rsid w:val="006E73A1"/>
    <w:rsid w:val="006F3AA1"/>
    <w:rsid w:val="006F5FDF"/>
    <w:rsid w:val="00702FC9"/>
    <w:rsid w:val="00703FBB"/>
    <w:rsid w:val="00711BD6"/>
    <w:rsid w:val="00712C96"/>
    <w:rsid w:val="00716198"/>
    <w:rsid w:val="00723A48"/>
    <w:rsid w:val="00725C57"/>
    <w:rsid w:val="007268AA"/>
    <w:rsid w:val="00726BEF"/>
    <w:rsid w:val="007320DB"/>
    <w:rsid w:val="00734181"/>
    <w:rsid w:val="00735E7D"/>
    <w:rsid w:val="00742A32"/>
    <w:rsid w:val="0075621B"/>
    <w:rsid w:val="0075726C"/>
    <w:rsid w:val="00762EFD"/>
    <w:rsid w:val="00764AFB"/>
    <w:rsid w:val="00765F55"/>
    <w:rsid w:val="007728E8"/>
    <w:rsid w:val="00777151"/>
    <w:rsid w:val="00780E7A"/>
    <w:rsid w:val="007833FB"/>
    <w:rsid w:val="007A18DB"/>
    <w:rsid w:val="007A7EE2"/>
    <w:rsid w:val="007B0DA0"/>
    <w:rsid w:val="007B6375"/>
    <w:rsid w:val="007B6971"/>
    <w:rsid w:val="007D67DD"/>
    <w:rsid w:val="007D788F"/>
    <w:rsid w:val="007D7FCD"/>
    <w:rsid w:val="007E0385"/>
    <w:rsid w:val="007E1218"/>
    <w:rsid w:val="007E269C"/>
    <w:rsid w:val="007E5D2C"/>
    <w:rsid w:val="007F34FB"/>
    <w:rsid w:val="008009A0"/>
    <w:rsid w:val="00803F65"/>
    <w:rsid w:val="00810E12"/>
    <w:rsid w:val="00815B83"/>
    <w:rsid w:val="008274DC"/>
    <w:rsid w:val="00837DDE"/>
    <w:rsid w:val="008447AC"/>
    <w:rsid w:val="0084678F"/>
    <w:rsid w:val="008472B9"/>
    <w:rsid w:val="00860CE4"/>
    <w:rsid w:val="00861138"/>
    <w:rsid w:val="00866D02"/>
    <w:rsid w:val="00867473"/>
    <w:rsid w:val="00867F3C"/>
    <w:rsid w:val="00872CF6"/>
    <w:rsid w:val="00881A0C"/>
    <w:rsid w:val="008828E5"/>
    <w:rsid w:val="00892985"/>
    <w:rsid w:val="00893377"/>
    <w:rsid w:val="008968E3"/>
    <w:rsid w:val="008A1084"/>
    <w:rsid w:val="008A119A"/>
    <w:rsid w:val="008A1A69"/>
    <w:rsid w:val="008A62CB"/>
    <w:rsid w:val="008B461B"/>
    <w:rsid w:val="008C072C"/>
    <w:rsid w:val="008C11CF"/>
    <w:rsid w:val="008C47ED"/>
    <w:rsid w:val="008D1D22"/>
    <w:rsid w:val="008D31C9"/>
    <w:rsid w:val="008D3FFE"/>
    <w:rsid w:val="008E10C9"/>
    <w:rsid w:val="008E3677"/>
    <w:rsid w:val="008E7DBC"/>
    <w:rsid w:val="008F2B60"/>
    <w:rsid w:val="008F3123"/>
    <w:rsid w:val="008F3E11"/>
    <w:rsid w:val="008F5E19"/>
    <w:rsid w:val="008F7319"/>
    <w:rsid w:val="008F77CE"/>
    <w:rsid w:val="009023D8"/>
    <w:rsid w:val="00911BDF"/>
    <w:rsid w:val="00912C62"/>
    <w:rsid w:val="009133E8"/>
    <w:rsid w:val="0091404A"/>
    <w:rsid w:val="0091512D"/>
    <w:rsid w:val="00922E47"/>
    <w:rsid w:val="009246C0"/>
    <w:rsid w:val="00925607"/>
    <w:rsid w:val="00925DF7"/>
    <w:rsid w:val="00935F1A"/>
    <w:rsid w:val="009373C4"/>
    <w:rsid w:val="009424CE"/>
    <w:rsid w:val="00945F09"/>
    <w:rsid w:val="009531FE"/>
    <w:rsid w:val="00953990"/>
    <w:rsid w:val="00956CBC"/>
    <w:rsid w:val="00966AFC"/>
    <w:rsid w:val="00974DC5"/>
    <w:rsid w:val="009834FF"/>
    <w:rsid w:val="00986912"/>
    <w:rsid w:val="009914AA"/>
    <w:rsid w:val="0099250A"/>
    <w:rsid w:val="00994C60"/>
    <w:rsid w:val="00995C5C"/>
    <w:rsid w:val="009975A1"/>
    <w:rsid w:val="009A07E7"/>
    <w:rsid w:val="009A33D3"/>
    <w:rsid w:val="009A62F1"/>
    <w:rsid w:val="009B6AE0"/>
    <w:rsid w:val="009C0F53"/>
    <w:rsid w:val="009D2E8C"/>
    <w:rsid w:val="009D3C99"/>
    <w:rsid w:val="009D7D35"/>
    <w:rsid w:val="009D7F6E"/>
    <w:rsid w:val="009E1115"/>
    <w:rsid w:val="009E3F06"/>
    <w:rsid w:val="009E76C0"/>
    <w:rsid w:val="009E78D1"/>
    <w:rsid w:val="009F3EBF"/>
    <w:rsid w:val="009F4E6D"/>
    <w:rsid w:val="009F548F"/>
    <w:rsid w:val="00A01373"/>
    <w:rsid w:val="00A03797"/>
    <w:rsid w:val="00A07319"/>
    <w:rsid w:val="00A10963"/>
    <w:rsid w:val="00A21AA0"/>
    <w:rsid w:val="00A2203B"/>
    <w:rsid w:val="00A222B7"/>
    <w:rsid w:val="00A22FA8"/>
    <w:rsid w:val="00A244C9"/>
    <w:rsid w:val="00A329A7"/>
    <w:rsid w:val="00A4128A"/>
    <w:rsid w:val="00A425A5"/>
    <w:rsid w:val="00A42EE5"/>
    <w:rsid w:val="00A4391F"/>
    <w:rsid w:val="00A4669F"/>
    <w:rsid w:val="00A5018E"/>
    <w:rsid w:val="00A52FE6"/>
    <w:rsid w:val="00A53D98"/>
    <w:rsid w:val="00A54537"/>
    <w:rsid w:val="00A6432C"/>
    <w:rsid w:val="00A6495E"/>
    <w:rsid w:val="00A67190"/>
    <w:rsid w:val="00A72237"/>
    <w:rsid w:val="00A740CC"/>
    <w:rsid w:val="00A80199"/>
    <w:rsid w:val="00A804FD"/>
    <w:rsid w:val="00A814A0"/>
    <w:rsid w:val="00A825E8"/>
    <w:rsid w:val="00A97033"/>
    <w:rsid w:val="00AB5DCB"/>
    <w:rsid w:val="00AC1F09"/>
    <w:rsid w:val="00AC6AD7"/>
    <w:rsid w:val="00AD0CBC"/>
    <w:rsid w:val="00AD32BA"/>
    <w:rsid w:val="00AD3A3A"/>
    <w:rsid w:val="00AD76EC"/>
    <w:rsid w:val="00AE0C99"/>
    <w:rsid w:val="00AE1AD9"/>
    <w:rsid w:val="00AE4CF5"/>
    <w:rsid w:val="00AE752D"/>
    <w:rsid w:val="00AF1250"/>
    <w:rsid w:val="00AF26BF"/>
    <w:rsid w:val="00AF63E3"/>
    <w:rsid w:val="00B06818"/>
    <w:rsid w:val="00B06B54"/>
    <w:rsid w:val="00B13C46"/>
    <w:rsid w:val="00B1685C"/>
    <w:rsid w:val="00B16AC4"/>
    <w:rsid w:val="00B16B0E"/>
    <w:rsid w:val="00B24B9F"/>
    <w:rsid w:val="00B26202"/>
    <w:rsid w:val="00B30084"/>
    <w:rsid w:val="00B31C0C"/>
    <w:rsid w:val="00B3206B"/>
    <w:rsid w:val="00B542F0"/>
    <w:rsid w:val="00B55889"/>
    <w:rsid w:val="00B579BB"/>
    <w:rsid w:val="00B62CD6"/>
    <w:rsid w:val="00B65220"/>
    <w:rsid w:val="00B670B9"/>
    <w:rsid w:val="00B8492D"/>
    <w:rsid w:val="00B90A10"/>
    <w:rsid w:val="00B9444B"/>
    <w:rsid w:val="00B94E60"/>
    <w:rsid w:val="00BA0E11"/>
    <w:rsid w:val="00BA147C"/>
    <w:rsid w:val="00BA1900"/>
    <w:rsid w:val="00BC074F"/>
    <w:rsid w:val="00BC4253"/>
    <w:rsid w:val="00BC5BCE"/>
    <w:rsid w:val="00BC748C"/>
    <w:rsid w:val="00BD36F8"/>
    <w:rsid w:val="00BE122C"/>
    <w:rsid w:val="00BE2EF1"/>
    <w:rsid w:val="00BE60E3"/>
    <w:rsid w:val="00BE73B2"/>
    <w:rsid w:val="00BF7313"/>
    <w:rsid w:val="00BF7403"/>
    <w:rsid w:val="00C072AB"/>
    <w:rsid w:val="00C07D07"/>
    <w:rsid w:val="00C11430"/>
    <w:rsid w:val="00C133E6"/>
    <w:rsid w:val="00C23396"/>
    <w:rsid w:val="00C25404"/>
    <w:rsid w:val="00C33F8D"/>
    <w:rsid w:val="00C36AAE"/>
    <w:rsid w:val="00C42CF7"/>
    <w:rsid w:val="00C441FB"/>
    <w:rsid w:val="00C44528"/>
    <w:rsid w:val="00C476EC"/>
    <w:rsid w:val="00C506A8"/>
    <w:rsid w:val="00C51995"/>
    <w:rsid w:val="00C566F5"/>
    <w:rsid w:val="00C70019"/>
    <w:rsid w:val="00C7161D"/>
    <w:rsid w:val="00C71CF8"/>
    <w:rsid w:val="00C75523"/>
    <w:rsid w:val="00C768DE"/>
    <w:rsid w:val="00C80FE1"/>
    <w:rsid w:val="00C816D3"/>
    <w:rsid w:val="00C92FDE"/>
    <w:rsid w:val="00C944A0"/>
    <w:rsid w:val="00C9452D"/>
    <w:rsid w:val="00C94D27"/>
    <w:rsid w:val="00CA5E8F"/>
    <w:rsid w:val="00CA6FFF"/>
    <w:rsid w:val="00CD42FD"/>
    <w:rsid w:val="00CE0C6C"/>
    <w:rsid w:val="00CF33B4"/>
    <w:rsid w:val="00CF5CF9"/>
    <w:rsid w:val="00CF7ADC"/>
    <w:rsid w:val="00D010A1"/>
    <w:rsid w:val="00D04634"/>
    <w:rsid w:val="00D109F5"/>
    <w:rsid w:val="00D12348"/>
    <w:rsid w:val="00D13616"/>
    <w:rsid w:val="00D15634"/>
    <w:rsid w:val="00D214A0"/>
    <w:rsid w:val="00D31A08"/>
    <w:rsid w:val="00D402A3"/>
    <w:rsid w:val="00D46079"/>
    <w:rsid w:val="00D55FFA"/>
    <w:rsid w:val="00D57896"/>
    <w:rsid w:val="00D60F6C"/>
    <w:rsid w:val="00D6412C"/>
    <w:rsid w:val="00D75CBD"/>
    <w:rsid w:val="00D829EC"/>
    <w:rsid w:val="00D8649F"/>
    <w:rsid w:val="00D92477"/>
    <w:rsid w:val="00D94764"/>
    <w:rsid w:val="00D96150"/>
    <w:rsid w:val="00D97F81"/>
    <w:rsid w:val="00DA1FAF"/>
    <w:rsid w:val="00DA3800"/>
    <w:rsid w:val="00DA3F03"/>
    <w:rsid w:val="00DB095F"/>
    <w:rsid w:val="00DB2209"/>
    <w:rsid w:val="00DB26AB"/>
    <w:rsid w:val="00DB2F62"/>
    <w:rsid w:val="00DC47E1"/>
    <w:rsid w:val="00DE4F0E"/>
    <w:rsid w:val="00DE70EF"/>
    <w:rsid w:val="00DE7612"/>
    <w:rsid w:val="00DF4DEC"/>
    <w:rsid w:val="00DF5BF3"/>
    <w:rsid w:val="00E0059E"/>
    <w:rsid w:val="00E00E3B"/>
    <w:rsid w:val="00E14A5C"/>
    <w:rsid w:val="00E168D0"/>
    <w:rsid w:val="00E2029D"/>
    <w:rsid w:val="00E24642"/>
    <w:rsid w:val="00E301E7"/>
    <w:rsid w:val="00E32507"/>
    <w:rsid w:val="00E34AA6"/>
    <w:rsid w:val="00E37C47"/>
    <w:rsid w:val="00E431C3"/>
    <w:rsid w:val="00E43753"/>
    <w:rsid w:val="00E45A6A"/>
    <w:rsid w:val="00E474B1"/>
    <w:rsid w:val="00E5490D"/>
    <w:rsid w:val="00E55506"/>
    <w:rsid w:val="00E71EF9"/>
    <w:rsid w:val="00E7552C"/>
    <w:rsid w:val="00E82276"/>
    <w:rsid w:val="00E836E5"/>
    <w:rsid w:val="00E856B0"/>
    <w:rsid w:val="00E929DE"/>
    <w:rsid w:val="00EB18A1"/>
    <w:rsid w:val="00EB42A9"/>
    <w:rsid w:val="00EC00C3"/>
    <w:rsid w:val="00ED26F4"/>
    <w:rsid w:val="00ED7B61"/>
    <w:rsid w:val="00EE01A8"/>
    <w:rsid w:val="00EF2411"/>
    <w:rsid w:val="00F07C46"/>
    <w:rsid w:val="00F141B3"/>
    <w:rsid w:val="00F14E50"/>
    <w:rsid w:val="00F169FC"/>
    <w:rsid w:val="00F2472C"/>
    <w:rsid w:val="00F25019"/>
    <w:rsid w:val="00F25672"/>
    <w:rsid w:val="00F3012C"/>
    <w:rsid w:val="00F30693"/>
    <w:rsid w:val="00F35E4D"/>
    <w:rsid w:val="00F420FF"/>
    <w:rsid w:val="00F43DF2"/>
    <w:rsid w:val="00F5211C"/>
    <w:rsid w:val="00F553D2"/>
    <w:rsid w:val="00F55BD4"/>
    <w:rsid w:val="00F56724"/>
    <w:rsid w:val="00F56BE8"/>
    <w:rsid w:val="00F602D5"/>
    <w:rsid w:val="00F647E3"/>
    <w:rsid w:val="00F74336"/>
    <w:rsid w:val="00F81654"/>
    <w:rsid w:val="00F848A1"/>
    <w:rsid w:val="00F85C5B"/>
    <w:rsid w:val="00F866A6"/>
    <w:rsid w:val="00F867D1"/>
    <w:rsid w:val="00F86855"/>
    <w:rsid w:val="00F95B28"/>
    <w:rsid w:val="00F96BA2"/>
    <w:rsid w:val="00FA45C8"/>
    <w:rsid w:val="00FA7CDB"/>
    <w:rsid w:val="00FB30BF"/>
    <w:rsid w:val="00FB33C9"/>
    <w:rsid w:val="00FB6F5F"/>
    <w:rsid w:val="00FD09D0"/>
    <w:rsid w:val="00FD11C2"/>
    <w:rsid w:val="00FD47F8"/>
    <w:rsid w:val="00FD6F04"/>
    <w:rsid w:val="00FE3C37"/>
    <w:rsid w:val="00FE53C0"/>
    <w:rsid w:val="00FF1212"/>
    <w:rsid w:val="00FF58CC"/>
    <w:rsid w:val="00FF74D6"/>
    <w:rsid w:val="2EFBD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F54D"/>
  <w15:chartTrackingRefBased/>
  <w15:docId w15:val="{790CCFCB-F400-2047-9393-4585BDA1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F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17FC6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17FC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17FC6"/>
    <w:pPr>
      <w:numPr>
        <w:ilvl w:val="2"/>
      </w:numPr>
      <w:spacing w:before="120"/>
      <w:outlineLvl w:val="2"/>
    </w:pPr>
    <w:rPr>
      <w:rFonts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17FC6"/>
    <w:rPr>
      <w:rFonts w:ascii="Arial" w:eastAsia="Arial" w:hAnsi="Arial" w:cstheme="majorBidi"/>
      <w:noProof/>
      <w:sz w:val="36"/>
      <w:szCs w:val="20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17FC6"/>
    <w:rPr>
      <w:rFonts w:ascii="Arial" w:eastAsia="Arial" w:hAnsi="Arial" w:cstheme="majorBidi"/>
      <w:noProof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017FC6"/>
    <w:rPr>
      <w:rFonts w:ascii="Arial" w:eastAsia="Arial" w:hAnsi="Arial" w:cs="Times New Roman"/>
      <w:noProof/>
      <w:sz w:val="28"/>
      <w:szCs w:val="20"/>
      <w:lang w:val="en-GB" w:eastAsia="en-US"/>
    </w:rPr>
  </w:style>
  <w:style w:type="paragraph" w:customStyle="1" w:styleId="3GPPHeader">
    <w:name w:val="3GPP_Header"/>
    <w:basedOn w:val="Normal"/>
    <w:rsid w:val="00017FC6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017F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017FC6"/>
    <w:pPr>
      <w:spacing w:after="0" w:line="240" w:lineRule="auto"/>
    </w:pPr>
    <w:rPr>
      <w:rFonts w:ascii="CG Times (WN)" w:eastAsia="Calibri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17FC6"/>
    <w:rPr>
      <w:rFonts w:ascii="Calibri" w:eastAsia="Calibri" w:hAnsi="Calibri" w:cs="Times New Roman"/>
      <w:lang w:eastAsia="en-US"/>
    </w:rPr>
  </w:style>
  <w:style w:type="paragraph" w:customStyle="1" w:styleId="ListParagraph3">
    <w:name w:val="List Paragraph3"/>
    <w:basedOn w:val="Normal"/>
    <w:qFormat/>
    <w:rsid w:val="00017FC6"/>
    <w:pPr>
      <w:overflowPunct/>
      <w:autoSpaceDE/>
      <w:autoSpaceDN/>
      <w:adjustRightInd/>
      <w:spacing w:before="100" w:beforeAutospacing="1" w:line="259" w:lineRule="auto"/>
      <w:ind w:left="720"/>
      <w:contextualSpacing/>
      <w:textAlignment w:val="auto"/>
    </w:pPr>
    <w:rPr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17FC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17FC6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maintextChar">
    <w:name w:val="main text Char"/>
    <w:link w:val="maintext"/>
    <w:qFormat/>
    <w:locked/>
    <w:rsid w:val="00025E78"/>
    <w:rPr>
      <w:rFonts w:eastAsia="맑은 고딕" w:cs="바탕"/>
      <w:lang w:eastAsia="ko-KR"/>
    </w:rPr>
  </w:style>
  <w:style w:type="paragraph" w:customStyle="1" w:styleId="maintext">
    <w:name w:val="main text"/>
    <w:basedOn w:val="Normal"/>
    <w:link w:val="maintextChar"/>
    <w:qFormat/>
    <w:rsid w:val="00025E7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B65220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B6522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65220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2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231B"/>
  </w:style>
  <w:style w:type="character" w:customStyle="1" w:styleId="CommentTextChar">
    <w:name w:val="Comment Text Char"/>
    <w:basedOn w:val="DefaultParagraphFont"/>
    <w:link w:val="CommentText"/>
    <w:uiPriority w:val="99"/>
    <w:rsid w:val="0002231B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31B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fontstyle01">
    <w:name w:val="fontstyle01"/>
    <w:basedOn w:val="DefaultParagraphFont"/>
    <w:rsid w:val="00315F5E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15F5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94E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94E6A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32507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D5789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0530660-24fd-4391-a7a1-d653900fee43">
      <UserInfo>
        <DisplayName>Li, Ziyi</DisplayName>
        <AccountId>51</AccountId>
        <AccountType/>
      </UserInfo>
      <UserInfo>
        <DisplayName>Heo, Youn Hyoung</DisplayName>
        <AccountId>15</AccountId>
        <AccountType/>
      </UserInfo>
      <UserInfo>
        <DisplayName>Palat, Sudeep K</DisplayName>
        <AccountId>18</AccountId>
        <AccountType/>
      </UserInfo>
      <UserInfo>
        <DisplayName>Han, Jaemin</DisplayName>
        <AccountId>52</AccountId>
        <AccountType/>
      </UserInfo>
      <UserInfo>
        <DisplayName>Burbidge, Richard C</DisplayName>
        <AccountId>7</AccountId>
        <AccountType/>
      </UserInfo>
      <UserInfo>
        <DisplayName>Han, Seunghee</DisplayName>
        <AccountId>12</AccountId>
        <AccountType/>
      </UserInfo>
      <UserInfo>
        <DisplayName>Shi, Xiaoyan</DisplayName>
        <AccountId>123</AccountId>
        <AccountType/>
      </UserInfo>
      <UserInfo>
        <DisplayName>Stojanovski, Saso</DisplayName>
        <AccountId>81</AccountId>
        <AccountType/>
      </UserInfo>
      <UserInfo>
        <DisplayName>Jain, Puneet</DisplayName>
        <AccountId>47</AccountId>
        <AccountType/>
      </UserInfo>
    </SharedWithUsers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33902-14B9-4C4B-B581-164D988D44BB}">
  <ds:schemaRefs>
    <ds:schemaRef ds:uri="http://schemas.microsoft.com/office/2006/metadata/properties"/>
    <ds:schemaRef ds:uri="http://schemas.microsoft.com/office/infopath/2007/PartnerControls"/>
    <ds:schemaRef ds:uri="80530660-24fd-4391-a7a1-d653900fee43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0BC6C1ED-2A98-488E-997D-AD9F053DD0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BBDF-4535-437E-9BAA-229DEED0C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A82241-9495-4AED-8FAA-E7E8334599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338</Words>
  <Characters>4860</Characters>
  <Application>Microsoft Office Word</Application>
  <DocSecurity>0</DocSecurity>
  <Lines>180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INTEL1</cp:lastModifiedBy>
  <cp:revision>20</cp:revision>
  <dcterms:created xsi:type="dcterms:W3CDTF">2022-08-01T01:32:00Z</dcterms:created>
  <dcterms:modified xsi:type="dcterms:W3CDTF">2022-08-09T06:53:00Z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