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484DBF" w:rsidR="009D287D" w:rsidP="009D287D" w:rsidRDefault="009D287D" w14:paraId="6C19BDA0" w14:textId="741FA32D">
      <w:pPr>
        <w:pStyle w:val="Header"/>
        <w:tabs>
          <w:tab w:val="right" w:pos="9639"/>
        </w:tabs>
        <w:jc w:val="both"/>
        <w:rPr>
          <w:i/>
          <w:iCs/>
          <w:noProof w:val="0"/>
          <w:sz w:val="24"/>
          <w:szCs w:val="24"/>
        </w:rPr>
      </w:pPr>
      <w:bookmarkStart w:name="_Hlk519580081" w:id="0"/>
      <w:bookmarkStart w:name="_Hlk527628066" w:id="1"/>
      <w:r w:rsidRPr="0D18D305">
        <w:rPr>
          <w:noProof w:val="0"/>
          <w:sz w:val="24"/>
          <w:szCs w:val="24"/>
        </w:rPr>
        <w:t>3GPP TSG-RAN WG3 Meeting #11</w:t>
      </w:r>
      <w:r w:rsidR="00ED6396">
        <w:rPr>
          <w:noProof w:val="0"/>
          <w:sz w:val="24"/>
          <w:szCs w:val="24"/>
        </w:rPr>
        <w:t>7</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774CB0">
        <w:rPr>
          <w:noProof w:val="0"/>
          <w:sz w:val="24"/>
          <w:szCs w:val="24"/>
        </w:rPr>
        <w:t>4376</w:t>
      </w:r>
    </w:p>
    <w:bookmarkEnd w:id="0"/>
    <w:p w:rsidRPr="00484DBF" w:rsidR="009D287D" w:rsidP="009D287D" w:rsidRDefault="009443C0" w14:paraId="328C958B" w14:textId="2FEC5B91">
      <w:pPr>
        <w:pStyle w:val="Header"/>
        <w:tabs>
          <w:tab w:val="left" w:pos="2410"/>
        </w:tabs>
        <w:rPr>
          <w:rFonts w:eastAsia="MS Mincho"/>
          <w:sz w:val="24"/>
          <w:szCs w:val="24"/>
        </w:rPr>
      </w:pPr>
      <w:r>
        <w:rPr>
          <w:rFonts w:eastAsia="MS Mincho"/>
          <w:sz w:val="24"/>
          <w:szCs w:val="24"/>
        </w:rPr>
        <w:t>15</w:t>
      </w:r>
      <w:r w:rsidRPr="00843AA9" w:rsidR="009D287D">
        <w:rPr>
          <w:rFonts w:eastAsia="MS Mincho"/>
          <w:sz w:val="24"/>
          <w:szCs w:val="24"/>
        </w:rPr>
        <w:t xml:space="preserve"> – </w:t>
      </w:r>
      <w:r>
        <w:rPr>
          <w:rFonts w:eastAsia="MS Mincho"/>
          <w:sz w:val="24"/>
          <w:szCs w:val="24"/>
        </w:rPr>
        <w:t>25</w:t>
      </w:r>
      <w:r w:rsidRPr="00843AA9" w:rsidR="009D287D">
        <w:rPr>
          <w:rFonts w:eastAsia="MS Mincho"/>
          <w:sz w:val="24"/>
          <w:szCs w:val="24"/>
        </w:rPr>
        <w:t xml:space="preserve"> </w:t>
      </w:r>
      <w:r>
        <w:rPr>
          <w:rFonts w:eastAsia="MS Mincho"/>
          <w:sz w:val="24"/>
          <w:szCs w:val="24"/>
        </w:rPr>
        <w:t>August</w:t>
      </w:r>
      <w:r w:rsidRPr="00843AA9" w:rsidR="009D287D">
        <w:rPr>
          <w:rFonts w:eastAsia="MS Mincho"/>
          <w:sz w:val="24"/>
          <w:szCs w:val="24"/>
        </w:rPr>
        <w:t xml:space="preserve"> 2022</w:t>
      </w:r>
    </w:p>
    <w:p w:rsidRPr="00B266B0" w:rsidR="00952130" w:rsidP="00952130" w:rsidRDefault="00952130" w14:paraId="2B59E820" w14:textId="77777777">
      <w:pPr>
        <w:pStyle w:val="Header"/>
        <w:rPr>
          <w:bCs w:val="0"/>
          <w:noProof w:val="0"/>
          <w:sz w:val="24"/>
        </w:rPr>
      </w:pPr>
    </w:p>
    <w:p w:rsidRPr="00B266B0" w:rsidR="00952130" w:rsidP="00952130" w:rsidRDefault="00952130" w14:paraId="332AEB71" w14:textId="6FD4FBD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4B5F">
        <w:rPr>
          <w:rFonts w:cs="Arial"/>
          <w:b/>
          <w:bCs/>
          <w:sz w:val="24"/>
          <w:lang w:eastAsia="ja-JP"/>
        </w:rPr>
        <w:t>13.2</w:t>
      </w:r>
    </w:p>
    <w:p w:rsidRPr="00B266B0" w:rsidR="00952130" w:rsidP="00952130" w:rsidRDefault="00952130" w14:paraId="10972366" w14:textId="09C2E3F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rsidR="00952130" w:rsidP="00952130" w:rsidRDefault="00952130" w14:paraId="1135AF43" w14:textId="3C4056C8">
      <w:pPr>
        <w:ind w:left="1985" w:hanging="1985"/>
        <w:rPr>
          <w:rFonts w:cs="Arial"/>
          <w:b/>
          <w:bCs/>
          <w:sz w:val="24"/>
        </w:rPr>
      </w:pPr>
      <w:r w:rsidRPr="00B266B0">
        <w:rPr>
          <w:rFonts w:cs="Arial"/>
          <w:b/>
          <w:bCs/>
          <w:sz w:val="24"/>
        </w:rPr>
        <w:t>Title:</w:t>
      </w:r>
      <w:r w:rsidRPr="00B266B0">
        <w:rPr>
          <w:rFonts w:cs="Arial"/>
          <w:b/>
          <w:bCs/>
          <w:sz w:val="24"/>
        </w:rPr>
        <w:tab/>
      </w:r>
      <w:r w:rsidR="009443C0">
        <w:rPr>
          <w:rFonts w:cs="Arial"/>
          <w:b/>
          <w:bCs/>
          <w:sz w:val="24"/>
        </w:rPr>
        <w:t>IAB mobility</w:t>
      </w:r>
      <w:r w:rsidRPr="007E4EB8" w:rsidR="007E4EB8">
        <w:rPr>
          <w:rFonts w:cs="Arial"/>
          <w:b/>
          <w:bCs/>
          <w:sz w:val="24"/>
        </w:rPr>
        <w:t xml:space="preserve"> </w:t>
      </w:r>
    </w:p>
    <w:p w:rsidRPr="00B266B0" w:rsidR="00952130" w:rsidP="00952130" w:rsidRDefault="00952130" w14:paraId="0B5456E4" w14:textId="77777777">
      <w:pPr>
        <w:tabs>
          <w:tab w:val="left" w:pos="1985"/>
        </w:tabs>
        <w:rPr>
          <w:rFonts w:cs="Arial"/>
          <w:b/>
          <w:bCs/>
          <w:sz w:val="24"/>
        </w:rPr>
      </w:pPr>
      <w:r w:rsidRPr="00B266B0">
        <w:rPr>
          <w:rFonts w:cs="Arial"/>
          <w:b/>
          <w:bCs/>
          <w:sz w:val="24"/>
        </w:rPr>
        <w:t>Document for:</w:t>
      </w:r>
      <w:r w:rsidRPr="00B266B0">
        <w:rPr>
          <w:rFonts w:cs="Arial"/>
          <w:b/>
          <w:bCs/>
          <w:sz w:val="24"/>
        </w:rPr>
        <w:tab/>
      </w:r>
      <w:r w:rsidRPr="00B266B0">
        <w:rPr>
          <w:rFonts w:cs="Arial"/>
          <w:b/>
          <w:bCs/>
          <w:sz w:val="24"/>
        </w:rPr>
        <w:t>Discussion and Decision</w:t>
      </w:r>
    </w:p>
    <w:p w:rsidR="00657AE9" w:rsidP="00B64D7A" w:rsidRDefault="00657AE9" w14:paraId="0BB0C2AA" w14:textId="77777777">
      <w:pPr>
        <w:overflowPunct/>
        <w:autoSpaceDE/>
        <w:autoSpaceDN/>
        <w:adjustRightInd/>
        <w:spacing w:after="60"/>
        <w:jc w:val="left"/>
        <w:textAlignment w:val="auto"/>
      </w:pPr>
    </w:p>
    <w:p w:rsidR="00657AE9" w:rsidP="00B64D7A" w:rsidRDefault="00657AE9" w14:paraId="0DDB1804" w14:textId="77777777">
      <w:pPr>
        <w:overflowPunct/>
        <w:autoSpaceDE/>
        <w:autoSpaceDN/>
        <w:adjustRightInd/>
        <w:spacing w:after="60"/>
        <w:jc w:val="left"/>
        <w:textAlignment w:val="auto"/>
      </w:pPr>
    </w:p>
    <w:p w:rsidR="00952130" w:rsidP="00952130" w:rsidRDefault="009443C0" w14:paraId="05E4427C" w14:textId="1A5230E1">
      <w:pPr>
        <w:pStyle w:val="Heading1"/>
      </w:pPr>
      <w:r>
        <w:t>Introduction</w:t>
      </w:r>
    </w:p>
    <w:bookmarkEnd w:id="1"/>
    <w:p w:rsidR="00162072" w:rsidP="009443C0" w:rsidRDefault="00E86720" w14:paraId="4BC853B0" w14:textId="3D3DB284">
      <w:pPr>
        <w:spacing w:after="180"/>
        <w:jc w:val="left"/>
      </w:pPr>
      <w:r>
        <w:t xml:space="preserve">The agreed WID </w:t>
      </w:r>
      <w:r w:rsidR="002700A9">
        <w:t xml:space="preserve">[1] </w:t>
      </w:r>
      <w:r>
        <w:t>defines the scope of Rel.18 as follows:</w:t>
      </w:r>
    </w:p>
    <w:p w:rsidRPr="00E86720" w:rsidR="00E86720" w:rsidP="00E86720" w:rsidRDefault="00E86720" w14:paraId="77842102" w14:textId="77777777">
      <w:pPr>
        <w:pStyle w:val="maintext"/>
        <w:spacing w:before="0" w:after="0" w:line="240" w:lineRule="auto"/>
        <w:ind w:left="360" w:firstLine="0"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In Rel-18, mobile IAB supports the following functionality, applicable to FR1 and FR2:</w:t>
      </w:r>
    </w:p>
    <w:p w:rsidRPr="00E86720" w:rsidR="00E86720" w:rsidP="00E86720" w:rsidRDefault="00E86720" w14:paraId="22F34642" w14:textId="77777777">
      <w:pPr>
        <w:pStyle w:val="maintext"/>
        <w:numPr>
          <w:ilvl w:val="0"/>
          <w:numId w:val="28"/>
        </w:numPr>
        <w:spacing w:before="0" w:after="0" w:line="240" w:lineRule="auto"/>
        <w:ind w:left="1080"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In-band and out-of-band backhauling.</w:t>
      </w:r>
    </w:p>
    <w:p w:rsidRPr="00E86720" w:rsidR="00E86720" w:rsidP="00E86720" w:rsidRDefault="00E86720" w14:paraId="69DB279E" w14:textId="77777777">
      <w:pPr>
        <w:pStyle w:val="maintext"/>
        <w:numPr>
          <w:ilvl w:val="0"/>
          <w:numId w:val="28"/>
        </w:numPr>
        <w:spacing w:before="0" w:after="0" w:line="240" w:lineRule="auto"/>
        <w:ind w:left="1080"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The mobile IAB-node should have no descendent IAB-nodes, i.e., it serves only UEs.</w:t>
      </w:r>
    </w:p>
    <w:p w:rsidRPr="00E86720" w:rsidR="00E86720" w:rsidP="00E86720" w:rsidRDefault="00E86720" w14:paraId="06189120" w14:textId="0CCAA30D">
      <w:pPr>
        <w:pStyle w:val="maintext"/>
        <w:numPr>
          <w:ilvl w:val="0"/>
          <w:numId w:val="28"/>
        </w:numPr>
        <w:spacing w:before="0" w:after="120" w:line="240" w:lineRule="auto"/>
        <w:ind w:left="1077" w:hanging="357"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Solutions should support UE HO and DC.</w:t>
      </w:r>
    </w:p>
    <w:p w:rsidRPr="00E86720" w:rsidR="00E86720" w:rsidP="00E86720" w:rsidRDefault="00E86720" w14:paraId="04E18ABC" w14:textId="7F29EA90">
      <w:pPr>
        <w:pStyle w:val="maintext"/>
        <w:spacing w:before="0" w:after="0" w:line="240" w:lineRule="auto"/>
        <w:ind w:left="360" w:firstLine="0"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The detailed objectives of the WI are listed as follows:</w:t>
      </w:r>
    </w:p>
    <w:p w:rsidRPr="00E86720" w:rsidR="00E86720" w:rsidP="00E86720" w:rsidRDefault="00E86720" w14:paraId="5B93F2EF" w14:textId="77777777">
      <w:pPr>
        <w:pStyle w:val="maintext"/>
        <w:numPr>
          <w:ilvl w:val="0"/>
          <w:numId w:val="27"/>
        </w:numPr>
        <w:spacing w:before="0" w:after="0" w:line="240" w:lineRule="auto"/>
        <w:ind w:left="1080"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Define Procedures for migration/topology adaptation to enable IAB-node mobility, including inter-donor migration of the entire mobile IAB-node (full migration) [RAN3, RAN2]</w:t>
      </w:r>
    </w:p>
    <w:p w:rsidRPr="00E86720" w:rsidR="00E86720" w:rsidP="00E86720" w:rsidRDefault="00E86720" w14:paraId="55DBB435" w14:textId="77777777">
      <w:pPr>
        <w:pStyle w:val="maintext"/>
        <w:numPr>
          <w:ilvl w:val="0"/>
          <w:numId w:val="27"/>
        </w:numPr>
        <w:spacing w:before="0" w:after="0" w:line="240" w:lineRule="auto"/>
        <w:ind w:left="1080"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Enhancements for mobility of an IAB-node together with its served UEs, including aspects related to group mobility. No optimizations for the targeting of surrounding UEs. [RAN3, RAN2]</w:t>
      </w:r>
    </w:p>
    <w:p w:rsidRPr="00E86720" w:rsidR="00E86720" w:rsidP="00E86720" w:rsidRDefault="00E86720" w14:paraId="689D38FB" w14:textId="77777777">
      <w:pPr>
        <w:pStyle w:val="maintext"/>
        <w:spacing w:before="0" w:after="0" w:line="240" w:lineRule="auto"/>
        <w:ind w:left="1080" w:firstLine="0"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Note: Solutions should avoid touching upon topics where Rel-17 discussions already occurred and where the topic was excluded from Rel-17, except for enhancements that are specific to IAB-node mobility.</w:t>
      </w:r>
    </w:p>
    <w:p w:rsidRPr="00801F95" w:rsidR="00E86720" w:rsidP="00801F95" w:rsidRDefault="00E86720" w14:paraId="7C39D848" w14:textId="61DA384A">
      <w:pPr>
        <w:pStyle w:val="maintext"/>
        <w:numPr>
          <w:ilvl w:val="0"/>
          <w:numId w:val="27"/>
        </w:numPr>
        <w:spacing w:before="0" w:after="240" w:line="240" w:lineRule="auto"/>
        <w:ind w:left="1077" w:hanging="357" w:firstLineChars="0"/>
        <w:rPr>
          <w:rFonts w:ascii="Calibri" w:hAnsi="Calibri" w:eastAsia="Times New Roman" w:cs="Calibri"/>
          <w:i/>
          <w:iCs/>
          <w:sz w:val="22"/>
          <w:szCs w:val="22"/>
          <w:lang w:eastAsia="en-US"/>
        </w:rPr>
      </w:pPr>
      <w:r w:rsidRPr="00E86720">
        <w:rPr>
          <w:rFonts w:ascii="Calibri" w:hAnsi="Calibri" w:eastAsia="Times New Roman" w:cs="Calibri"/>
          <w:i/>
          <w:iCs/>
          <w:sz w:val="22"/>
          <w:szCs w:val="22"/>
          <w:lang w:eastAsia="en-US"/>
        </w:rPr>
        <w:t>Mitigation of interference due to IAB-node mobility, including the avoidance of potential reference and control signal collisions (e.g. PCI, RACH). [RAN3, RAN2]</w:t>
      </w:r>
    </w:p>
    <w:p w:rsidR="00E86720" w:rsidP="009443C0" w:rsidRDefault="00E86720" w14:paraId="23AF1DA7" w14:textId="0E648EE3">
      <w:pPr>
        <w:spacing w:after="180"/>
        <w:jc w:val="left"/>
      </w:pPr>
      <w:r>
        <w:t>In this document we discuss the assumptions and potential issues for the mobility of the IAB.</w:t>
      </w:r>
      <w:r w:rsidR="002700A9">
        <w:t xml:space="preserve"> The focus is especially on the second objective but there is relation also with the other objectives.</w:t>
      </w:r>
    </w:p>
    <w:p w:rsidR="009443C0" w:rsidRDefault="009443C0" w14:paraId="3E5215A7" w14:textId="6E158819">
      <w:pPr>
        <w:overflowPunct/>
        <w:autoSpaceDE/>
        <w:autoSpaceDN/>
        <w:adjustRightInd/>
        <w:spacing w:after="0"/>
        <w:jc w:val="left"/>
        <w:textAlignment w:val="auto"/>
      </w:pPr>
    </w:p>
    <w:p w:rsidR="009443C0" w:rsidP="009443C0" w:rsidRDefault="00E86720" w14:paraId="37869C79" w14:textId="7EC013BD">
      <w:pPr>
        <w:pStyle w:val="Heading1"/>
      </w:pPr>
      <w:r>
        <w:t>Discussion</w:t>
      </w:r>
    </w:p>
    <w:p w:rsidR="002700A9" w:rsidP="002700A9" w:rsidRDefault="002700A9" w14:paraId="5E3A54D7" w14:textId="766179FA">
      <w:pPr>
        <w:pStyle w:val="Heading2"/>
      </w:pPr>
      <w:r>
        <w:t xml:space="preserve">2.1 </w:t>
      </w:r>
      <w:r w:rsidR="00A6366C">
        <w:t xml:space="preserve">General considerations of </w:t>
      </w:r>
      <w:r w:rsidRPr="002700A9">
        <w:t>mobile IAB</w:t>
      </w:r>
    </w:p>
    <w:p w:rsidR="00CC5005" w:rsidP="002700A9" w:rsidRDefault="00CC5005" w14:paraId="24DBADD8" w14:textId="3CBE895F">
      <w:pPr>
        <w:spacing w:after="180"/>
        <w:jc w:val="left"/>
      </w:pPr>
      <w:r>
        <w:t xml:space="preserve">Rel.17 limiting the deployment to fixed IAB-nodes could assume migrations to be infrequent. With mobile IAB, it will be essential to enable smooth transfer of BH link with minimized impact on the UEs connected to the mobile IAB-node. </w:t>
      </w:r>
      <w:r w:rsidR="000B5CD3">
        <w:t>UEs can be travelling in the same vehicle with the IAB-node, or they could be UEs served outside the vehicle but close enough to have connection via the mobile IAB-node.</w:t>
      </w:r>
    </w:p>
    <w:p w:rsidR="000B5CD3" w:rsidP="002700A9" w:rsidRDefault="00AE66AA" w14:paraId="74A8DF65" w14:textId="6EF4841E">
      <w:pPr>
        <w:spacing w:after="180"/>
        <w:jc w:val="left"/>
      </w:pPr>
      <w:r>
        <w:t xml:space="preserve">Some areas need further investigation when </w:t>
      </w:r>
      <w:r w:rsidR="000B5CD3">
        <w:t xml:space="preserve">Rel.17 IAB </w:t>
      </w:r>
      <w:r>
        <w:t xml:space="preserve">is </w:t>
      </w:r>
      <w:r w:rsidR="000B5CD3">
        <w:t>applied for the mobile scenarios:</w:t>
      </w:r>
    </w:p>
    <w:p w:rsidR="00AE66AA" w:rsidP="000B5CD3" w:rsidRDefault="000B5CD3" w14:paraId="545C9612" w14:textId="1532F2B1">
      <w:pPr>
        <w:pStyle w:val="ListParagraph"/>
        <w:numPr>
          <w:ilvl w:val="0"/>
          <w:numId w:val="29"/>
        </w:numPr>
        <w:spacing w:after="180"/>
        <w:jc w:val="left"/>
      </w:pPr>
      <w:r>
        <w:t xml:space="preserve">Full migration (Rel.18 objective), assumed to happen fairly frequently, will be a complex procedure and it will affect also connected UEs (to be handed over to the new cell). The question is whether there are solutions that could avoid or minimize the negative impacts on UEs while the </w:t>
      </w:r>
      <w:r w:rsidR="00AE66AA">
        <w:t>mobile IAB-node moves/migrates and has to change the BH to another node.</w:t>
      </w:r>
    </w:p>
    <w:p w:rsidR="00AE66AA" w:rsidP="00AE66AA" w:rsidRDefault="00AE66AA" w14:paraId="7C52C661" w14:textId="067EFB70">
      <w:pPr>
        <w:pStyle w:val="ListParagraph"/>
        <w:numPr>
          <w:ilvl w:val="0"/>
          <w:numId w:val="29"/>
        </w:numPr>
        <w:spacing w:after="180"/>
        <w:jc w:val="left"/>
      </w:pPr>
      <w:r>
        <w:t xml:space="preserve">Would Rel.17 IAB need enhancements to optimize for mobile IAB operation considering the restriction to child-less mobile IAB-nodes? </w:t>
      </w:r>
    </w:p>
    <w:p w:rsidR="00AE66AA" w:rsidP="00AE66AA" w:rsidRDefault="00AE66AA" w14:paraId="045FB032" w14:textId="7424B110">
      <w:pPr>
        <w:pStyle w:val="ListParagraph"/>
        <w:numPr>
          <w:ilvl w:val="1"/>
          <w:numId w:val="29"/>
        </w:numPr>
        <w:spacing w:after="180"/>
        <w:jc w:val="left"/>
      </w:pPr>
      <w:r>
        <w:t xml:space="preserve">For example, there will </w:t>
      </w:r>
      <w:r w:rsidR="007F0A93">
        <w:t xml:space="preserve">not </w:t>
      </w:r>
      <w:r>
        <w:t>be such issues with routing what have been covered in the Rel.17 specifications.</w:t>
      </w:r>
    </w:p>
    <w:p w:rsidR="00EE34A9" w:rsidP="00EE34A9" w:rsidRDefault="00EE34A9" w14:paraId="5E074905" w14:textId="5CBBF56B">
      <w:pPr>
        <w:pStyle w:val="ListParagraph"/>
        <w:numPr>
          <w:ilvl w:val="0"/>
          <w:numId w:val="29"/>
        </w:numPr>
        <w:spacing w:after="180"/>
        <w:jc w:val="left"/>
      </w:pPr>
      <w:r>
        <w:t>Assuming the IAB-node is allowed to move anywhere in the coverage area of the serving RAN, can we assume that all serving nodes support IAB, only sub-set of IAB capabilities or possible no IAB support?</w:t>
      </w:r>
    </w:p>
    <w:p w:rsidR="00EE34A9" w:rsidP="00EE34A9" w:rsidRDefault="00EE34A9" w14:paraId="14D19BBD" w14:textId="31B556A5">
      <w:pPr>
        <w:pStyle w:val="ListParagraph"/>
        <w:numPr>
          <w:ilvl w:val="1"/>
          <w:numId w:val="29"/>
        </w:numPr>
        <w:spacing w:after="180"/>
        <w:jc w:val="left"/>
      </w:pPr>
      <w:r>
        <w:t>The question is to what degree the existing RAN has to be upgraded to support mobile IAB.</w:t>
      </w:r>
    </w:p>
    <w:p w:rsidR="00EE34A9" w:rsidP="00EE34A9" w:rsidRDefault="00EE34A9" w14:paraId="14C9CABD" w14:textId="3EA9B1AB">
      <w:pPr>
        <w:pStyle w:val="ListParagraph"/>
        <w:numPr>
          <w:ilvl w:val="1"/>
          <w:numId w:val="29"/>
        </w:numPr>
        <w:spacing w:after="180"/>
        <w:jc w:val="left"/>
      </w:pPr>
      <w:r>
        <w:t>If IAB support by RAN</w:t>
      </w:r>
      <w:r w:rsidR="000F064C">
        <w:t xml:space="preserve"> is</w:t>
      </w:r>
      <w:r w:rsidRPr="000F064C" w:rsidR="000F064C">
        <w:t xml:space="preserve"> </w:t>
      </w:r>
      <w:r w:rsidR="000F064C">
        <w:t>limited</w:t>
      </w:r>
      <w:r>
        <w:t xml:space="preserve">, </w:t>
      </w:r>
      <w:r w:rsidR="00A6366C">
        <w:t xml:space="preserve">what could </w:t>
      </w:r>
      <w:r w:rsidR="000F064C">
        <w:t xml:space="preserve">be </w:t>
      </w:r>
      <w:r w:rsidR="00A6366C">
        <w:t xml:space="preserve">the areas to enable minimization of RAN upgrades still supporting the mobile IAB. </w:t>
      </w:r>
    </w:p>
    <w:p w:rsidR="002700A9" w:rsidP="002700A9" w:rsidRDefault="00AE66AA" w14:paraId="2C54EC6A" w14:textId="2052055B">
      <w:pPr>
        <w:spacing w:after="180"/>
        <w:jc w:val="left"/>
      </w:pPr>
      <w:r>
        <w:t>These issues will be elaborated in more detail in the following sections.</w:t>
      </w:r>
    </w:p>
    <w:p w:rsidRPr="003025D6" w:rsidR="002700A9" w:rsidP="002700A9" w:rsidRDefault="007E597F" w14:paraId="3A25C71F" w14:textId="1D4CD150">
      <w:pPr>
        <w:spacing w:after="180"/>
        <w:jc w:val="left"/>
        <w:rPr>
          <w:b/>
          <w:bCs/>
        </w:rPr>
      </w:pPr>
      <w:r w:rsidRPr="003025D6">
        <w:rPr>
          <w:b/>
          <w:bCs/>
        </w:rPr>
        <w:t xml:space="preserve">Observation 1. In mobile scenarios IAB full migration will be frequent calling for </w:t>
      </w:r>
      <w:r w:rsidRPr="003025D6" w:rsidR="00EE34A9">
        <w:rPr>
          <w:b/>
          <w:bCs/>
        </w:rPr>
        <w:t>optimizations to avoid excessive signalling overhead and service interruptions.</w:t>
      </w:r>
    </w:p>
    <w:p w:rsidRPr="003025D6" w:rsidR="00EE34A9" w:rsidP="002700A9" w:rsidRDefault="00EE34A9" w14:paraId="2706A987" w14:textId="35477CDB">
      <w:pPr>
        <w:spacing w:after="180"/>
        <w:jc w:val="left"/>
        <w:rPr>
          <w:b/>
          <w:bCs/>
        </w:rPr>
      </w:pPr>
      <w:r w:rsidRPr="3FD5DB5D">
        <w:rPr>
          <w:b/>
          <w:bCs/>
        </w:rPr>
        <w:t>Observation 2. Restriction to child-less mobile IAB-node can allow optimizations and/or reduced functions for mobile IAB compared to Rel.17 IAB.</w:t>
      </w:r>
    </w:p>
    <w:p w:rsidRPr="003025D6" w:rsidR="00EE34A9" w:rsidP="002700A9" w:rsidRDefault="00EE34A9" w14:paraId="53FE424B" w14:textId="128DA0EC">
      <w:pPr>
        <w:spacing w:after="180"/>
        <w:jc w:val="left"/>
        <w:rPr>
          <w:b/>
          <w:bCs/>
        </w:rPr>
      </w:pPr>
      <w:r w:rsidRPr="003025D6">
        <w:rPr>
          <w:b/>
          <w:bCs/>
        </w:rPr>
        <w:t>Proposal 1. RAN3 to investigate solutions avoiding adverse impacts of IAB-mobility considering frequent BH changes.</w:t>
      </w:r>
    </w:p>
    <w:p w:rsidRPr="003025D6" w:rsidR="00EE34A9" w:rsidP="002700A9" w:rsidRDefault="00EE34A9" w14:paraId="396DD6CA" w14:textId="2015C2C3">
      <w:pPr>
        <w:spacing w:after="180"/>
        <w:jc w:val="left"/>
        <w:rPr>
          <w:b/>
          <w:bCs/>
        </w:rPr>
      </w:pPr>
      <w:r w:rsidRPr="3FD5DB5D">
        <w:rPr>
          <w:b/>
          <w:bCs/>
        </w:rPr>
        <w:t xml:space="preserve">Proposal 2. </w:t>
      </w:r>
      <w:r w:rsidRPr="3FD5DB5D" w:rsidR="003025D6">
        <w:rPr>
          <w:b/>
          <w:bCs/>
        </w:rPr>
        <w:t xml:space="preserve">RAN3 to investigate if optimizations can be done based on the restriction to </w:t>
      </w:r>
      <w:proofErr w:type="spellStart"/>
      <w:r w:rsidRPr="3FD5DB5D" w:rsidR="003025D6">
        <w:rPr>
          <w:b/>
          <w:bCs/>
        </w:rPr>
        <w:t>chile</w:t>
      </w:r>
      <w:proofErr w:type="spellEnd"/>
      <w:r w:rsidRPr="3FD5DB5D" w:rsidR="003025D6">
        <w:rPr>
          <w:b/>
          <w:bCs/>
        </w:rPr>
        <w:t>-less mobile IAB-nodes.</w:t>
      </w:r>
    </w:p>
    <w:p w:rsidRPr="003025D6" w:rsidR="003025D6" w:rsidP="00F557A9" w:rsidRDefault="003025D6" w14:paraId="6173A09F" w14:textId="06766277">
      <w:pPr>
        <w:spacing w:after="240"/>
        <w:jc w:val="left"/>
        <w:rPr>
          <w:b/>
          <w:bCs/>
        </w:rPr>
      </w:pPr>
      <w:r w:rsidRPr="003025D6">
        <w:rPr>
          <w:b/>
          <w:bCs/>
        </w:rPr>
        <w:t>Proposal 3. RAN3 to elaborate to what degree the serving RAN shall have IAB capabilities to be able to support mobile IAB.</w:t>
      </w:r>
    </w:p>
    <w:p w:rsidR="00F557A9" w:rsidP="002700A9" w:rsidRDefault="00F557A9" w14:paraId="135011C8" w14:textId="7DDD83C2">
      <w:pPr>
        <w:spacing w:after="180"/>
        <w:jc w:val="left"/>
      </w:pPr>
      <w:r>
        <w:t xml:space="preserve">SA2 study on VMR [2] has defined Key Issues (KI) for the VMR operation where </w:t>
      </w:r>
      <w:r w:rsidR="00371A50">
        <w:t xml:space="preserve">KI#2, #3 and #6 relate to mobility and were considered to </w:t>
      </w:r>
      <w:r>
        <w:t xml:space="preserve">have RAN dependency. </w:t>
      </w:r>
      <w:r w:rsidR="00371A50">
        <w:t>The discussion in this contribution addresses the issues defined particularly in KI#3 and KI#2.</w:t>
      </w:r>
    </w:p>
    <w:p w:rsidR="00F557A9" w:rsidP="002700A9" w:rsidRDefault="00F557A9" w14:paraId="7895C2FF" w14:textId="77777777">
      <w:pPr>
        <w:spacing w:after="180"/>
        <w:jc w:val="left"/>
      </w:pPr>
    </w:p>
    <w:p w:rsidR="002700A9" w:rsidP="002700A9" w:rsidRDefault="002700A9" w14:paraId="0B8713E4" w14:textId="3ADD7F02">
      <w:pPr>
        <w:pStyle w:val="Heading2"/>
      </w:pPr>
      <w:r>
        <w:t>2.2 Minimization of impact to UEs connected to a mobile IAB-node</w:t>
      </w:r>
    </w:p>
    <w:p w:rsidR="00C7556E" w:rsidP="00C7556E" w:rsidRDefault="00C7556E" w14:paraId="215208CF" w14:textId="1BF22D73">
      <w:pPr>
        <w:pStyle w:val="Heading2"/>
      </w:pPr>
      <w:bookmarkStart w:name="_Hlk106195495" w:id="2"/>
      <w:r>
        <w:t xml:space="preserve">2.2.1 </w:t>
      </w:r>
      <w:r w:rsidR="00D1742A">
        <w:t xml:space="preserve">Options for </w:t>
      </w:r>
      <w:r>
        <w:t xml:space="preserve">RAN </w:t>
      </w:r>
      <w:r w:rsidR="00D1742A">
        <w:t>implementation</w:t>
      </w:r>
    </w:p>
    <w:p w:rsidR="004F6769" w:rsidP="002700A9" w:rsidRDefault="004F6769" w14:paraId="760491DD" w14:textId="5A3FF12D">
      <w:pPr>
        <w:spacing w:after="180"/>
        <w:jc w:val="left"/>
      </w:pPr>
      <w:r>
        <w:t xml:space="preserve">To </w:t>
      </w:r>
      <w:r w:rsidR="008229E5">
        <w:t xml:space="preserve">minimize the issues related to full </w:t>
      </w:r>
      <w:r w:rsidR="000B0146">
        <w:t xml:space="preserve">migration </w:t>
      </w:r>
      <w:r w:rsidR="008229E5">
        <w:t xml:space="preserve">as </w:t>
      </w:r>
      <w:r>
        <w:t xml:space="preserve">discussed in 2.1, </w:t>
      </w:r>
      <w:r w:rsidR="00E84BC1">
        <w:t xml:space="preserve">it </w:t>
      </w:r>
      <w:r>
        <w:t>would be</w:t>
      </w:r>
      <w:r w:rsidR="00E84BC1">
        <w:t xml:space="preserve"> beneficial</w:t>
      </w:r>
      <w:r>
        <w:t xml:space="preserve"> to maintain F1 of the mobile IAB-node to the same CU</w:t>
      </w:r>
      <w:r w:rsidR="008229E5">
        <w:t xml:space="preserve"> while the IAB-node is moving</w:t>
      </w:r>
      <w:r>
        <w:t>. With that</w:t>
      </w:r>
      <w:r w:rsidR="00E84BC1">
        <w:t>,</w:t>
      </w:r>
      <w:r>
        <w:t xml:space="preserve"> F1 </w:t>
      </w:r>
      <w:r w:rsidR="008229E5">
        <w:t>c</w:t>
      </w:r>
      <w:r>
        <w:t xml:space="preserve">ould be </w:t>
      </w:r>
      <w:r w:rsidR="008229E5">
        <w:t xml:space="preserve">just </w:t>
      </w:r>
      <w:r>
        <w:t xml:space="preserve">re-routed via another serving node (DU) each time BH link changes due to the IAB-node mobility. </w:t>
      </w:r>
      <w:r w:rsidR="00E84BC1">
        <w:t xml:space="preserve">This could correspond to Rel.17 partial migration where the </w:t>
      </w:r>
      <w:r w:rsidR="005B19D1">
        <w:t xml:space="preserve">same </w:t>
      </w:r>
      <w:r w:rsidR="00E84BC1">
        <w:t xml:space="preserve">(source) CU </w:t>
      </w:r>
      <w:r w:rsidR="005B19D1">
        <w:t>keeps terminating</w:t>
      </w:r>
      <w:r w:rsidR="00E84BC1">
        <w:t xml:space="preserve"> the F1. </w:t>
      </w:r>
      <w:r>
        <w:t xml:space="preserve">While F1 </w:t>
      </w:r>
      <w:r w:rsidR="005B19D1">
        <w:t xml:space="preserve">is </w:t>
      </w:r>
      <w:r w:rsidR="008229E5">
        <w:t xml:space="preserve">kept to the same CU and </w:t>
      </w:r>
      <w:r>
        <w:t>not migrat</w:t>
      </w:r>
      <w:r w:rsidR="008229E5">
        <w:t>ed</w:t>
      </w:r>
      <w:r>
        <w:t xml:space="preserve"> (no “full migration”)</w:t>
      </w:r>
      <w:r w:rsidR="008229E5">
        <w:t>,</w:t>
      </w:r>
      <w:r>
        <w:t xml:space="preserve"> the mobile IAB-node</w:t>
      </w:r>
      <w:r w:rsidR="005B19D1">
        <w:t>’s</w:t>
      </w:r>
      <w:r>
        <w:t xml:space="preserve"> served cells </w:t>
      </w:r>
      <w:r w:rsidR="008229E5">
        <w:t xml:space="preserve">can </w:t>
      </w:r>
      <w:r>
        <w:t>remain the same and there would not be need to re-configure/HO UEs</w:t>
      </w:r>
      <w:r w:rsidR="008229E5">
        <w:t xml:space="preserve"> due to the BH change.</w:t>
      </w:r>
      <w:r w:rsidR="00E84BC1">
        <w:t xml:space="preserve"> The CU maintaining the F1 could be one of the donor-CUs, or it could be a specific CU dedicated to control the mobile IAB-node DU and UEs connected to that.</w:t>
      </w:r>
      <w:r w:rsidR="00410FA9">
        <w:t xml:space="preserve"> We could call this specific CU </w:t>
      </w:r>
      <w:r w:rsidR="005B19D1">
        <w:t xml:space="preserve">the </w:t>
      </w:r>
      <w:r w:rsidR="00410FA9">
        <w:t>m-CU.</w:t>
      </w:r>
    </w:p>
    <w:p w:rsidR="00E84BC1" w:rsidP="002700A9" w:rsidRDefault="00E84BC1" w14:paraId="696830B5" w14:textId="59F512ED">
      <w:pPr>
        <w:spacing w:after="180"/>
        <w:jc w:val="left"/>
        <w:rPr>
          <w:b/>
          <w:bCs/>
        </w:rPr>
      </w:pPr>
      <w:r w:rsidRPr="00E84BC1">
        <w:rPr>
          <w:b/>
          <w:bCs/>
        </w:rPr>
        <w:t>Observation 3. It is beneficial to minimize the need for full migration as it inevitably affect</w:t>
      </w:r>
      <w:r>
        <w:rPr>
          <w:b/>
          <w:bCs/>
        </w:rPr>
        <w:t>s</w:t>
      </w:r>
      <w:r w:rsidRPr="00E84BC1">
        <w:rPr>
          <w:b/>
          <w:bCs/>
        </w:rPr>
        <w:t xml:space="preserve"> the connected UEs.</w:t>
      </w:r>
    </w:p>
    <w:p w:rsidR="00E84BC1" w:rsidP="002700A9" w:rsidRDefault="00E84BC1" w14:paraId="29E400F7" w14:textId="47FA773E">
      <w:pPr>
        <w:spacing w:after="180"/>
        <w:jc w:val="left"/>
        <w:rPr>
          <w:b/>
          <w:bCs/>
        </w:rPr>
      </w:pPr>
      <w:r>
        <w:rPr>
          <w:b/>
          <w:bCs/>
        </w:rPr>
        <w:t>Observation 4. Maintaining F1 to the same CU would eliminate the need for full migration each time the donor is changed.</w:t>
      </w:r>
    </w:p>
    <w:p w:rsidRPr="00E84BC1" w:rsidR="00E84BC1" w:rsidP="002700A9" w:rsidRDefault="00E536AB" w14:paraId="2AB157E0" w14:textId="3C74FCBE">
      <w:pPr>
        <w:spacing w:after="180"/>
        <w:jc w:val="left"/>
      </w:pPr>
      <w:r>
        <w:t xml:space="preserve">Fig.1 shows an example of RAN structure where the F1 </w:t>
      </w:r>
      <w:r w:rsidR="00410FA9">
        <w:t xml:space="preserve">to mobile IAB-node </w:t>
      </w:r>
      <w:r>
        <w:t xml:space="preserve">can be maintained </w:t>
      </w:r>
      <w:r w:rsidR="007F4C41">
        <w:t xml:space="preserve">while </w:t>
      </w:r>
      <w:r>
        <w:t xml:space="preserve">the IAB-node </w:t>
      </w:r>
      <w:r w:rsidR="007F4C41">
        <w:t>is moving</w:t>
      </w:r>
      <w:r>
        <w:t>.</w:t>
      </w:r>
    </w:p>
    <w:p w:rsidR="00E84BC1" w:rsidP="00E536AB" w:rsidRDefault="00E536AB" w14:paraId="3ABF387B" w14:textId="31AB9595">
      <w:pPr>
        <w:spacing w:after="180"/>
        <w:ind w:firstLine="562"/>
        <w:jc w:val="left"/>
      </w:pPr>
      <w:r>
        <w:rPr>
          <w:noProof/>
        </w:rPr>
        <w:drawing>
          <wp:inline distT="0" distB="0" distL="0" distR="0" wp14:anchorId="70FEF5C0" wp14:editId="0B9851C3">
            <wp:extent cx="3603812" cy="21158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3272" cy="2121453"/>
                    </a:xfrm>
                    <a:prstGeom prst="rect">
                      <a:avLst/>
                    </a:prstGeom>
                    <a:noFill/>
                  </pic:spPr>
                </pic:pic>
              </a:graphicData>
            </a:graphic>
          </wp:inline>
        </w:drawing>
      </w:r>
    </w:p>
    <w:p w:rsidR="007F4C41" w:rsidP="007F4C41" w:rsidRDefault="007F4C41" w14:paraId="1E963D23" w14:textId="3BDD5D59">
      <w:pPr>
        <w:pStyle w:val="Caption"/>
        <w:ind w:firstLine="562"/>
        <w:jc w:val="left"/>
      </w:pPr>
      <w:r w:rsidRPr="58456E61">
        <w:rPr>
          <w:sz w:val="18"/>
          <w:szCs w:val="18"/>
        </w:rPr>
        <w:t xml:space="preserve">Figure </w:t>
      </w:r>
      <w:r w:rsidRPr="58456E61">
        <w:rPr>
          <w:sz w:val="18"/>
          <w:szCs w:val="18"/>
        </w:rPr>
        <w:fldChar w:fldCharType="begin"/>
      </w:r>
      <w:r w:rsidRPr="58456E61">
        <w:rPr>
          <w:sz w:val="18"/>
          <w:szCs w:val="18"/>
        </w:rPr>
        <w:instrText xml:space="preserve"> SEQ Figure \* ARABIC </w:instrText>
      </w:r>
      <w:r w:rsidRPr="58456E61">
        <w:rPr>
          <w:sz w:val="18"/>
          <w:szCs w:val="18"/>
        </w:rPr>
        <w:fldChar w:fldCharType="separate"/>
      </w:r>
      <w:r w:rsidRPr="58456E61" w:rsidR="00562125">
        <w:rPr>
          <w:noProof/>
          <w:sz w:val="18"/>
          <w:szCs w:val="18"/>
        </w:rPr>
        <w:t>1</w:t>
      </w:r>
      <w:r w:rsidRPr="58456E61">
        <w:rPr>
          <w:sz w:val="18"/>
          <w:szCs w:val="18"/>
        </w:rPr>
        <w:fldChar w:fldCharType="end"/>
      </w:r>
      <w:r w:rsidRPr="58456E61">
        <w:rPr>
          <w:sz w:val="18"/>
          <w:szCs w:val="18"/>
        </w:rPr>
        <w:t xml:space="preserve"> RAN supporting</w:t>
      </w:r>
      <w:r w:rsidRPr="58456E61" w:rsidR="58456E61">
        <w:rPr>
          <w:sz w:val="18"/>
          <w:szCs w:val="18"/>
        </w:rPr>
        <w:t xml:space="preserve"> unchanged F1 termination point</w:t>
      </w:r>
      <w:r w:rsidRPr="58456E61">
        <w:rPr>
          <w:sz w:val="18"/>
          <w:szCs w:val="18"/>
        </w:rPr>
        <w:t xml:space="preserve"> for mobile IAB-node</w:t>
      </w:r>
    </w:p>
    <w:p w:rsidR="00E536AB" w:rsidP="002700A9" w:rsidRDefault="007F4C41" w14:paraId="181973F3" w14:textId="08E9F62D">
      <w:pPr>
        <w:spacing w:after="180"/>
        <w:jc w:val="left"/>
      </w:pPr>
      <w:r>
        <w:t>When the IAB-MT is handed over to the target node, the F1 (indicated as blue arrow</w:t>
      </w:r>
      <w:r w:rsidR="00432704">
        <w:t xml:space="preserve"> in the figure</w:t>
      </w:r>
      <w:r>
        <w:t xml:space="preserve">) would be re-routed via the target node. Applying Rel.17 specification, this would correspond to the partial migration </w:t>
      </w:r>
      <w:r w:rsidR="00F5098D">
        <w:t xml:space="preserve">where the m-CU would correspond to the source CU </w:t>
      </w:r>
      <w:r>
        <w:t xml:space="preserve">and </w:t>
      </w:r>
      <w:r w:rsidR="00F5098D">
        <w:t xml:space="preserve">the </w:t>
      </w:r>
      <w:r>
        <w:t xml:space="preserve">F1 TNL </w:t>
      </w:r>
      <w:r w:rsidR="00F5098D">
        <w:t xml:space="preserve">would be configured to be routed </w:t>
      </w:r>
      <w:r>
        <w:t xml:space="preserve">via the target topology. When the IAB-node moves further, there will be another target donor </w:t>
      </w:r>
      <w:r w:rsidR="00F5098D">
        <w:t xml:space="preserve">and </w:t>
      </w:r>
      <w:r>
        <w:t>the same procedure for IAB-MT HO and F1 re-routing is repeated.</w:t>
      </w:r>
    </w:p>
    <w:p w:rsidRPr="00F5098D" w:rsidR="00F5098D" w:rsidP="002700A9" w:rsidRDefault="00F5098D" w14:paraId="03FEC620" w14:textId="28A6993A">
      <w:pPr>
        <w:spacing w:after="180"/>
        <w:jc w:val="left"/>
        <w:rPr>
          <w:b/>
          <w:bCs/>
        </w:rPr>
      </w:pPr>
      <w:r w:rsidRPr="58456E61">
        <w:rPr>
          <w:b/>
          <w:bCs/>
        </w:rPr>
        <w:t xml:space="preserve">Observation 5. Principles of Rel.17 partial migration would allow </w:t>
      </w:r>
      <w:r w:rsidRPr="58456E61" w:rsidR="58456E61">
        <w:rPr>
          <w:b/>
          <w:bCs/>
        </w:rPr>
        <w:t xml:space="preserve">unchanged F1 termination point </w:t>
      </w:r>
      <w:r w:rsidRPr="58456E61">
        <w:rPr>
          <w:b/>
          <w:bCs/>
        </w:rPr>
        <w:t>during IAB mobility.</w:t>
      </w:r>
    </w:p>
    <w:p w:rsidRPr="00E84BC1" w:rsidR="00E84BC1" w:rsidP="002700A9" w:rsidRDefault="00E84BC1" w14:paraId="6EBD6C9F" w14:textId="1A510BD5">
      <w:pPr>
        <w:spacing w:after="180"/>
        <w:jc w:val="left"/>
        <w:rPr>
          <w:b/>
          <w:bCs/>
        </w:rPr>
      </w:pPr>
      <w:r>
        <w:rPr>
          <w:b/>
          <w:bCs/>
        </w:rPr>
        <w:t xml:space="preserve">Proposal 4. RAN3 to </w:t>
      </w:r>
      <w:r w:rsidR="00EF4BB5">
        <w:rPr>
          <w:b/>
          <w:bCs/>
        </w:rPr>
        <w:t>consider Rel.17 partial migration as the basis for IAB</w:t>
      </w:r>
      <w:r w:rsidR="00432704">
        <w:rPr>
          <w:b/>
          <w:bCs/>
        </w:rPr>
        <w:t xml:space="preserve"> </w:t>
      </w:r>
      <w:r w:rsidR="00EF4BB5">
        <w:rPr>
          <w:b/>
          <w:bCs/>
        </w:rPr>
        <w:t>mobility</w:t>
      </w:r>
      <w:r>
        <w:rPr>
          <w:b/>
          <w:bCs/>
        </w:rPr>
        <w:t>.</w:t>
      </w:r>
    </w:p>
    <w:p w:rsidR="004F6769" w:rsidP="002700A9" w:rsidRDefault="00D5488C" w14:paraId="7A1ABAD9" w14:textId="11D01498">
      <w:pPr>
        <w:spacing w:after="180"/>
        <w:jc w:val="left"/>
      </w:pPr>
      <w:r>
        <w:t>If/when the dedicated m-CU needs to be changed, e.g. due to movement of longer distances, the procedure to be specified for full migration can be applied to IAB-DU migration to the new m-CU. As discussed above, the need of full migration would be less frequent when a dedicated m-CU can be maintained in a larger geographical area.</w:t>
      </w:r>
    </w:p>
    <w:p w:rsidRPr="00D5488C" w:rsidR="00D5488C" w:rsidP="002700A9" w:rsidRDefault="00D5488C" w14:paraId="4B58AD56" w14:textId="2F7607BD">
      <w:pPr>
        <w:spacing w:after="180"/>
        <w:jc w:val="left"/>
        <w:rPr>
          <w:b/>
          <w:bCs/>
        </w:rPr>
      </w:pPr>
      <w:r w:rsidRPr="00D5488C">
        <w:rPr>
          <w:b/>
          <w:bCs/>
        </w:rPr>
        <w:t xml:space="preserve">Observation 6. </w:t>
      </w:r>
      <w:r w:rsidR="00432704">
        <w:rPr>
          <w:b/>
          <w:bCs/>
        </w:rPr>
        <w:t>W</w:t>
      </w:r>
      <w:r w:rsidRPr="00D5488C" w:rsidR="00432704">
        <w:rPr>
          <w:b/>
          <w:bCs/>
        </w:rPr>
        <w:t>ith a dedicated m-CU</w:t>
      </w:r>
      <w:r w:rsidR="00432704">
        <w:rPr>
          <w:b/>
          <w:bCs/>
        </w:rPr>
        <w:t>, the</w:t>
      </w:r>
      <w:r w:rsidR="0008020C">
        <w:rPr>
          <w:b/>
          <w:bCs/>
        </w:rPr>
        <w:t xml:space="preserve"> </w:t>
      </w:r>
      <w:r w:rsidR="00432704">
        <w:rPr>
          <w:b/>
          <w:bCs/>
        </w:rPr>
        <w:t>n</w:t>
      </w:r>
      <w:r w:rsidRPr="00D5488C">
        <w:rPr>
          <w:b/>
          <w:bCs/>
        </w:rPr>
        <w:t>eed for full migration would become less frequent.</w:t>
      </w:r>
    </w:p>
    <w:p w:rsidR="008634B3" w:rsidP="002700A9" w:rsidRDefault="00D5488C" w14:paraId="144D2264" w14:textId="06E16539">
      <w:pPr>
        <w:spacing w:after="180"/>
        <w:jc w:val="left"/>
      </w:pPr>
      <w:r>
        <w:t>Regarding the IAB architecture, the mapping of m-CU would look like shown in Fig.2</w:t>
      </w:r>
      <w:r w:rsidR="00916E73">
        <w:t>, also described in the Solution #13 of [2]</w:t>
      </w:r>
      <w:r>
        <w:t>.</w:t>
      </w:r>
      <w:r w:rsidR="00916E73">
        <w:t xml:space="preserve"> Note the terminology in SA2 where MBSR (Mobile Base Station Relay) refers to the mobile IAB-node.</w:t>
      </w:r>
    </w:p>
    <w:p w:rsidR="00D5488C" w:rsidP="00562125" w:rsidRDefault="00562125" w14:paraId="5CEBB6BE" w14:textId="79324C3F">
      <w:pPr>
        <w:spacing w:after="180"/>
        <w:ind w:firstLine="562"/>
        <w:jc w:val="left"/>
      </w:pPr>
      <w:r>
        <w:rPr>
          <w:noProof/>
        </w:rPr>
        <w:drawing>
          <wp:inline distT="0" distB="0" distL="0" distR="0" wp14:anchorId="341C00A4" wp14:editId="25FD1599">
            <wp:extent cx="4490669" cy="2968132"/>
            <wp:effectExtent l="0" t="0" r="571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8933" cy="2986813"/>
                    </a:xfrm>
                    <a:prstGeom prst="rect">
                      <a:avLst/>
                    </a:prstGeom>
                    <a:noFill/>
                  </pic:spPr>
                </pic:pic>
              </a:graphicData>
            </a:graphic>
          </wp:inline>
        </w:drawing>
      </w:r>
    </w:p>
    <w:p w:rsidR="00562125" w:rsidP="00562125" w:rsidRDefault="00562125" w14:paraId="19A3F989" w14:textId="11410959">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CB532A">
        <w:t xml:space="preserve">RAN </w:t>
      </w:r>
      <w:r>
        <w:t xml:space="preserve">architecture </w:t>
      </w:r>
      <w:r w:rsidR="00CB532A">
        <w:t>with mobile IAB</w:t>
      </w:r>
    </w:p>
    <w:bookmarkEnd w:id="2"/>
    <w:p w:rsidR="002700A9" w:rsidP="002700A9" w:rsidRDefault="00CB532A" w14:paraId="4A9B7FB0" w14:textId="01DEB769">
      <w:pPr>
        <w:spacing w:after="180"/>
        <w:jc w:val="left"/>
      </w:pPr>
      <w:r>
        <w:t xml:space="preserve">The architecture on the left corresponds to Rel.17 supporting partial migration where the left-hand side </w:t>
      </w:r>
      <w:proofErr w:type="spellStart"/>
      <w:r>
        <w:t>gNB</w:t>
      </w:r>
      <w:proofErr w:type="spellEnd"/>
      <w:r>
        <w:t xml:space="preserve"> is the </w:t>
      </w:r>
      <w:r w:rsidR="58456E61">
        <w:t xml:space="preserve"> donor terminating F1 of the bottom-most IAB node </w:t>
      </w:r>
      <w:r>
        <w:t xml:space="preserve">. </w:t>
      </w:r>
      <w:r w:rsidR="008F44AF">
        <w:t>On the right, t</w:t>
      </w:r>
      <w:r>
        <w:t xml:space="preserve">hat is then applied to support mobile IAB where the m-CU would correspond to </w:t>
      </w:r>
      <w:r w:rsidR="58456E61">
        <w:t xml:space="preserve"> this F1-terminating CU for the MBSR / mobile IAB node</w:t>
      </w:r>
      <w:r>
        <w:t xml:space="preserve"> with </w:t>
      </w:r>
      <w:proofErr w:type="spellStart"/>
      <w:r>
        <w:t>Xn</w:t>
      </w:r>
      <w:proofErr w:type="spellEnd"/>
      <w:r>
        <w:t xml:space="preserve"> to the non-F1-terminating donor and F1 routed via that donor’s topology.</w:t>
      </w:r>
    </w:p>
    <w:p w:rsidRPr="00FD6F04" w:rsidR="00FD6F04" w:rsidP="002700A9" w:rsidRDefault="00FD6F04" w14:paraId="76ED8A95" w14:textId="268CC4C9">
      <w:pPr>
        <w:spacing w:after="180"/>
        <w:jc w:val="left"/>
        <w:rPr>
          <w:b/>
          <w:bCs/>
        </w:rPr>
      </w:pPr>
      <w:r w:rsidRPr="00FD6F04">
        <w:rPr>
          <w:b/>
          <w:bCs/>
        </w:rPr>
        <w:t>Observation 7. Usage of m-CU can be mapped to Rel.17 IAB architecture.</w:t>
      </w:r>
    </w:p>
    <w:p w:rsidR="00A01F05" w:rsidP="008634B3" w:rsidRDefault="00A01F05" w14:paraId="160640A2" w14:textId="33E8274A">
      <w:pPr>
        <w:spacing w:after="180"/>
        <w:jc w:val="left"/>
      </w:pPr>
      <w:r>
        <w:t xml:space="preserve">The (inter-donor) mobility procedure in the given approach would have </w:t>
      </w:r>
      <w:r w:rsidR="008F44AF">
        <w:t xml:space="preserve">the </w:t>
      </w:r>
      <w:r>
        <w:t>following main steps:</w:t>
      </w:r>
    </w:p>
    <w:p w:rsidR="00A01F05" w:rsidP="00A01F05" w:rsidRDefault="00A01F05" w14:paraId="173B9414" w14:textId="582EE526">
      <w:pPr>
        <w:pStyle w:val="ListParagraph"/>
        <w:numPr>
          <w:ilvl w:val="0"/>
          <w:numId w:val="30"/>
        </w:numPr>
        <w:spacing w:after="180"/>
        <w:jc w:val="left"/>
      </w:pPr>
      <w:r>
        <w:t>HO preparation: Triggered by the measurement report from the IAB-MT, the source IAB Donor initiates HO preparation with the target IAB Donor which indicates the IP address the mobile IAB-node will need to use in the target IAB Donor to continue the F1 connectivity.</w:t>
      </w:r>
    </w:p>
    <w:p w:rsidR="00A01F05" w:rsidP="00A01F05" w:rsidRDefault="00A01F05" w14:paraId="63AC8DAB" w14:textId="6B6F0BB2">
      <w:pPr>
        <w:pStyle w:val="ListParagraph"/>
        <w:numPr>
          <w:ilvl w:val="0"/>
          <w:numId w:val="30"/>
        </w:numPr>
        <w:spacing w:after="180"/>
        <w:jc w:val="left"/>
      </w:pPr>
      <w:r>
        <w:t xml:space="preserve">HO execution: </w:t>
      </w:r>
      <w:r w:rsidR="00E36F2B">
        <w:t xml:space="preserve">The target </w:t>
      </w:r>
      <w:r>
        <w:t>IAB Donor creates HO command and sends it to source IAB</w:t>
      </w:r>
      <w:r w:rsidR="00E36F2B">
        <w:t xml:space="preserve"> Donor</w:t>
      </w:r>
      <w:r>
        <w:t>. RRC reconfiguration (including the IP address to be used for F1) is sent to IAB-MT by the source IAB donor followed by IAB-MT access</w:t>
      </w:r>
      <w:r w:rsidR="00E36F2B">
        <w:t>ing</w:t>
      </w:r>
      <w:r>
        <w:t xml:space="preserve"> the target node and sending HO Complete to end the HO procedure.</w:t>
      </w:r>
    </w:p>
    <w:p w:rsidR="00A01F05" w:rsidP="00A01F05" w:rsidRDefault="00A01F05" w14:paraId="2984C8CA" w14:textId="64FB6627">
      <w:pPr>
        <w:pStyle w:val="ListParagraph"/>
        <w:numPr>
          <w:ilvl w:val="0"/>
          <w:numId w:val="30"/>
        </w:numPr>
        <w:spacing w:after="180"/>
        <w:jc w:val="left"/>
      </w:pPr>
      <w:r>
        <w:t xml:space="preserve">F1 TNL re-configuration: Applying F1 TNL configuration of Rel.17 partial migration, F1 can be continued via the </w:t>
      </w:r>
      <w:r w:rsidR="000503B8">
        <w:t xml:space="preserve">target </w:t>
      </w:r>
      <w:r>
        <w:t xml:space="preserve">IAB </w:t>
      </w:r>
      <w:r w:rsidR="000503B8">
        <w:t>d</w:t>
      </w:r>
      <w:r>
        <w:t xml:space="preserve">onor (directly </w:t>
      </w:r>
      <w:r w:rsidR="000503B8">
        <w:t>via the target donor-DU)</w:t>
      </w:r>
      <w:r>
        <w:t>, allowing to maintain the original cell</w:t>
      </w:r>
      <w:r w:rsidR="000503B8">
        <w:t>(</w:t>
      </w:r>
      <w:r>
        <w:t>s</w:t>
      </w:r>
      <w:r w:rsidR="000503B8">
        <w:t>)</w:t>
      </w:r>
      <w:r>
        <w:t xml:space="preserve"> served by </w:t>
      </w:r>
      <w:r w:rsidR="000503B8">
        <w:t xml:space="preserve">the mobile IAB-node and keep </w:t>
      </w:r>
      <w:r w:rsidR="00E36F2B">
        <w:t xml:space="preserve">unaffected </w:t>
      </w:r>
      <w:r w:rsidR="000503B8">
        <w:t>the UEs connected to it.</w:t>
      </w:r>
    </w:p>
    <w:p w:rsidR="004550CD" w:rsidP="008634B3" w:rsidRDefault="004550CD" w14:paraId="462CE962" w14:textId="77777777">
      <w:pPr>
        <w:spacing w:after="180"/>
        <w:jc w:val="left"/>
      </w:pPr>
    </w:p>
    <w:p w:rsidR="004550CD" w:rsidP="008634B3" w:rsidRDefault="004550CD" w14:paraId="2007B5E4" w14:textId="4FD625D2">
      <w:pPr>
        <w:spacing w:after="180"/>
        <w:jc w:val="left"/>
      </w:pPr>
      <w:r>
        <w:t>Benefits of the solution described above are, for example:</w:t>
      </w:r>
    </w:p>
    <w:p w:rsidR="004550CD" w:rsidP="004550CD" w:rsidRDefault="004550CD" w14:paraId="6575DB2E" w14:textId="168093B7">
      <w:pPr>
        <w:pStyle w:val="ListParagraph"/>
        <w:numPr>
          <w:ilvl w:val="0"/>
          <w:numId w:val="31"/>
        </w:numPr>
        <w:spacing w:after="180"/>
        <w:jc w:val="left"/>
      </w:pPr>
      <w:r>
        <w:t>Re-use of Rel.17 specification with likely minimized impact on existing specifications</w:t>
      </w:r>
    </w:p>
    <w:p w:rsidR="004550CD" w:rsidP="004550CD" w:rsidRDefault="004550CD" w14:paraId="5DAF859B" w14:textId="6C591E29">
      <w:pPr>
        <w:pStyle w:val="ListParagraph"/>
        <w:numPr>
          <w:ilvl w:val="0"/>
          <w:numId w:val="31"/>
        </w:numPr>
        <w:spacing w:after="180"/>
        <w:jc w:val="left"/>
      </w:pPr>
      <w:r>
        <w:t>Enables “group mobility” for the UEs connected to the mobile IAB-node without</w:t>
      </w:r>
      <w:r w:rsidR="00686D5F">
        <w:t xml:space="preserve"> affecting them due to BH/donor change while keeping m-CU unchanged.</w:t>
      </w:r>
    </w:p>
    <w:p w:rsidR="00686D5F" w:rsidP="004550CD" w:rsidRDefault="00686D5F" w14:paraId="31E708ED" w14:textId="1F002ACF">
      <w:pPr>
        <w:pStyle w:val="ListParagraph"/>
        <w:numPr>
          <w:ilvl w:val="0"/>
          <w:numId w:val="31"/>
        </w:numPr>
        <w:spacing w:after="180"/>
        <w:jc w:val="left"/>
      </w:pPr>
      <w:r>
        <w:t>Minimized impact on IAB-node functions, the IAB internal structure is unchanged (MT/DU)</w:t>
      </w:r>
    </w:p>
    <w:p w:rsidR="00686D5F" w:rsidP="004550CD" w:rsidRDefault="00686D5F" w14:paraId="6476FE58" w14:textId="5D9ED7C2">
      <w:pPr>
        <w:pStyle w:val="ListParagraph"/>
        <w:numPr>
          <w:ilvl w:val="0"/>
          <w:numId w:val="31"/>
        </w:numPr>
        <w:spacing w:after="180"/>
        <w:jc w:val="left"/>
      </w:pPr>
      <w:r>
        <w:t>UE mobility between fixed and mobile cells can apply normal HO procedures. HO parameters may be mobile specific for the cells served by the mobile IAB-node.</w:t>
      </w:r>
    </w:p>
    <w:p w:rsidR="002700A9" w:rsidP="002700A9" w:rsidRDefault="002700A9" w14:paraId="63F97D2C" w14:textId="77777777">
      <w:pPr>
        <w:spacing w:after="180"/>
        <w:jc w:val="left"/>
      </w:pPr>
    </w:p>
    <w:p w:rsidR="002700A9" w:rsidP="002700A9" w:rsidRDefault="002700A9" w14:paraId="12210C5D" w14:textId="63C4C525">
      <w:pPr>
        <w:pStyle w:val="Heading2"/>
      </w:pPr>
      <w:r>
        <w:t>2.</w:t>
      </w:r>
      <w:r w:rsidR="00C7556E">
        <w:t xml:space="preserve">2.2 </w:t>
      </w:r>
      <w:proofErr w:type="spellStart"/>
      <w:r w:rsidR="00C7556E">
        <w:t>Xn</w:t>
      </w:r>
      <w:proofErr w:type="spellEnd"/>
      <w:r w:rsidR="00C7556E">
        <w:t xml:space="preserve"> management</w:t>
      </w:r>
    </w:p>
    <w:p w:rsidR="003E0D31" w:rsidP="002700A9" w:rsidRDefault="003E0D31" w14:paraId="02BAC308" w14:textId="1B8AC807">
      <w:pPr>
        <w:spacing w:after="180"/>
        <w:jc w:val="left"/>
      </w:pPr>
      <w:r>
        <w:t xml:space="preserve">In the solution described in 2.2.1, one may not assume that there would be </w:t>
      </w:r>
      <w:proofErr w:type="spellStart"/>
      <w:r>
        <w:t>Xn</w:t>
      </w:r>
      <w:proofErr w:type="spellEnd"/>
      <w:r>
        <w:t xml:space="preserve"> set up between the m-CU and all the donors to which the mobile IAB-node may connect. This </w:t>
      </w:r>
      <w:r w:rsidR="00B668DA">
        <w:t xml:space="preserve">is </w:t>
      </w:r>
      <w:r>
        <w:t xml:space="preserve">the case </w:t>
      </w:r>
      <w:r w:rsidR="00B668DA">
        <w:t xml:space="preserve">particularly </w:t>
      </w:r>
      <w:r>
        <w:t xml:space="preserve">if the IAB-node moves long distances. Therefore, the </w:t>
      </w:r>
      <w:proofErr w:type="spellStart"/>
      <w:r>
        <w:t>Xn</w:t>
      </w:r>
      <w:proofErr w:type="spellEnd"/>
      <w:r>
        <w:t xml:space="preserve"> management should consider the IAB mobility to setup and/or release </w:t>
      </w:r>
      <w:proofErr w:type="spellStart"/>
      <w:r>
        <w:t>Xn</w:t>
      </w:r>
      <w:proofErr w:type="spellEnd"/>
      <w:r>
        <w:t xml:space="preserve"> as needed. Preferably the </w:t>
      </w:r>
      <w:proofErr w:type="spellStart"/>
      <w:r>
        <w:t>Xn</w:t>
      </w:r>
      <w:proofErr w:type="spellEnd"/>
      <w:r>
        <w:t xml:space="preserve"> setup should be done before the IAB mobility procedure is initiated to allow </w:t>
      </w:r>
      <w:proofErr w:type="spellStart"/>
      <w:r>
        <w:t>Xn</w:t>
      </w:r>
      <w:proofErr w:type="spellEnd"/>
      <w:r>
        <w:t xml:space="preserve"> signalling needed to configure F1 re-routing via the new donor.</w:t>
      </w:r>
      <w:r w:rsidR="00886CEF">
        <w:t xml:space="preserve"> </w:t>
      </w:r>
      <w:r w:rsidR="00CF7D00">
        <w:t>This may be up to the operator’s deployment choice, e.g. the IAB-donor</w:t>
      </w:r>
      <w:r w:rsidR="000C2FB4">
        <w:t xml:space="preserve">s in a specific area is configured with the information of the m-CU, so the </w:t>
      </w:r>
      <w:proofErr w:type="spellStart"/>
      <w:r w:rsidR="000C2FB4">
        <w:t>Xn</w:t>
      </w:r>
      <w:proofErr w:type="spellEnd"/>
      <w:r w:rsidR="000C2FB4">
        <w:t xml:space="preserve"> between the donor and m-CU can be setup before the </w:t>
      </w:r>
      <w:r w:rsidR="00FC3CD5">
        <w:t>IAB operation.</w:t>
      </w:r>
    </w:p>
    <w:p w:rsidRPr="003E0D31" w:rsidR="003E0D31" w:rsidP="002700A9" w:rsidRDefault="003E0D31" w14:paraId="480E12C6" w14:textId="616888F5">
      <w:pPr>
        <w:spacing w:after="180"/>
        <w:jc w:val="left"/>
        <w:rPr>
          <w:b/>
          <w:bCs/>
        </w:rPr>
      </w:pPr>
      <w:r w:rsidRPr="003E0D31">
        <w:rPr>
          <w:b/>
          <w:bCs/>
        </w:rPr>
        <w:t xml:space="preserve">Observation 8. </w:t>
      </w:r>
      <w:proofErr w:type="spellStart"/>
      <w:r w:rsidRPr="003E0D31">
        <w:rPr>
          <w:b/>
          <w:bCs/>
        </w:rPr>
        <w:t>Xn</w:t>
      </w:r>
      <w:proofErr w:type="spellEnd"/>
      <w:r w:rsidRPr="003E0D31">
        <w:rPr>
          <w:b/>
          <w:bCs/>
        </w:rPr>
        <w:t xml:space="preserve"> management of the m-CU need</w:t>
      </w:r>
      <w:r w:rsidR="00B668DA">
        <w:rPr>
          <w:b/>
          <w:bCs/>
        </w:rPr>
        <w:t>s</w:t>
      </w:r>
      <w:r w:rsidRPr="003E0D31">
        <w:rPr>
          <w:b/>
          <w:bCs/>
        </w:rPr>
        <w:t xml:space="preserve"> to be clarified to enable </w:t>
      </w:r>
      <w:r w:rsidR="001640AA">
        <w:rPr>
          <w:b/>
          <w:bCs/>
        </w:rPr>
        <w:t xml:space="preserve">wide </w:t>
      </w:r>
      <w:r w:rsidRPr="003E0D31">
        <w:rPr>
          <w:b/>
          <w:bCs/>
        </w:rPr>
        <w:t>utilization of the discussed solution.</w:t>
      </w:r>
    </w:p>
    <w:p w:rsidR="001640AA" w:rsidP="002700A9" w:rsidRDefault="001640AA" w14:paraId="12EC4A00" w14:textId="77777777">
      <w:pPr>
        <w:spacing w:after="180"/>
        <w:jc w:val="left"/>
      </w:pPr>
    </w:p>
    <w:p w:rsidR="00C7556E" w:rsidP="00C7556E" w:rsidRDefault="00C7556E" w14:paraId="374D50FB" w14:textId="008C9E71">
      <w:pPr>
        <w:pStyle w:val="Heading1"/>
      </w:pPr>
      <w:r>
        <w:t>Conclusions</w:t>
      </w:r>
    </w:p>
    <w:p w:rsidR="009443C0" w:rsidP="3FD5DB5D" w:rsidRDefault="00C7556E" w14:paraId="786137DC" w14:textId="3C54B817">
      <w:pPr>
        <w:overflowPunct/>
        <w:autoSpaceDE/>
        <w:autoSpaceDN/>
        <w:adjustRightInd/>
        <w:spacing w:after="180"/>
        <w:jc w:val="left"/>
        <w:textAlignment w:val="auto"/>
      </w:pPr>
      <w:r>
        <w:t>In this paper we have elaborated options for optimized IAB mobility with following conclusions:</w:t>
      </w:r>
    </w:p>
    <w:p w:rsidR="009443C0" w:rsidP="3FD5DB5D" w:rsidRDefault="007E597F" w14:paraId="2534B213" w14:textId="1D4CD150">
      <w:pPr>
        <w:overflowPunct/>
        <w:autoSpaceDE/>
        <w:autoSpaceDN/>
        <w:adjustRightInd/>
        <w:spacing w:after="180"/>
        <w:jc w:val="left"/>
        <w:textAlignment w:val="auto"/>
        <w:rPr>
          <w:b/>
          <w:bCs/>
        </w:rPr>
      </w:pPr>
      <w:r w:rsidRPr="3FD5DB5D">
        <w:rPr>
          <w:b/>
          <w:bCs/>
        </w:rPr>
        <w:t xml:space="preserve">Observation 1. In mobile scenarios IAB full migration will be frequent calling for </w:t>
      </w:r>
      <w:r w:rsidRPr="3FD5DB5D" w:rsidR="00EE34A9">
        <w:rPr>
          <w:b/>
          <w:bCs/>
        </w:rPr>
        <w:t>optimizations to avoid excessive signalling overhead and service interruptions.</w:t>
      </w:r>
    </w:p>
    <w:p w:rsidR="009443C0" w:rsidP="3FD5DB5D" w:rsidRDefault="00EE34A9" w14:paraId="3349557E" w14:textId="09CB6757">
      <w:pPr>
        <w:overflowPunct/>
        <w:autoSpaceDE/>
        <w:autoSpaceDN/>
        <w:adjustRightInd/>
        <w:spacing w:after="180"/>
        <w:jc w:val="left"/>
        <w:textAlignment w:val="auto"/>
        <w:rPr>
          <w:b/>
          <w:bCs/>
        </w:rPr>
      </w:pPr>
      <w:r w:rsidRPr="3FD5DB5D">
        <w:rPr>
          <w:b/>
          <w:bCs/>
        </w:rPr>
        <w:t>Observation 2. Restriction to child-less mobile IAB-node can allow optimizations and/or reduced functions for mobile IAB compared to Rel.17 IAB.</w:t>
      </w:r>
    </w:p>
    <w:p w:rsidR="009443C0" w:rsidP="3FD5DB5D" w:rsidRDefault="00E84BC1" w14:paraId="0F478374" w14:textId="59F512ED">
      <w:pPr>
        <w:overflowPunct/>
        <w:autoSpaceDE/>
        <w:autoSpaceDN/>
        <w:adjustRightInd/>
        <w:spacing w:after="180"/>
        <w:jc w:val="left"/>
        <w:textAlignment w:val="auto"/>
        <w:rPr>
          <w:b/>
          <w:bCs/>
        </w:rPr>
      </w:pPr>
      <w:r w:rsidRPr="3FD5DB5D">
        <w:rPr>
          <w:b/>
          <w:bCs/>
        </w:rPr>
        <w:t>Observation 3. It is beneficial to minimize the need for full migration as it inevitably affects the connected UEs.</w:t>
      </w:r>
    </w:p>
    <w:p w:rsidR="009443C0" w:rsidP="3FD5DB5D" w:rsidRDefault="00E84BC1" w14:paraId="7B848F22" w14:textId="51A35A1D">
      <w:pPr>
        <w:overflowPunct/>
        <w:autoSpaceDE/>
        <w:autoSpaceDN/>
        <w:adjustRightInd/>
        <w:spacing w:after="180"/>
        <w:jc w:val="left"/>
        <w:textAlignment w:val="auto"/>
        <w:rPr>
          <w:b/>
          <w:bCs/>
        </w:rPr>
      </w:pPr>
      <w:r w:rsidRPr="3FD5DB5D">
        <w:rPr>
          <w:b/>
          <w:bCs/>
        </w:rPr>
        <w:t>Observation 4. Maintaining F1 to the same CU would eliminate the need for full migration each time the donor is changed.</w:t>
      </w:r>
      <w:r w:rsidRPr="3FD5DB5D" w:rsidR="3FD5DB5D">
        <w:rPr>
          <w:b/>
          <w:bCs/>
        </w:rPr>
        <w:t xml:space="preserve"> </w:t>
      </w:r>
    </w:p>
    <w:p w:rsidR="009443C0" w:rsidP="3FD5DB5D" w:rsidRDefault="00F5098D" w14:paraId="34E4E3E7" w14:textId="135327AF">
      <w:pPr>
        <w:overflowPunct/>
        <w:autoSpaceDE/>
        <w:autoSpaceDN/>
        <w:adjustRightInd/>
        <w:spacing w:after="180"/>
        <w:jc w:val="left"/>
        <w:textAlignment w:val="auto"/>
        <w:rPr>
          <w:b/>
          <w:bCs/>
        </w:rPr>
      </w:pPr>
      <w:r w:rsidRPr="3FD5DB5D">
        <w:rPr>
          <w:b/>
          <w:bCs/>
        </w:rPr>
        <w:t xml:space="preserve">Observation 5. Principles of Rel.17 partial migration would allow </w:t>
      </w:r>
      <w:r w:rsidRPr="3FD5DB5D" w:rsidR="58456E61">
        <w:rPr>
          <w:b/>
          <w:bCs/>
        </w:rPr>
        <w:t xml:space="preserve">unchanged F1 termination point </w:t>
      </w:r>
      <w:r w:rsidRPr="3FD5DB5D">
        <w:rPr>
          <w:b/>
          <w:bCs/>
        </w:rPr>
        <w:t>during IAB mobility.</w:t>
      </w:r>
      <w:r w:rsidRPr="3FD5DB5D" w:rsidR="3FD5DB5D">
        <w:rPr>
          <w:b/>
          <w:bCs/>
        </w:rPr>
        <w:t xml:space="preserve"> </w:t>
      </w:r>
    </w:p>
    <w:p w:rsidR="009443C0" w:rsidP="3FD5DB5D" w:rsidRDefault="00D5488C" w14:paraId="40347B02" w14:textId="085B9DBB">
      <w:pPr>
        <w:overflowPunct/>
        <w:autoSpaceDE/>
        <w:autoSpaceDN/>
        <w:adjustRightInd/>
        <w:spacing w:after="180"/>
        <w:jc w:val="left"/>
        <w:textAlignment w:val="auto"/>
        <w:rPr>
          <w:b/>
          <w:bCs/>
        </w:rPr>
      </w:pPr>
      <w:r w:rsidRPr="3FD5DB5D">
        <w:rPr>
          <w:b/>
          <w:bCs/>
        </w:rPr>
        <w:t xml:space="preserve">Observation 6. </w:t>
      </w:r>
      <w:r w:rsidRPr="3FD5DB5D" w:rsidR="00432704">
        <w:rPr>
          <w:b/>
          <w:bCs/>
        </w:rPr>
        <w:t xml:space="preserve">With a dedicated m-CU, </w:t>
      </w:r>
      <w:proofErr w:type="spellStart"/>
      <w:r w:rsidRPr="3FD5DB5D" w:rsidR="00432704">
        <w:rPr>
          <w:b/>
          <w:bCs/>
        </w:rPr>
        <w:t>then</w:t>
      </w:r>
      <w:r w:rsidRPr="3FD5DB5D">
        <w:rPr>
          <w:b/>
          <w:bCs/>
        </w:rPr>
        <w:t>eed</w:t>
      </w:r>
      <w:proofErr w:type="spellEnd"/>
      <w:r w:rsidRPr="3FD5DB5D">
        <w:rPr>
          <w:b/>
          <w:bCs/>
        </w:rPr>
        <w:t xml:space="preserve"> for full migration would become less frequent.</w:t>
      </w:r>
    </w:p>
    <w:p w:rsidR="009443C0" w:rsidP="3FD5DB5D" w:rsidRDefault="00FD6F04" w14:paraId="1424103F" w14:textId="268CC4C9">
      <w:pPr>
        <w:overflowPunct/>
        <w:autoSpaceDE/>
        <w:autoSpaceDN/>
        <w:adjustRightInd/>
        <w:spacing w:after="180"/>
        <w:jc w:val="left"/>
        <w:textAlignment w:val="auto"/>
        <w:rPr>
          <w:b/>
          <w:bCs/>
        </w:rPr>
      </w:pPr>
      <w:r w:rsidRPr="3FD5DB5D">
        <w:rPr>
          <w:b/>
          <w:bCs/>
        </w:rPr>
        <w:t>Observation 7. Usage of m-CU can be mapped to Rel.17 IAB architecture.</w:t>
      </w:r>
    </w:p>
    <w:p w:rsidR="009443C0" w:rsidP="3FD5DB5D" w:rsidRDefault="003E0D31" w14:paraId="6CF77AB5" w14:textId="616888F5">
      <w:pPr>
        <w:overflowPunct/>
        <w:autoSpaceDE/>
        <w:autoSpaceDN/>
        <w:adjustRightInd/>
        <w:spacing w:after="180"/>
        <w:jc w:val="left"/>
        <w:textAlignment w:val="auto"/>
        <w:rPr>
          <w:b/>
          <w:bCs/>
        </w:rPr>
      </w:pPr>
      <w:r w:rsidRPr="3FD5DB5D">
        <w:rPr>
          <w:b/>
          <w:bCs/>
        </w:rPr>
        <w:t xml:space="preserve">Observation 8. </w:t>
      </w:r>
      <w:proofErr w:type="spellStart"/>
      <w:r w:rsidRPr="3FD5DB5D">
        <w:rPr>
          <w:b/>
          <w:bCs/>
        </w:rPr>
        <w:t>Xn</w:t>
      </w:r>
      <w:proofErr w:type="spellEnd"/>
      <w:r w:rsidRPr="3FD5DB5D">
        <w:rPr>
          <w:b/>
          <w:bCs/>
        </w:rPr>
        <w:t xml:space="preserve"> management of the m-CU need</w:t>
      </w:r>
      <w:r w:rsidRPr="3FD5DB5D" w:rsidR="00B668DA">
        <w:rPr>
          <w:b/>
          <w:bCs/>
        </w:rPr>
        <w:t>s</w:t>
      </w:r>
      <w:r w:rsidRPr="3FD5DB5D">
        <w:rPr>
          <w:b/>
          <w:bCs/>
        </w:rPr>
        <w:t xml:space="preserve"> to be clarified to enable </w:t>
      </w:r>
      <w:r w:rsidRPr="3FD5DB5D" w:rsidR="001640AA">
        <w:rPr>
          <w:b/>
          <w:bCs/>
        </w:rPr>
        <w:t xml:space="preserve">wide </w:t>
      </w:r>
      <w:r w:rsidRPr="3FD5DB5D">
        <w:rPr>
          <w:b/>
          <w:bCs/>
        </w:rPr>
        <w:t>utilization of the discussed solution.</w:t>
      </w:r>
    </w:p>
    <w:p w:rsidR="009443C0" w:rsidP="3FD5DB5D" w:rsidRDefault="009443C0" w14:paraId="06C42E24" w14:textId="107F1B12">
      <w:pPr>
        <w:overflowPunct/>
        <w:autoSpaceDE/>
        <w:autoSpaceDN/>
        <w:adjustRightInd/>
        <w:spacing w:after="0"/>
        <w:jc w:val="left"/>
        <w:textAlignment w:val="auto"/>
      </w:pPr>
    </w:p>
    <w:p w:rsidR="009443C0" w:rsidP="3FD5DB5D" w:rsidRDefault="00EE34A9" w14:paraId="0B4CFF96" w14:textId="1F926D13">
      <w:pPr>
        <w:overflowPunct/>
        <w:autoSpaceDE/>
        <w:autoSpaceDN/>
        <w:adjustRightInd/>
        <w:spacing w:after="180"/>
        <w:jc w:val="left"/>
        <w:textAlignment w:val="auto"/>
        <w:rPr>
          <w:b/>
          <w:bCs/>
        </w:rPr>
      </w:pPr>
      <w:r w:rsidRPr="3FD5DB5D">
        <w:rPr>
          <w:b/>
          <w:bCs/>
        </w:rPr>
        <w:t>Proposal 1. RAN3 to investigate solutions avoiding adverse impacts of IAB-mobility considering frequent BH changes.</w:t>
      </w:r>
    </w:p>
    <w:p w:rsidR="009443C0" w:rsidP="3FD5DB5D" w:rsidRDefault="00EE34A9" w14:paraId="0506CFF3" w14:textId="192730C9">
      <w:pPr>
        <w:overflowPunct/>
        <w:autoSpaceDE/>
        <w:autoSpaceDN/>
        <w:adjustRightInd/>
        <w:spacing w:after="180"/>
        <w:jc w:val="left"/>
        <w:textAlignment w:val="auto"/>
        <w:rPr>
          <w:b/>
          <w:bCs/>
        </w:rPr>
      </w:pPr>
      <w:r w:rsidRPr="3FD5DB5D">
        <w:rPr>
          <w:b/>
          <w:bCs/>
        </w:rPr>
        <w:t xml:space="preserve">Proposal 2. </w:t>
      </w:r>
      <w:r w:rsidRPr="3FD5DB5D" w:rsidR="003025D6">
        <w:rPr>
          <w:b/>
          <w:bCs/>
        </w:rPr>
        <w:t xml:space="preserve">RAN3 to investigate if optimizations can be done based on the restriction to </w:t>
      </w:r>
      <w:r w:rsidRPr="30B4D0B4" w:rsidR="003025D6">
        <w:rPr>
          <w:b/>
          <w:bCs/>
        </w:rPr>
        <w:t>child</w:t>
      </w:r>
      <w:r w:rsidRPr="3FD5DB5D" w:rsidR="003025D6">
        <w:rPr>
          <w:b/>
          <w:bCs/>
        </w:rPr>
        <w:t>-less mobile IAB-nodes.</w:t>
      </w:r>
    </w:p>
    <w:p w:rsidR="009443C0" w:rsidP="3FD5DB5D" w:rsidRDefault="003025D6" w14:paraId="640C03C9" w14:textId="06766277">
      <w:pPr>
        <w:overflowPunct/>
        <w:autoSpaceDE/>
        <w:autoSpaceDN/>
        <w:adjustRightInd/>
        <w:spacing w:after="240"/>
        <w:jc w:val="left"/>
        <w:textAlignment w:val="auto"/>
        <w:rPr>
          <w:b/>
          <w:bCs/>
        </w:rPr>
      </w:pPr>
      <w:r w:rsidRPr="3FD5DB5D">
        <w:rPr>
          <w:b/>
          <w:bCs/>
        </w:rPr>
        <w:t>Proposal 3. RAN3 to elaborate to what degree the serving RAN shall have IAB capabilities to be able to support mobile IAB.</w:t>
      </w:r>
    </w:p>
    <w:p w:rsidR="009443C0" w:rsidP="3FD5DB5D" w:rsidRDefault="00E84BC1" w14:paraId="4451B5AE" w14:textId="27D6CD79">
      <w:pPr>
        <w:overflowPunct/>
        <w:autoSpaceDE/>
        <w:autoSpaceDN/>
        <w:adjustRightInd/>
        <w:spacing w:after="180"/>
        <w:jc w:val="left"/>
        <w:textAlignment w:val="auto"/>
        <w:rPr>
          <w:b/>
          <w:bCs/>
        </w:rPr>
      </w:pPr>
      <w:r w:rsidRPr="3FD5DB5D">
        <w:rPr>
          <w:b/>
          <w:bCs/>
        </w:rPr>
        <w:t xml:space="preserve">Proposal 4. RAN3 to </w:t>
      </w:r>
      <w:r w:rsidRPr="3FD5DB5D" w:rsidR="00EF4BB5">
        <w:rPr>
          <w:b/>
          <w:bCs/>
        </w:rPr>
        <w:t>consider Rel.17 partial migration as the basis for IAB</w:t>
      </w:r>
      <w:r w:rsidRPr="3FD5DB5D" w:rsidR="00432704">
        <w:rPr>
          <w:b/>
          <w:bCs/>
        </w:rPr>
        <w:t xml:space="preserve"> </w:t>
      </w:r>
      <w:r w:rsidRPr="3FD5DB5D" w:rsidR="00EF4BB5">
        <w:rPr>
          <w:b/>
          <w:bCs/>
        </w:rPr>
        <w:t>mobility</w:t>
      </w:r>
      <w:r w:rsidRPr="3FD5DB5D">
        <w:rPr>
          <w:b/>
          <w:bCs/>
        </w:rPr>
        <w:t>.</w:t>
      </w:r>
    </w:p>
    <w:p w:rsidR="009443C0" w:rsidP="009443C0" w:rsidRDefault="009443C0" w14:paraId="5EB74BFD" w14:textId="77777777">
      <w:pPr>
        <w:overflowPunct/>
        <w:autoSpaceDE/>
        <w:autoSpaceDN/>
        <w:adjustRightInd/>
        <w:spacing w:after="0"/>
        <w:jc w:val="left"/>
        <w:textAlignment w:val="auto"/>
      </w:pPr>
    </w:p>
    <w:p w:rsidR="009443C0" w:rsidP="009443C0" w:rsidRDefault="009443C0" w14:paraId="38EB08E5" w14:textId="77777777">
      <w:pPr>
        <w:pStyle w:val="Heading1"/>
      </w:pPr>
      <w:r>
        <w:t>References</w:t>
      </w:r>
    </w:p>
    <w:p w:rsidR="009443C0" w:rsidP="009443C0" w:rsidRDefault="00E86720" w14:paraId="272F60A9" w14:textId="08CCB1A8">
      <w:pPr>
        <w:numPr>
          <w:ilvl w:val="0"/>
          <w:numId w:val="21"/>
        </w:numPr>
        <w:spacing w:after="180"/>
        <w:jc w:val="left"/>
      </w:pPr>
      <w:r w:rsidRPr="00E86720">
        <w:t>RP-221815</w:t>
      </w:r>
      <w:r>
        <w:t xml:space="preserve"> New </w:t>
      </w:r>
      <w:r w:rsidR="009443C0">
        <w:t>WID</w:t>
      </w:r>
      <w:r>
        <w:t xml:space="preserve"> on Mobile IAB</w:t>
      </w:r>
    </w:p>
    <w:p w:rsidR="009443C0" w:rsidP="009443C0" w:rsidRDefault="00371A50" w14:paraId="14D4D662" w14:textId="799EA0ED">
      <w:pPr>
        <w:numPr>
          <w:ilvl w:val="0"/>
          <w:numId w:val="21"/>
        </w:numPr>
        <w:spacing w:after="180"/>
        <w:jc w:val="left"/>
      </w:pPr>
      <w:r>
        <w:t>TR 23.700-05 v.0.3.0</w:t>
      </w:r>
    </w:p>
    <w:sectPr w:rsidR="009443C0" w:rsidSect="009443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159EB" w:rsidRDefault="004159EB" w14:paraId="12A9CE87" w14:textId="77777777">
      <w:r>
        <w:separator/>
      </w:r>
    </w:p>
  </w:endnote>
  <w:endnote w:type="continuationSeparator" w:id="0">
    <w:p w:rsidR="004159EB" w:rsidRDefault="004159EB" w14:paraId="0F5299D0" w14:textId="77777777">
      <w:r>
        <w:continuationSeparator/>
      </w:r>
    </w:p>
  </w:endnote>
  <w:endnote w:type="continuationNotice" w:id="1">
    <w:p w:rsidR="004159EB" w:rsidRDefault="004159EB" w14:paraId="25E1E11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iTi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19D1" w:rsidRDefault="005B19D1" w14:paraId="70AE318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09E2" w:rsidRDefault="00F609E2" w14:paraId="00371382" w14:textId="7777777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19D1" w:rsidRDefault="005B19D1" w14:paraId="1BA7AF9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159EB" w:rsidRDefault="004159EB" w14:paraId="0DFA8F9B" w14:textId="77777777">
      <w:r>
        <w:separator/>
      </w:r>
    </w:p>
  </w:footnote>
  <w:footnote w:type="continuationSeparator" w:id="0">
    <w:p w:rsidR="004159EB" w:rsidRDefault="004159EB" w14:paraId="756531A6" w14:textId="77777777">
      <w:r>
        <w:continuationSeparator/>
      </w:r>
    </w:p>
  </w:footnote>
  <w:footnote w:type="continuationNotice" w:id="1">
    <w:p w:rsidR="004159EB" w:rsidRDefault="004159EB" w14:paraId="08F3D84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19D1" w:rsidRDefault="005B19D1" w14:paraId="328A3B3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09E2" w:rsidRDefault="00F609E2" w14:paraId="24EB34E9"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B19D1" w:rsidRDefault="005B19D1" w14:paraId="174C6D4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hint="default" w:ascii="Symbol" w:hAnsi="Symbol" w:cs="Times New Roman" w:eastAsiaTheme="minorEastAsia"/>
      </w:rPr>
    </w:lvl>
    <w:lvl w:ilvl="1" w:tplc="04090003" w:tentative="1">
      <w:start w:val="1"/>
      <w:numFmt w:val="bullet"/>
      <w:lvlText w:val="o"/>
      <w:lvlJc w:val="left"/>
      <w:pPr>
        <w:ind w:left="1185" w:hanging="360"/>
      </w:pPr>
      <w:rPr>
        <w:rFonts w:hint="default" w:ascii="Courier New" w:hAnsi="Courier New" w:cs="Courier New"/>
      </w:rPr>
    </w:lvl>
    <w:lvl w:ilvl="2" w:tplc="04090005" w:tentative="1">
      <w:start w:val="1"/>
      <w:numFmt w:val="bullet"/>
      <w:lvlText w:val=""/>
      <w:lvlJc w:val="left"/>
      <w:pPr>
        <w:ind w:left="1905" w:hanging="360"/>
      </w:pPr>
      <w:rPr>
        <w:rFonts w:hint="default" w:ascii="Wingdings" w:hAnsi="Wingdings"/>
      </w:rPr>
    </w:lvl>
    <w:lvl w:ilvl="3" w:tplc="04090001" w:tentative="1">
      <w:start w:val="1"/>
      <w:numFmt w:val="bullet"/>
      <w:lvlText w:val=""/>
      <w:lvlJc w:val="left"/>
      <w:pPr>
        <w:ind w:left="2625" w:hanging="360"/>
      </w:pPr>
      <w:rPr>
        <w:rFonts w:hint="default" w:ascii="Symbol" w:hAnsi="Symbol"/>
      </w:rPr>
    </w:lvl>
    <w:lvl w:ilvl="4" w:tplc="04090003" w:tentative="1">
      <w:start w:val="1"/>
      <w:numFmt w:val="bullet"/>
      <w:lvlText w:val="o"/>
      <w:lvlJc w:val="left"/>
      <w:pPr>
        <w:ind w:left="3345" w:hanging="360"/>
      </w:pPr>
      <w:rPr>
        <w:rFonts w:hint="default" w:ascii="Courier New" w:hAnsi="Courier New" w:cs="Courier New"/>
      </w:rPr>
    </w:lvl>
    <w:lvl w:ilvl="5" w:tplc="04090005" w:tentative="1">
      <w:start w:val="1"/>
      <w:numFmt w:val="bullet"/>
      <w:lvlText w:val=""/>
      <w:lvlJc w:val="left"/>
      <w:pPr>
        <w:ind w:left="4065" w:hanging="360"/>
      </w:pPr>
      <w:rPr>
        <w:rFonts w:hint="default" w:ascii="Wingdings" w:hAnsi="Wingdings"/>
      </w:rPr>
    </w:lvl>
    <w:lvl w:ilvl="6" w:tplc="04090001" w:tentative="1">
      <w:start w:val="1"/>
      <w:numFmt w:val="bullet"/>
      <w:lvlText w:val=""/>
      <w:lvlJc w:val="left"/>
      <w:pPr>
        <w:ind w:left="4785" w:hanging="360"/>
      </w:pPr>
      <w:rPr>
        <w:rFonts w:hint="default" w:ascii="Symbol" w:hAnsi="Symbol"/>
      </w:rPr>
    </w:lvl>
    <w:lvl w:ilvl="7" w:tplc="04090003" w:tentative="1">
      <w:start w:val="1"/>
      <w:numFmt w:val="bullet"/>
      <w:lvlText w:val="o"/>
      <w:lvlJc w:val="left"/>
      <w:pPr>
        <w:ind w:left="5505" w:hanging="360"/>
      </w:pPr>
      <w:rPr>
        <w:rFonts w:hint="default" w:ascii="Courier New" w:hAnsi="Courier New" w:cs="Courier New"/>
      </w:rPr>
    </w:lvl>
    <w:lvl w:ilvl="8" w:tplc="04090005" w:tentative="1">
      <w:start w:val="1"/>
      <w:numFmt w:val="bullet"/>
      <w:lvlText w:val=""/>
      <w:lvlJc w:val="left"/>
      <w:pPr>
        <w:ind w:left="6225" w:hanging="360"/>
      </w:pPr>
      <w:rPr>
        <w:rFonts w:hint="default" w:ascii="Wingdings" w:hAnsi="Wingdings"/>
      </w:rPr>
    </w:lvl>
  </w:abstractNum>
  <w:abstractNum w:abstractNumId="5"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1F6053F5"/>
    <w:multiLevelType w:val="hybridMultilevel"/>
    <w:tmpl w:val="E83E38D2"/>
    <w:lvl w:ilvl="0" w:tplc="BDFE2A08">
      <w:start w:val="8"/>
      <w:numFmt w:val="bullet"/>
      <w:lvlText w:val="-"/>
      <w:lvlJc w:val="left"/>
      <w:pPr>
        <w:ind w:left="465" w:hanging="360"/>
      </w:pPr>
      <w:rPr>
        <w:rFonts w:hint="default" w:ascii="Times New Roman" w:hAnsi="Times New Roman" w:cs="Times New Roman" w:eastAsiaTheme="minorEastAsia"/>
      </w:rPr>
    </w:lvl>
    <w:lvl w:ilvl="1" w:tplc="04090003" w:tentative="1">
      <w:start w:val="1"/>
      <w:numFmt w:val="bullet"/>
      <w:lvlText w:val="o"/>
      <w:lvlJc w:val="left"/>
      <w:pPr>
        <w:ind w:left="1185" w:hanging="360"/>
      </w:pPr>
      <w:rPr>
        <w:rFonts w:hint="default" w:ascii="Courier New" w:hAnsi="Courier New" w:cs="Courier New"/>
      </w:rPr>
    </w:lvl>
    <w:lvl w:ilvl="2" w:tplc="04090005" w:tentative="1">
      <w:start w:val="1"/>
      <w:numFmt w:val="bullet"/>
      <w:lvlText w:val=""/>
      <w:lvlJc w:val="left"/>
      <w:pPr>
        <w:ind w:left="1905" w:hanging="360"/>
      </w:pPr>
      <w:rPr>
        <w:rFonts w:hint="default" w:ascii="Wingdings" w:hAnsi="Wingdings"/>
      </w:rPr>
    </w:lvl>
    <w:lvl w:ilvl="3" w:tplc="04090001" w:tentative="1">
      <w:start w:val="1"/>
      <w:numFmt w:val="bullet"/>
      <w:lvlText w:val=""/>
      <w:lvlJc w:val="left"/>
      <w:pPr>
        <w:ind w:left="2625" w:hanging="360"/>
      </w:pPr>
      <w:rPr>
        <w:rFonts w:hint="default" w:ascii="Symbol" w:hAnsi="Symbol"/>
      </w:rPr>
    </w:lvl>
    <w:lvl w:ilvl="4" w:tplc="04090003" w:tentative="1">
      <w:start w:val="1"/>
      <w:numFmt w:val="bullet"/>
      <w:lvlText w:val="o"/>
      <w:lvlJc w:val="left"/>
      <w:pPr>
        <w:ind w:left="3345" w:hanging="360"/>
      </w:pPr>
      <w:rPr>
        <w:rFonts w:hint="default" w:ascii="Courier New" w:hAnsi="Courier New" w:cs="Courier New"/>
      </w:rPr>
    </w:lvl>
    <w:lvl w:ilvl="5" w:tplc="04090005" w:tentative="1">
      <w:start w:val="1"/>
      <w:numFmt w:val="bullet"/>
      <w:lvlText w:val=""/>
      <w:lvlJc w:val="left"/>
      <w:pPr>
        <w:ind w:left="4065" w:hanging="360"/>
      </w:pPr>
      <w:rPr>
        <w:rFonts w:hint="default" w:ascii="Wingdings" w:hAnsi="Wingdings"/>
      </w:rPr>
    </w:lvl>
    <w:lvl w:ilvl="6" w:tplc="04090001" w:tentative="1">
      <w:start w:val="1"/>
      <w:numFmt w:val="bullet"/>
      <w:lvlText w:val=""/>
      <w:lvlJc w:val="left"/>
      <w:pPr>
        <w:ind w:left="4785" w:hanging="360"/>
      </w:pPr>
      <w:rPr>
        <w:rFonts w:hint="default" w:ascii="Symbol" w:hAnsi="Symbol"/>
      </w:rPr>
    </w:lvl>
    <w:lvl w:ilvl="7" w:tplc="04090003" w:tentative="1">
      <w:start w:val="1"/>
      <w:numFmt w:val="bullet"/>
      <w:lvlText w:val="o"/>
      <w:lvlJc w:val="left"/>
      <w:pPr>
        <w:ind w:left="5505" w:hanging="360"/>
      </w:pPr>
      <w:rPr>
        <w:rFonts w:hint="default" w:ascii="Courier New" w:hAnsi="Courier New" w:cs="Courier New"/>
      </w:rPr>
    </w:lvl>
    <w:lvl w:ilvl="8" w:tplc="04090005" w:tentative="1">
      <w:start w:val="1"/>
      <w:numFmt w:val="bullet"/>
      <w:lvlText w:val=""/>
      <w:lvlJc w:val="left"/>
      <w:pPr>
        <w:ind w:left="6225" w:hanging="360"/>
      </w:pPr>
      <w:rPr>
        <w:rFonts w:hint="default" w:ascii="Wingdings" w:hAnsi="Wingdings"/>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29C4279"/>
    <w:multiLevelType w:val="hybridMultilevel"/>
    <w:tmpl w:val="D7C8A298"/>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2" w15:restartNumberingAfterBreak="0">
    <w:nsid w:val="37127A92"/>
    <w:multiLevelType w:val="hybridMultilevel"/>
    <w:tmpl w:val="1B9A38EC"/>
    <w:lvl w:ilvl="0" w:tplc="F16EB6D8">
      <w:numFmt w:val="bullet"/>
      <w:lvlText w:val=""/>
      <w:lvlJc w:val="left"/>
      <w:pPr>
        <w:ind w:left="465" w:hanging="360"/>
      </w:pPr>
      <w:rPr>
        <w:rFonts w:hint="default" w:ascii="Symbol" w:hAnsi="Symbol" w:cs="Times New Roman" w:eastAsiaTheme="minorEastAsia"/>
      </w:rPr>
    </w:lvl>
    <w:lvl w:ilvl="1" w:tplc="04090003" w:tentative="1">
      <w:start w:val="1"/>
      <w:numFmt w:val="bullet"/>
      <w:lvlText w:val="o"/>
      <w:lvlJc w:val="left"/>
      <w:pPr>
        <w:ind w:left="1185" w:hanging="360"/>
      </w:pPr>
      <w:rPr>
        <w:rFonts w:hint="default" w:ascii="Courier New" w:hAnsi="Courier New" w:cs="Courier New"/>
      </w:rPr>
    </w:lvl>
    <w:lvl w:ilvl="2" w:tplc="04090005" w:tentative="1">
      <w:start w:val="1"/>
      <w:numFmt w:val="bullet"/>
      <w:lvlText w:val=""/>
      <w:lvlJc w:val="left"/>
      <w:pPr>
        <w:ind w:left="1905" w:hanging="360"/>
      </w:pPr>
      <w:rPr>
        <w:rFonts w:hint="default" w:ascii="Wingdings" w:hAnsi="Wingdings"/>
      </w:rPr>
    </w:lvl>
    <w:lvl w:ilvl="3" w:tplc="04090001" w:tentative="1">
      <w:start w:val="1"/>
      <w:numFmt w:val="bullet"/>
      <w:lvlText w:val=""/>
      <w:lvlJc w:val="left"/>
      <w:pPr>
        <w:ind w:left="2625" w:hanging="360"/>
      </w:pPr>
      <w:rPr>
        <w:rFonts w:hint="default" w:ascii="Symbol" w:hAnsi="Symbol"/>
      </w:rPr>
    </w:lvl>
    <w:lvl w:ilvl="4" w:tplc="04090003" w:tentative="1">
      <w:start w:val="1"/>
      <w:numFmt w:val="bullet"/>
      <w:lvlText w:val="o"/>
      <w:lvlJc w:val="left"/>
      <w:pPr>
        <w:ind w:left="3345" w:hanging="360"/>
      </w:pPr>
      <w:rPr>
        <w:rFonts w:hint="default" w:ascii="Courier New" w:hAnsi="Courier New" w:cs="Courier New"/>
      </w:rPr>
    </w:lvl>
    <w:lvl w:ilvl="5" w:tplc="04090005" w:tentative="1">
      <w:start w:val="1"/>
      <w:numFmt w:val="bullet"/>
      <w:lvlText w:val=""/>
      <w:lvlJc w:val="left"/>
      <w:pPr>
        <w:ind w:left="4065" w:hanging="360"/>
      </w:pPr>
      <w:rPr>
        <w:rFonts w:hint="default" w:ascii="Wingdings" w:hAnsi="Wingdings"/>
      </w:rPr>
    </w:lvl>
    <w:lvl w:ilvl="6" w:tplc="04090001" w:tentative="1">
      <w:start w:val="1"/>
      <w:numFmt w:val="bullet"/>
      <w:lvlText w:val=""/>
      <w:lvlJc w:val="left"/>
      <w:pPr>
        <w:ind w:left="4785" w:hanging="360"/>
      </w:pPr>
      <w:rPr>
        <w:rFonts w:hint="default" w:ascii="Symbol" w:hAnsi="Symbol"/>
      </w:rPr>
    </w:lvl>
    <w:lvl w:ilvl="7" w:tplc="04090003" w:tentative="1">
      <w:start w:val="1"/>
      <w:numFmt w:val="bullet"/>
      <w:lvlText w:val="o"/>
      <w:lvlJc w:val="left"/>
      <w:pPr>
        <w:ind w:left="5505" w:hanging="360"/>
      </w:pPr>
      <w:rPr>
        <w:rFonts w:hint="default" w:ascii="Courier New" w:hAnsi="Courier New" w:cs="Courier New"/>
      </w:rPr>
    </w:lvl>
    <w:lvl w:ilvl="8" w:tplc="04090005" w:tentative="1">
      <w:start w:val="1"/>
      <w:numFmt w:val="bullet"/>
      <w:lvlText w:val=""/>
      <w:lvlJc w:val="left"/>
      <w:pPr>
        <w:ind w:left="6225" w:hanging="360"/>
      </w:pPr>
      <w:rPr>
        <w:rFonts w:hint="default" w:ascii="Wingdings" w:hAnsi="Wingdings"/>
      </w:rPr>
    </w:lvl>
  </w:abstractNum>
  <w:abstractNum w:abstractNumId="1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KaiTi_GB2312" w:hAnsi="KaiTi_GB2312" w:cs="KaiTi_GB2312"/>
        <w:b w:val="0"/>
        <w:bCs w:val="0"/>
        <w:i w:val="0"/>
        <w:iCs w:val="0"/>
        <w:sz w:val="20"/>
        <w:szCs w:val="16"/>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0"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A7F771E"/>
    <w:multiLevelType w:val="hybridMultilevel"/>
    <w:tmpl w:val="BD700DD4"/>
    <w:lvl w:ilvl="0" w:tplc="F458825E">
      <w:start w:val="1"/>
      <w:numFmt w:val="bullet"/>
      <w:lvlText w:val="-"/>
      <w:lvlJc w:val="left"/>
      <w:pPr>
        <w:ind w:left="720" w:hanging="360"/>
      </w:pPr>
      <w:rPr>
        <w:rFonts w:hint="default" w:ascii="Calibri" w:hAnsi="Calibri"/>
      </w:rPr>
    </w:lvl>
    <w:lvl w:ilvl="1" w:tplc="FFFFFFFF">
      <w:start w:val="1"/>
      <w:numFmt w:val="bullet"/>
      <w:lvlText w:val="o"/>
      <w:lvlJc w:val="left"/>
      <w:pPr>
        <w:ind w:left="1440" w:hanging="360"/>
      </w:pPr>
      <w:rPr>
        <w:rFonts w:hint="default" w:ascii="Courier New" w:hAnsi="Courier New"/>
      </w:rPr>
    </w:lvl>
    <w:lvl w:ilvl="2" w:tplc="90AA485E">
      <w:start w:val="1"/>
      <w:numFmt w:val="bullet"/>
      <w:lvlText w:val=""/>
      <w:lvlJc w:val="left"/>
      <w:pPr>
        <w:ind w:left="2160" w:hanging="360"/>
      </w:pPr>
      <w:rPr>
        <w:rFonts w:hint="default" w:ascii="Wingdings" w:hAnsi="Wingdings"/>
      </w:rPr>
    </w:lvl>
    <w:lvl w:ilvl="3" w:tplc="BDC26DFC">
      <w:start w:val="1"/>
      <w:numFmt w:val="bullet"/>
      <w:lvlText w:val=""/>
      <w:lvlJc w:val="left"/>
      <w:pPr>
        <w:ind w:left="2880" w:hanging="360"/>
      </w:pPr>
      <w:rPr>
        <w:rFonts w:hint="default" w:ascii="Symbol" w:hAnsi="Symbol"/>
      </w:rPr>
    </w:lvl>
    <w:lvl w:ilvl="4" w:tplc="C660D96C">
      <w:start w:val="1"/>
      <w:numFmt w:val="bullet"/>
      <w:lvlText w:val="o"/>
      <w:lvlJc w:val="left"/>
      <w:pPr>
        <w:ind w:left="3600" w:hanging="360"/>
      </w:pPr>
      <w:rPr>
        <w:rFonts w:hint="default" w:ascii="Courier New" w:hAnsi="Courier New"/>
      </w:rPr>
    </w:lvl>
    <w:lvl w:ilvl="5" w:tplc="A90CA644">
      <w:start w:val="1"/>
      <w:numFmt w:val="bullet"/>
      <w:lvlText w:val=""/>
      <w:lvlJc w:val="left"/>
      <w:pPr>
        <w:ind w:left="4320" w:hanging="360"/>
      </w:pPr>
      <w:rPr>
        <w:rFonts w:hint="default" w:ascii="Wingdings" w:hAnsi="Wingdings"/>
      </w:rPr>
    </w:lvl>
    <w:lvl w:ilvl="6" w:tplc="1DF48710">
      <w:start w:val="1"/>
      <w:numFmt w:val="bullet"/>
      <w:lvlText w:val=""/>
      <w:lvlJc w:val="left"/>
      <w:pPr>
        <w:ind w:left="5040" w:hanging="360"/>
      </w:pPr>
      <w:rPr>
        <w:rFonts w:hint="default" w:ascii="Symbol" w:hAnsi="Symbol"/>
      </w:rPr>
    </w:lvl>
    <w:lvl w:ilvl="7" w:tplc="D2D26020">
      <w:start w:val="1"/>
      <w:numFmt w:val="bullet"/>
      <w:lvlText w:val="o"/>
      <w:lvlJc w:val="left"/>
      <w:pPr>
        <w:ind w:left="5760" w:hanging="360"/>
      </w:pPr>
      <w:rPr>
        <w:rFonts w:hint="default" w:ascii="Courier New" w:hAnsi="Courier New"/>
      </w:rPr>
    </w:lvl>
    <w:lvl w:ilvl="8" w:tplc="464414E4">
      <w:start w:val="1"/>
      <w:numFmt w:val="bullet"/>
      <w:lvlText w:val=""/>
      <w:lvlJc w:val="left"/>
      <w:pPr>
        <w:ind w:left="6480" w:hanging="360"/>
      </w:pPr>
      <w:rPr>
        <w:rFonts w:hint="default" w:ascii="Wingdings" w:hAnsi="Wingdings"/>
      </w:rPr>
    </w:lvl>
  </w:abstractNum>
  <w:abstractNum w:abstractNumId="23"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hint="default" w:ascii="Wingdings" w:hAnsi="Wingdings"/>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4" w15:restartNumberingAfterBreak="0">
    <w:nsid w:val="658908B0"/>
    <w:multiLevelType w:val="hybridMultilevel"/>
    <w:tmpl w:val="D55CDE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661634C7"/>
    <w:multiLevelType w:val="hybridMultilevel"/>
    <w:tmpl w:val="DAB848A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6" w15:restartNumberingAfterBreak="0">
    <w:nsid w:val="6CD45689"/>
    <w:multiLevelType w:val="hybridMultilevel"/>
    <w:tmpl w:val="EA1600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FBC5E52"/>
    <w:multiLevelType w:val="hybridMultilevel"/>
    <w:tmpl w:val="98B6ED7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75657143"/>
    <w:multiLevelType w:val="hybridMultilevel"/>
    <w:tmpl w:val="A99C669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0"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hint="default" w:ascii="ZapfDingbats" w:hAnsi="ZapfDingbats"/>
        <w:b/>
        <w:i w:val="0"/>
        <w:color w:val="70CEF5"/>
        <w:sz w:val="20"/>
        <w:szCs w:val="20"/>
      </w:rPr>
    </w:lvl>
    <w:lvl w:ilvl="1" w:tplc="B122EC74">
      <w:start w:val="1"/>
      <w:numFmt w:val="bullet"/>
      <w:lvlText w:val="o"/>
      <w:lvlJc w:val="left"/>
      <w:pPr>
        <w:tabs>
          <w:tab w:val="num" w:pos="1440"/>
        </w:tabs>
        <w:ind w:left="1440" w:hanging="360"/>
      </w:pPr>
      <w:rPr>
        <w:rFonts w:hint="default" w:ascii="Courier New" w:hAnsi="Courier New" w:cs="Courier New"/>
      </w:rPr>
    </w:lvl>
    <w:lvl w:ilvl="2" w:tplc="B6EAC6D0">
      <w:start w:val="1"/>
      <w:numFmt w:val="bullet"/>
      <w:lvlText w:val=""/>
      <w:lvlJc w:val="left"/>
      <w:pPr>
        <w:tabs>
          <w:tab w:val="num" w:pos="2160"/>
        </w:tabs>
        <w:ind w:left="2160" w:hanging="360"/>
      </w:pPr>
      <w:rPr>
        <w:rFonts w:hint="default" w:ascii="Wingdings" w:hAnsi="Wingdings"/>
      </w:rPr>
    </w:lvl>
    <w:lvl w:ilvl="3" w:tplc="D39698A0">
      <w:start w:val="1"/>
      <w:numFmt w:val="bullet"/>
      <w:lvlText w:val=""/>
      <w:lvlJc w:val="left"/>
      <w:pPr>
        <w:tabs>
          <w:tab w:val="num" w:pos="2880"/>
        </w:tabs>
        <w:ind w:left="2880" w:hanging="360"/>
      </w:pPr>
      <w:rPr>
        <w:rFonts w:hint="default" w:ascii="Symbol" w:hAnsi="Symbol"/>
      </w:rPr>
    </w:lvl>
    <w:lvl w:ilvl="4" w:tplc="BDFE28CC">
      <w:start w:val="1"/>
      <w:numFmt w:val="bullet"/>
      <w:lvlText w:val="o"/>
      <w:lvlJc w:val="left"/>
      <w:pPr>
        <w:tabs>
          <w:tab w:val="num" w:pos="3600"/>
        </w:tabs>
        <w:ind w:left="3600" w:hanging="360"/>
      </w:pPr>
      <w:rPr>
        <w:rFonts w:hint="default" w:ascii="Courier New" w:hAnsi="Courier New" w:cs="Courier New"/>
      </w:rPr>
    </w:lvl>
    <w:lvl w:ilvl="5" w:tplc="610C991A">
      <w:start w:val="1"/>
      <w:numFmt w:val="bullet"/>
      <w:lvlText w:val=""/>
      <w:lvlJc w:val="left"/>
      <w:pPr>
        <w:tabs>
          <w:tab w:val="num" w:pos="4320"/>
        </w:tabs>
        <w:ind w:left="4320" w:hanging="360"/>
      </w:pPr>
      <w:rPr>
        <w:rFonts w:hint="default" w:ascii="Wingdings" w:hAnsi="Wingdings"/>
      </w:rPr>
    </w:lvl>
    <w:lvl w:ilvl="6" w:tplc="E65A93D0">
      <w:start w:val="1"/>
      <w:numFmt w:val="bullet"/>
      <w:lvlText w:val=""/>
      <w:lvlJc w:val="left"/>
      <w:pPr>
        <w:tabs>
          <w:tab w:val="num" w:pos="5040"/>
        </w:tabs>
        <w:ind w:left="5040" w:hanging="360"/>
      </w:pPr>
      <w:rPr>
        <w:rFonts w:hint="default" w:ascii="Symbol" w:hAnsi="Symbol"/>
      </w:rPr>
    </w:lvl>
    <w:lvl w:ilvl="7" w:tplc="24007A9A">
      <w:start w:val="1"/>
      <w:numFmt w:val="bullet"/>
      <w:lvlText w:val="o"/>
      <w:lvlJc w:val="left"/>
      <w:pPr>
        <w:tabs>
          <w:tab w:val="num" w:pos="5760"/>
        </w:tabs>
        <w:ind w:left="5760" w:hanging="360"/>
      </w:pPr>
      <w:rPr>
        <w:rFonts w:hint="default" w:ascii="Courier New" w:hAnsi="Courier New" w:cs="Courier New"/>
      </w:rPr>
    </w:lvl>
    <w:lvl w:ilvl="8" w:tplc="E1E49F66">
      <w:start w:val="1"/>
      <w:numFmt w:val="bullet"/>
      <w:lvlText w:val=""/>
      <w:lvlJc w:val="left"/>
      <w:pPr>
        <w:tabs>
          <w:tab w:val="num" w:pos="6480"/>
        </w:tabs>
        <w:ind w:left="6480" w:hanging="360"/>
      </w:pPr>
      <w:rPr>
        <w:rFonts w:hint="default" w:ascii="Wingdings" w:hAnsi="Wingdings"/>
      </w:rPr>
    </w:lvl>
  </w:abstractNum>
  <w:num w:numId="1" w16cid:durableId="41441684">
    <w:abstractNumId w:val="22"/>
  </w:num>
  <w:num w:numId="2" w16cid:durableId="1105418703">
    <w:abstractNumId w:val="0"/>
  </w:num>
  <w:num w:numId="3" w16cid:durableId="330642719">
    <w:abstractNumId w:val="16"/>
  </w:num>
  <w:num w:numId="4" w16cid:durableId="847864803">
    <w:abstractNumId w:val="13"/>
  </w:num>
  <w:num w:numId="5" w16cid:durableId="1139104015">
    <w:abstractNumId w:val="14"/>
  </w:num>
  <w:num w:numId="6" w16cid:durableId="1677687605">
    <w:abstractNumId w:val="8"/>
  </w:num>
  <w:num w:numId="7" w16cid:durableId="1679574731">
    <w:abstractNumId w:val="15"/>
  </w:num>
  <w:num w:numId="8" w16cid:durableId="649287844">
    <w:abstractNumId w:val="21"/>
  </w:num>
  <w:num w:numId="9" w16cid:durableId="1524904629">
    <w:abstractNumId w:val="9"/>
  </w:num>
  <w:num w:numId="10" w16cid:durableId="348023288">
    <w:abstractNumId w:val="17"/>
  </w:num>
  <w:num w:numId="11" w16cid:durableId="610355677">
    <w:abstractNumId w:val="23"/>
  </w:num>
  <w:num w:numId="12" w16cid:durableId="2048990998">
    <w:abstractNumId w:val="31"/>
  </w:num>
  <w:num w:numId="13" w16cid:durableId="10567052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9316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341422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5492877">
    <w:abstractNumId w:val="28"/>
  </w:num>
  <w:num w:numId="17" w16cid:durableId="2049254094">
    <w:abstractNumId w:val="5"/>
  </w:num>
  <w:num w:numId="18" w16cid:durableId="1697542927">
    <w:abstractNumId w:val="20"/>
  </w:num>
  <w:num w:numId="19" w16cid:durableId="1623069378">
    <w:abstractNumId w:val="30"/>
  </w:num>
  <w:num w:numId="20" w16cid:durableId="1651325490">
    <w:abstractNumId w:val="7"/>
  </w:num>
  <w:num w:numId="21" w16cid:durableId="1026251686">
    <w:abstractNumId w:val="1"/>
  </w:num>
  <w:num w:numId="22" w16cid:durableId="723795028">
    <w:abstractNumId w:val="18"/>
    <w:lvlOverride w:ilvl="0">
      <w:startOverride w:val="1"/>
    </w:lvlOverride>
  </w:num>
  <w:num w:numId="23" w16cid:durableId="857159305">
    <w:abstractNumId w:val="2"/>
  </w:num>
  <w:num w:numId="24" w16cid:durableId="1482960217">
    <w:abstractNumId w:val="6"/>
  </w:num>
  <w:num w:numId="25" w16cid:durableId="1559241310">
    <w:abstractNumId w:val="4"/>
  </w:num>
  <w:num w:numId="26" w16cid:durableId="918054336">
    <w:abstractNumId w:val="12"/>
  </w:num>
  <w:num w:numId="27" w16cid:durableId="1270818118">
    <w:abstractNumId w:val="24"/>
  </w:num>
  <w:num w:numId="28" w16cid:durableId="384960665">
    <w:abstractNumId w:val="26"/>
  </w:num>
  <w:num w:numId="29" w16cid:durableId="397899059">
    <w:abstractNumId w:val="10"/>
  </w:num>
  <w:num w:numId="30" w16cid:durableId="103814481">
    <w:abstractNumId w:val="25"/>
  </w:num>
  <w:num w:numId="31" w16cid:durableId="1952080781">
    <w:abstractNumId w:val="29"/>
  </w:num>
  <w:num w:numId="32" w16cid:durableId="1650473112">
    <w:abstractNumId w:val="27"/>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doNotDisplayPageBoundaries/>
  <w:printFractionalCharacterWidth/>
  <w:bordersDoNotSurroundHeader/>
  <w:bordersDoNotSurroundFooter/>
  <w:activeWritingStyle w:lang="en-US" w:vendorID="64" w:dllVersion="0" w:nlCheck="1" w:checkStyle="0" w:appName="MSWord"/>
  <w:activeWritingStyle w:lang="en-GB" w:vendorID="64" w:dllVersion="0" w:nlCheck="1" w:checkStyle="0" w:appName="MSWord"/>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63D0"/>
    <w:rsid w:val="00017038"/>
    <w:rsid w:val="000179D1"/>
    <w:rsid w:val="000200F0"/>
    <w:rsid w:val="0002084C"/>
    <w:rsid w:val="000212A2"/>
    <w:rsid w:val="00021FEB"/>
    <w:rsid w:val="00022116"/>
    <w:rsid w:val="000226EB"/>
    <w:rsid w:val="000229C4"/>
    <w:rsid w:val="00022DA7"/>
    <w:rsid w:val="000238DA"/>
    <w:rsid w:val="000244B4"/>
    <w:rsid w:val="000247D1"/>
    <w:rsid w:val="00025301"/>
    <w:rsid w:val="00025408"/>
    <w:rsid w:val="0002564D"/>
    <w:rsid w:val="00025ECA"/>
    <w:rsid w:val="0002600C"/>
    <w:rsid w:val="00027939"/>
    <w:rsid w:val="000302A3"/>
    <w:rsid w:val="0003063B"/>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A07"/>
    <w:rsid w:val="00052AC2"/>
    <w:rsid w:val="000534E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3F8D"/>
    <w:rsid w:val="0007519E"/>
    <w:rsid w:val="00076014"/>
    <w:rsid w:val="0007608F"/>
    <w:rsid w:val="0007615C"/>
    <w:rsid w:val="00077E5F"/>
    <w:rsid w:val="0008020C"/>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772"/>
    <w:rsid w:val="000A2B96"/>
    <w:rsid w:val="000A32DC"/>
    <w:rsid w:val="000A389B"/>
    <w:rsid w:val="000A4941"/>
    <w:rsid w:val="000A56F2"/>
    <w:rsid w:val="000A5FA7"/>
    <w:rsid w:val="000A6188"/>
    <w:rsid w:val="000A6974"/>
    <w:rsid w:val="000A72D6"/>
    <w:rsid w:val="000B0146"/>
    <w:rsid w:val="000B1A38"/>
    <w:rsid w:val="000B2719"/>
    <w:rsid w:val="000B3A8F"/>
    <w:rsid w:val="000B4AB9"/>
    <w:rsid w:val="000B58C3"/>
    <w:rsid w:val="000B5CD3"/>
    <w:rsid w:val="000B61E9"/>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6A5"/>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CAD"/>
    <w:rsid w:val="00176F67"/>
    <w:rsid w:val="00177795"/>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B20"/>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64FF"/>
    <w:rsid w:val="00217C84"/>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3115"/>
    <w:rsid w:val="002531A3"/>
    <w:rsid w:val="00253A77"/>
    <w:rsid w:val="00253F49"/>
    <w:rsid w:val="002542E4"/>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0A0F"/>
    <w:rsid w:val="00291C07"/>
    <w:rsid w:val="002921E6"/>
    <w:rsid w:val="00292560"/>
    <w:rsid w:val="00292EB7"/>
    <w:rsid w:val="00293328"/>
    <w:rsid w:val="00293817"/>
    <w:rsid w:val="002950B5"/>
    <w:rsid w:val="00295399"/>
    <w:rsid w:val="0029561E"/>
    <w:rsid w:val="00295921"/>
    <w:rsid w:val="00295C79"/>
    <w:rsid w:val="00296227"/>
    <w:rsid w:val="002969F6"/>
    <w:rsid w:val="00296F44"/>
    <w:rsid w:val="0029739C"/>
    <w:rsid w:val="0029777D"/>
    <w:rsid w:val="00297B6D"/>
    <w:rsid w:val="00297C35"/>
    <w:rsid w:val="00297E00"/>
    <w:rsid w:val="002A02FD"/>
    <w:rsid w:val="002A055E"/>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38E"/>
    <w:rsid w:val="002B2432"/>
    <w:rsid w:val="002B24D6"/>
    <w:rsid w:val="002B361C"/>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AA"/>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BA1"/>
    <w:rsid w:val="003106F5"/>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405A9"/>
    <w:rsid w:val="003409B2"/>
    <w:rsid w:val="00341CE2"/>
    <w:rsid w:val="00342BD7"/>
    <w:rsid w:val="00343A07"/>
    <w:rsid w:val="00345015"/>
    <w:rsid w:val="00345333"/>
    <w:rsid w:val="00345B74"/>
    <w:rsid w:val="00346DB5"/>
    <w:rsid w:val="003476F9"/>
    <w:rsid w:val="003477B1"/>
    <w:rsid w:val="00347968"/>
    <w:rsid w:val="00347AAD"/>
    <w:rsid w:val="00350AA0"/>
    <w:rsid w:val="00351671"/>
    <w:rsid w:val="003521FD"/>
    <w:rsid w:val="003526D5"/>
    <w:rsid w:val="00352ADF"/>
    <w:rsid w:val="00352B16"/>
    <w:rsid w:val="00352E34"/>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0FC"/>
    <w:rsid w:val="00370300"/>
    <w:rsid w:val="003703C6"/>
    <w:rsid w:val="00370E47"/>
    <w:rsid w:val="0037104F"/>
    <w:rsid w:val="0037175B"/>
    <w:rsid w:val="00371A50"/>
    <w:rsid w:val="00372B5A"/>
    <w:rsid w:val="0037313D"/>
    <w:rsid w:val="003739D8"/>
    <w:rsid w:val="00373BA9"/>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7DDC"/>
    <w:rsid w:val="0039016E"/>
    <w:rsid w:val="00390826"/>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61BF"/>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12D1"/>
    <w:rsid w:val="00402E2B"/>
    <w:rsid w:val="00402F5D"/>
    <w:rsid w:val="004031DE"/>
    <w:rsid w:val="00403A7E"/>
    <w:rsid w:val="00404D0A"/>
    <w:rsid w:val="0040512B"/>
    <w:rsid w:val="00405BA5"/>
    <w:rsid w:val="00405CA5"/>
    <w:rsid w:val="00406038"/>
    <w:rsid w:val="004071F0"/>
    <w:rsid w:val="00407A72"/>
    <w:rsid w:val="00407AE9"/>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2189"/>
    <w:rsid w:val="00422190"/>
    <w:rsid w:val="00423521"/>
    <w:rsid w:val="00423687"/>
    <w:rsid w:val="004238C9"/>
    <w:rsid w:val="004241FD"/>
    <w:rsid w:val="004242F4"/>
    <w:rsid w:val="00424F3F"/>
    <w:rsid w:val="004257D7"/>
    <w:rsid w:val="00425889"/>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4D4C"/>
    <w:rsid w:val="004550CD"/>
    <w:rsid w:val="00455145"/>
    <w:rsid w:val="00455E45"/>
    <w:rsid w:val="00456C36"/>
    <w:rsid w:val="00457481"/>
    <w:rsid w:val="00457565"/>
    <w:rsid w:val="00457976"/>
    <w:rsid w:val="00457AD4"/>
    <w:rsid w:val="00457B71"/>
    <w:rsid w:val="00460334"/>
    <w:rsid w:val="004609A3"/>
    <w:rsid w:val="00460D3C"/>
    <w:rsid w:val="004617F6"/>
    <w:rsid w:val="00461B0C"/>
    <w:rsid w:val="00461E1B"/>
    <w:rsid w:val="00462755"/>
    <w:rsid w:val="004627AF"/>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5000AF"/>
    <w:rsid w:val="00500E06"/>
    <w:rsid w:val="00501540"/>
    <w:rsid w:val="00502025"/>
    <w:rsid w:val="00502D73"/>
    <w:rsid w:val="0050308B"/>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DD7"/>
    <w:rsid w:val="00565D18"/>
    <w:rsid w:val="0056617B"/>
    <w:rsid w:val="005663D5"/>
    <w:rsid w:val="005664CA"/>
    <w:rsid w:val="005665C5"/>
    <w:rsid w:val="0056733A"/>
    <w:rsid w:val="00567CCF"/>
    <w:rsid w:val="005702FB"/>
    <w:rsid w:val="005705A2"/>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58C"/>
    <w:rsid w:val="005C083C"/>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4F67"/>
    <w:rsid w:val="006250F2"/>
    <w:rsid w:val="006251C7"/>
    <w:rsid w:val="00626388"/>
    <w:rsid w:val="0062725E"/>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9110B"/>
    <w:rsid w:val="0069251C"/>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B2E"/>
    <w:rsid w:val="006C339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3B9D"/>
    <w:rsid w:val="00734801"/>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6E"/>
    <w:rsid w:val="007457F6"/>
    <w:rsid w:val="007458F5"/>
    <w:rsid w:val="00746BF1"/>
    <w:rsid w:val="00746D5C"/>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7013F"/>
    <w:rsid w:val="007708DF"/>
    <w:rsid w:val="007710B7"/>
    <w:rsid w:val="00771371"/>
    <w:rsid w:val="007717B7"/>
    <w:rsid w:val="007717C0"/>
    <w:rsid w:val="00771DE9"/>
    <w:rsid w:val="007730BD"/>
    <w:rsid w:val="00773C0A"/>
    <w:rsid w:val="00774CB0"/>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4B5F"/>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306F"/>
    <w:rsid w:val="007A3647"/>
    <w:rsid w:val="007A43A6"/>
    <w:rsid w:val="007A495C"/>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64B9"/>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605F"/>
    <w:rsid w:val="00806CEA"/>
    <w:rsid w:val="00806D00"/>
    <w:rsid w:val="00806F4B"/>
    <w:rsid w:val="0080763E"/>
    <w:rsid w:val="00807786"/>
    <w:rsid w:val="008102E6"/>
    <w:rsid w:val="008104DC"/>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EDE"/>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14F"/>
    <w:rsid w:val="00846723"/>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D89"/>
    <w:rsid w:val="008850EF"/>
    <w:rsid w:val="00885820"/>
    <w:rsid w:val="0088638F"/>
    <w:rsid w:val="00886784"/>
    <w:rsid w:val="00886A69"/>
    <w:rsid w:val="00886CEF"/>
    <w:rsid w:val="0088730D"/>
    <w:rsid w:val="008878B2"/>
    <w:rsid w:val="0089067A"/>
    <w:rsid w:val="00891466"/>
    <w:rsid w:val="00891B88"/>
    <w:rsid w:val="008929DB"/>
    <w:rsid w:val="008935D9"/>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6991"/>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6E73"/>
    <w:rsid w:val="009170FD"/>
    <w:rsid w:val="00917468"/>
    <w:rsid w:val="00917776"/>
    <w:rsid w:val="00917CE9"/>
    <w:rsid w:val="00920BF2"/>
    <w:rsid w:val="00922010"/>
    <w:rsid w:val="0092314B"/>
    <w:rsid w:val="00923A4E"/>
    <w:rsid w:val="00923D67"/>
    <w:rsid w:val="00924DAC"/>
    <w:rsid w:val="009252AA"/>
    <w:rsid w:val="009265E0"/>
    <w:rsid w:val="00926913"/>
    <w:rsid w:val="00926BF5"/>
    <w:rsid w:val="00926FEF"/>
    <w:rsid w:val="0092740D"/>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BF0"/>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30A"/>
    <w:rsid w:val="00964919"/>
    <w:rsid w:val="009649F4"/>
    <w:rsid w:val="009652F7"/>
    <w:rsid w:val="0096548A"/>
    <w:rsid w:val="0096554B"/>
    <w:rsid w:val="0096584A"/>
    <w:rsid w:val="00965E60"/>
    <w:rsid w:val="00966D80"/>
    <w:rsid w:val="00966F0D"/>
    <w:rsid w:val="00970C11"/>
    <w:rsid w:val="00970C44"/>
    <w:rsid w:val="00971898"/>
    <w:rsid w:val="00971C28"/>
    <w:rsid w:val="00971F08"/>
    <w:rsid w:val="0097256C"/>
    <w:rsid w:val="0097266D"/>
    <w:rsid w:val="00973057"/>
    <w:rsid w:val="00974CDA"/>
    <w:rsid w:val="00975113"/>
    <w:rsid w:val="009753B1"/>
    <w:rsid w:val="0097603D"/>
    <w:rsid w:val="00976949"/>
    <w:rsid w:val="0097720D"/>
    <w:rsid w:val="00977ACF"/>
    <w:rsid w:val="00980477"/>
    <w:rsid w:val="00980493"/>
    <w:rsid w:val="00980C74"/>
    <w:rsid w:val="00981623"/>
    <w:rsid w:val="00981A92"/>
    <w:rsid w:val="0098201E"/>
    <w:rsid w:val="00982984"/>
    <w:rsid w:val="00983176"/>
    <w:rsid w:val="00984714"/>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C02B6"/>
    <w:rsid w:val="009C0A6B"/>
    <w:rsid w:val="009C0F3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3DC5"/>
    <w:rsid w:val="00A94311"/>
    <w:rsid w:val="00A9442A"/>
    <w:rsid w:val="00A94666"/>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CF8"/>
    <w:rsid w:val="00AD1E34"/>
    <w:rsid w:val="00AD22F7"/>
    <w:rsid w:val="00AD2496"/>
    <w:rsid w:val="00AD2B26"/>
    <w:rsid w:val="00AD3069"/>
    <w:rsid w:val="00AD388C"/>
    <w:rsid w:val="00AD3F90"/>
    <w:rsid w:val="00AD3F94"/>
    <w:rsid w:val="00AD4667"/>
    <w:rsid w:val="00AD4A5A"/>
    <w:rsid w:val="00AD5754"/>
    <w:rsid w:val="00AD5C36"/>
    <w:rsid w:val="00AD6192"/>
    <w:rsid w:val="00AD67FE"/>
    <w:rsid w:val="00AD6CE0"/>
    <w:rsid w:val="00AD746D"/>
    <w:rsid w:val="00AD74B4"/>
    <w:rsid w:val="00AE138B"/>
    <w:rsid w:val="00AE1904"/>
    <w:rsid w:val="00AE1AEC"/>
    <w:rsid w:val="00AE1C83"/>
    <w:rsid w:val="00AE27AC"/>
    <w:rsid w:val="00AE27E4"/>
    <w:rsid w:val="00AE2D11"/>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21E6"/>
    <w:rsid w:val="00B54B9C"/>
    <w:rsid w:val="00B5592B"/>
    <w:rsid w:val="00B56296"/>
    <w:rsid w:val="00B5681C"/>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6FC"/>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0D5"/>
    <w:rsid w:val="00C12107"/>
    <w:rsid w:val="00C128BE"/>
    <w:rsid w:val="00C13452"/>
    <w:rsid w:val="00C134A0"/>
    <w:rsid w:val="00C14115"/>
    <w:rsid w:val="00C148E9"/>
    <w:rsid w:val="00C14B88"/>
    <w:rsid w:val="00C14D4B"/>
    <w:rsid w:val="00C154BB"/>
    <w:rsid w:val="00C1589D"/>
    <w:rsid w:val="00C15B66"/>
    <w:rsid w:val="00C15D75"/>
    <w:rsid w:val="00C1642C"/>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70697"/>
    <w:rsid w:val="00C70F33"/>
    <w:rsid w:val="00C71AC5"/>
    <w:rsid w:val="00C721A3"/>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32A"/>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005"/>
    <w:rsid w:val="00CC5E23"/>
    <w:rsid w:val="00CC7B45"/>
    <w:rsid w:val="00CC7C09"/>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561"/>
    <w:rsid w:val="00CE758E"/>
    <w:rsid w:val="00CE7612"/>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1742A"/>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3AF"/>
    <w:rsid w:val="00D35643"/>
    <w:rsid w:val="00D35793"/>
    <w:rsid w:val="00D35B02"/>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D32"/>
    <w:rsid w:val="00D91F65"/>
    <w:rsid w:val="00D92982"/>
    <w:rsid w:val="00D935C6"/>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5F5F"/>
    <w:rsid w:val="00DA69D7"/>
    <w:rsid w:val="00DA6A0A"/>
    <w:rsid w:val="00DA6BEF"/>
    <w:rsid w:val="00DA6CA1"/>
    <w:rsid w:val="00DA73BC"/>
    <w:rsid w:val="00DB00F8"/>
    <w:rsid w:val="00DB0A9F"/>
    <w:rsid w:val="00DB1221"/>
    <w:rsid w:val="00DB377D"/>
    <w:rsid w:val="00DB37A7"/>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B20"/>
    <w:rsid w:val="00E1257F"/>
    <w:rsid w:val="00E12837"/>
    <w:rsid w:val="00E138EA"/>
    <w:rsid w:val="00E13983"/>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A0A93"/>
    <w:rsid w:val="00EA145C"/>
    <w:rsid w:val="00EA172E"/>
    <w:rsid w:val="00EA1940"/>
    <w:rsid w:val="00EA33B1"/>
    <w:rsid w:val="00EA4B49"/>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EA2"/>
    <w:rsid w:val="00EB53CA"/>
    <w:rsid w:val="00EB54ED"/>
    <w:rsid w:val="00EB5636"/>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E0A8F"/>
    <w:rsid w:val="00EE1309"/>
    <w:rsid w:val="00EE1E64"/>
    <w:rsid w:val="00EE1E92"/>
    <w:rsid w:val="00EE1EE2"/>
    <w:rsid w:val="00EE267E"/>
    <w:rsid w:val="00EE34A9"/>
    <w:rsid w:val="00EE392C"/>
    <w:rsid w:val="00EE4026"/>
    <w:rsid w:val="00EE49D4"/>
    <w:rsid w:val="00EE4B5E"/>
    <w:rsid w:val="00EE4DF7"/>
    <w:rsid w:val="00EE4E1C"/>
    <w:rsid w:val="00EE7F85"/>
    <w:rsid w:val="00EF08AA"/>
    <w:rsid w:val="00EF18FE"/>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40ABA"/>
    <w:rsid w:val="00F40F0C"/>
    <w:rsid w:val="00F41518"/>
    <w:rsid w:val="00F41E63"/>
    <w:rsid w:val="00F42123"/>
    <w:rsid w:val="00F429C3"/>
    <w:rsid w:val="00F4364C"/>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E02"/>
    <w:rsid w:val="00F67F53"/>
    <w:rsid w:val="00F70072"/>
    <w:rsid w:val="00F7020E"/>
    <w:rsid w:val="00F703BE"/>
    <w:rsid w:val="00F70F3C"/>
    <w:rsid w:val="00F71F69"/>
    <w:rsid w:val="00F72052"/>
    <w:rsid w:val="00F72322"/>
    <w:rsid w:val="00F72B72"/>
    <w:rsid w:val="00F73345"/>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49A7"/>
    <w:rsid w:val="00FF5C91"/>
    <w:rsid w:val="00FF606A"/>
    <w:rsid w:val="00FF62AE"/>
    <w:rsid w:val="00FF6AB8"/>
    <w:rsid w:val="00FF6E8B"/>
    <w:rsid w:val="03E41B24"/>
    <w:rsid w:val="044FCEBB"/>
    <w:rsid w:val="0496F0B9"/>
    <w:rsid w:val="0607814E"/>
    <w:rsid w:val="06D8B70F"/>
    <w:rsid w:val="07876F7D"/>
    <w:rsid w:val="081706BD"/>
    <w:rsid w:val="09439610"/>
    <w:rsid w:val="0A21EB72"/>
    <w:rsid w:val="0FA0C7DC"/>
    <w:rsid w:val="11FEF9AE"/>
    <w:rsid w:val="120C6BF9"/>
    <w:rsid w:val="130897E6"/>
    <w:rsid w:val="13BDE517"/>
    <w:rsid w:val="1A1165EB"/>
    <w:rsid w:val="1A2440A0"/>
    <w:rsid w:val="1C3F65DF"/>
    <w:rsid w:val="1DA641F2"/>
    <w:rsid w:val="1E7BBBCA"/>
    <w:rsid w:val="1EF1F735"/>
    <w:rsid w:val="209C681F"/>
    <w:rsid w:val="210E95FE"/>
    <w:rsid w:val="22CB8EBD"/>
    <w:rsid w:val="23E67CDA"/>
    <w:rsid w:val="24CB478D"/>
    <w:rsid w:val="256DFAC0"/>
    <w:rsid w:val="261E4E13"/>
    <w:rsid w:val="28EA70FE"/>
    <w:rsid w:val="295A2ECD"/>
    <w:rsid w:val="2995EABA"/>
    <w:rsid w:val="2A2A2208"/>
    <w:rsid w:val="2CA3E6FE"/>
    <w:rsid w:val="2F17631C"/>
    <w:rsid w:val="3045607F"/>
    <w:rsid w:val="309F2EA8"/>
    <w:rsid w:val="30B4D0B4"/>
    <w:rsid w:val="330BD6E3"/>
    <w:rsid w:val="348FB4FB"/>
    <w:rsid w:val="3648F031"/>
    <w:rsid w:val="3894BB86"/>
    <w:rsid w:val="38AC62F7"/>
    <w:rsid w:val="38E0E85D"/>
    <w:rsid w:val="3A4AED2D"/>
    <w:rsid w:val="3AF7E4AF"/>
    <w:rsid w:val="3E3288E3"/>
    <w:rsid w:val="3FD5DB5D"/>
    <w:rsid w:val="4076DEA3"/>
    <w:rsid w:val="43ED371C"/>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CE5AC6"/>
    <w:rsid w:val="545AF80A"/>
    <w:rsid w:val="54DFD3FE"/>
    <w:rsid w:val="557CFF89"/>
    <w:rsid w:val="58456E61"/>
    <w:rsid w:val="58CA2989"/>
    <w:rsid w:val="59A39314"/>
    <w:rsid w:val="5D9D9AAC"/>
    <w:rsid w:val="5F97A740"/>
    <w:rsid w:val="600E24A0"/>
    <w:rsid w:val="618CB87B"/>
    <w:rsid w:val="67D1ACCF"/>
    <w:rsid w:val="68244409"/>
    <w:rsid w:val="685CFE84"/>
    <w:rsid w:val="685F9634"/>
    <w:rsid w:val="6C2F6603"/>
    <w:rsid w:val="6CCAFB48"/>
    <w:rsid w:val="6DBD1123"/>
    <w:rsid w:val="6DC3FCD2"/>
    <w:rsid w:val="6EA78169"/>
    <w:rsid w:val="7189B3E8"/>
    <w:rsid w:val="71EB1E0F"/>
    <w:rsid w:val="74F170D1"/>
    <w:rsid w:val="751E89E2"/>
    <w:rsid w:val="770D1FFF"/>
    <w:rsid w:val="778288F5"/>
    <w:rsid w:val="78D20E92"/>
    <w:rsid w:val="799055F3"/>
    <w:rsid w:val="7A414D06"/>
    <w:rsid w:val="7B00EE24"/>
    <w:rsid w:val="7CCED298"/>
    <w:rsid w:val="7E56D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148B9B"/>
  <w15:docId w15:val="{12118BD4-D344-49B0-88E8-1464282498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Placeholder Text" w:uiPriority="99"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color="auto" w:sz="0" w:space="0"/>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styleId="3GPPHeader" w:customStyle="1">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styleId="EQ" w:customStyle="1">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styleId="EditorsNote" w:customStyle="1">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styleId="Reference" w:customStyle="1">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styleId="Heading1Char" w:customStyle="1">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styleId="B10" w:customStyle="1">
    <w:name w:val="B1"/>
    <w:basedOn w:val="List"/>
    <w:link w:val="B1Char1"/>
    <w:qFormat/>
    <w:rsid w:val="00317B01"/>
    <w:pPr>
      <w:spacing w:after="180"/>
      <w:jc w:val="left"/>
    </w:pPr>
    <w:rPr>
      <w:lang w:eastAsia="en-US"/>
    </w:rPr>
  </w:style>
  <w:style w:type="paragraph" w:styleId="B2" w:customStyle="1">
    <w:name w:val="B2"/>
    <w:basedOn w:val="List2"/>
    <w:link w:val="B2Char"/>
    <w:qFormat/>
    <w:rsid w:val="00317B01"/>
    <w:pPr>
      <w:spacing w:after="180"/>
      <w:jc w:val="left"/>
    </w:pPr>
    <w:rPr>
      <w:lang w:eastAsia="en-US"/>
    </w:rPr>
  </w:style>
  <w:style w:type="paragraph" w:styleId="B3" w:customStyle="1">
    <w:name w:val="B3"/>
    <w:basedOn w:val="List3"/>
    <w:link w:val="B3Char2"/>
    <w:rsid w:val="00317B01"/>
    <w:pPr>
      <w:spacing w:after="180"/>
      <w:jc w:val="left"/>
    </w:pPr>
    <w:rPr>
      <w:lang w:eastAsia="en-US"/>
    </w:rPr>
  </w:style>
  <w:style w:type="paragraph" w:styleId="B4" w:customStyle="1">
    <w:name w:val="B4"/>
    <w:basedOn w:val="List4"/>
    <w:link w:val="B4Char"/>
    <w:rsid w:val="00317B01"/>
    <w:pPr>
      <w:spacing w:after="180"/>
      <w:jc w:val="left"/>
    </w:pPr>
    <w:rPr>
      <w:lang w:eastAsia="en-US"/>
    </w:rPr>
  </w:style>
  <w:style w:type="paragraph" w:styleId="Proposal" w:customStyle="1">
    <w:name w:val="Proposal"/>
    <w:basedOn w:val="Normal"/>
    <w:link w:val="ProposalChar"/>
    <w:qFormat/>
    <w:rsid w:val="00317B01"/>
    <w:pPr>
      <w:numPr>
        <w:numId w:val="4"/>
      </w:numPr>
      <w:tabs>
        <w:tab w:val="left" w:pos="1701"/>
      </w:tabs>
    </w:pPr>
    <w:rPr>
      <w:b/>
      <w:bCs/>
    </w:rPr>
  </w:style>
  <w:style w:type="character" w:styleId="BodyTextChar" w:customStyle="1">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styleId="B5" w:customStyle="1">
    <w:name w:val="B5"/>
    <w:basedOn w:val="List5"/>
    <w:rsid w:val="00317B01"/>
    <w:pPr>
      <w:spacing w:after="180"/>
      <w:jc w:val="left"/>
    </w:pPr>
    <w:rPr>
      <w:lang w:eastAsia="en-US"/>
    </w:rPr>
  </w:style>
  <w:style w:type="paragraph" w:styleId="EX" w:customStyle="1">
    <w:name w:val="EX"/>
    <w:basedOn w:val="Normal"/>
    <w:link w:val="EXChar"/>
    <w:rsid w:val="00317B01"/>
    <w:pPr>
      <w:keepLines/>
      <w:spacing w:after="180"/>
      <w:ind w:left="1702" w:hanging="1418"/>
      <w:jc w:val="left"/>
    </w:pPr>
    <w:rPr>
      <w:lang w:eastAsia="en-US"/>
    </w:rPr>
  </w:style>
  <w:style w:type="paragraph" w:styleId="EW" w:customStyle="1">
    <w:name w:val="EW"/>
    <w:basedOn w:val="EX"/>
    <w:rsid w:val="00317B01"/>
    <w:pPr>
      <w:spacing w:after="0"/>
    </w:pPr>
  </w:style>
  <w:style w:type="paragraph" w:styleId="TAL" w:customStyle="1">
    <w:name w:val="TAL"/>
    <w:basedOn w:val="Normal"/>
    <w:link w:val="TALChar"/>
    <w:qFormat/>
    <w:rsid w:val="00317B01"/>
    <w:pPr>
      <w:keepNext/>
      <w:keepLines/>
      <w:spacing w:after="0"/>
      <w:jc w:val="left"/>
    </w:pPr>
    <w:rPr>
      <w:sz w:val="18"/>
      <w:lang w:eastAsia="en-US"/>
    </w:rPr>
  </w:style>
  <w:style w:type="paragraph" w:styleId="TAC" w:customStyle="1">
    <w:name w:val="TAC"/>
    <w:basedOn w:val="TAL"/>
    <w:link w:val="TACChar"/>
    <w:qFormat/>
    <w:rsid w:val="00317B01"/>
    <w:pPr>
      <w:jc w:val="center"/>
    </w:pPr>
  </w:style>
  <w:style w:type="paragraph" w:styleId="TAH" w:customStyle="1">
    <w:name w:val="TAH"/>
    <w:basedOn w:val="TAC"/>
    <w:link w:val="TAHChar"/>
    <w:qFormat/>
    <w:rsid w:val="00317B01"/>
    <w:rPr>
      <w:b/>
    </w:rPr>
  </w:style>
  <w:style w:type="paragraph" w:styleId="TAN" w:customStyle="1">
    <w:name w:val="TAN"/>
    <w:basedOn w:val="TAL"/>
    <w:rsid w:val="00317B01"/>
    <w:pPr>
      <w:ind w:left="851" w:hanging="851"/>
    </w:pPr>
  </w:style>
  <w:style w:type="paragraph" w:styleId="TAR" w:customStyle="1">
    <w:name w:val="TAR"/>
    <w:basedOn w:val="TAL"/>
    <w:rsid w:val="00317B01"/>
    <w:pPr>
      <w:jc w:val="right"/>
    </w:pPr>
  </w:style>
  <w:style w:type="paragraph" w:styleId="TH" w:customStyle="1">
    <w:name w:val="TH"/>
    <w:basedOn w:val="Normal"/>
    <w:link w:val="THChar"/>
    <w:qFormat/>
    <w:rsid w:val="00317B01"/>
    <w:pPr>
      <w:keepNext/>
      <w:keepLines/>
      <w:spacing w:before="60" w:after="180"/>
      <w:jc w:val="center"/>
    </w:pPr>
    <w:rPr>
      <w:b/>
      <w:lang w:eastAsia="en-US"/>
    </w:rPr>
  </w:style>
  <w:style w:type="paragraph" w:styleId="TF" w:customStyle="1">
    <w:name w:val="TF"/>
    <w:aliases w:val="left"/>
    <w:basedOn w:val="TH"/>
    <w:link w:val="TFZchn"/>
    <w:qFormat/>
    <w:rsid w:val="00317B01"/>
    <w:pPr>
      <w:keepNext w:val="0"/>
      <w:spacing w:before="0" w:after="240"/>
    </w:pPr>
  </w:style>
  <w:style w:type="paragraph" w:styleId="TT" w:customStyle="1">
    <w:name w:val="TT"/>
    <w:basedOn w:val="Heading1"/>
    <w:next w:val="Normal"/>
    <w:rsid w:val="00317B01"/>
    <w:pPr>
      <w:numPr>
        <w:numId w:val="0"/>
      </w:numPr>
      <w:ind w:left="1134" w:hanging="1134"/>
      <w:outlineLvl w:val="9"/>
    </w:pPr>
    <w:rPr>
      <w:rFonts w:cs="Times New Roman"/>
      <w:szCs w:val="20"/>
      <w:lang w:eastAsia="en-US"/>
    </w:rPr>
  </w:style>
  <w:style w:type="paragraph" w:styleId="ZA" w:customStyle="1">
    <w:name w:val="ZA"/>
    <w:rsid w:val="00317B01"/>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317B01"/>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317B01"/>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317B01"/>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317B01"/>
  </w:style>
  <w:style w:type="paragraph" w:styleId="ZH" w:customStyle="1">
    <w:name w:val="ZH"/>
    <w:rsid w:val="00317B01"/>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317B01"/>
    <w:pPr>
      <w:framePr w:wrap="notBeside" w:y="852" w:hRule="auto"/>
    </w:pPr>
    <w:rPr>
      <w:i w:val="0"/>
      <w:sz w:val="40"/>
    </w:rPr>
  </w:style>
  <w:style w:type="paragraph" w:styleId="ZU" w:customStyle="1">
    <w:name w:val="ZU"/>
    <w:rsid w:val="00317B01"/>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317B01"/>
    <w:pPr>
      <w:framePr w:wrap="notBeside" w:y="16161"/>
    </w:pPr>
  </w:style>
  <w:style w:type="paragraph" w:styleId="FP" w:customStyle="1">
    <w:name w:val="FP"/>
    <w:basedOn w:val="Normal"/>
    <w:rsid w:val="00317B01"/>
    <w:pPr>
      <w:spacing w:after="0"/>
      <w:jc w:val="left"/>
    </w:pPr>
    <w:rPr>
      <w:lang w:eastAsia="en-US"/>
    </w:rPr>
  </w:style>
  <w:style w:type="paragraph" w:styleId="Observation" w:customStyle="1">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styleId="CRCoverPage" w:customStyle="1">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styleId="NOZchn" w:customStyle="1">
    <w:name w:val="NO Zchn"/>
    <w:link w:val="NO"/>
    <w:locked/>
    <w:rsid w:val="00311B31"/>
    <w:rPr>
      <w:color w:val="000000"/>
      <w:lang w:eastAsia="ja-JP"/>
    </w:rPr>
  </w:style>
  <w:style w:type="paragraph" w:styleId="NO" w:customStyle="1">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styleId="EditorsNoteChar" w:customStyle="1">
    <w:name w:val="Editor's Note Char"/>
    <w:aliases w:val="EN Char"/>
    <w:link w:val="EditorsNote"/>
    <w:locked/>
    <w:rsid w:val="00311B31"/>
    <w:rPr>
      <w:rFonts w:ascii="Arial" w:hAnsi="Arial"/>
      <w:color w:val="FF0000"/>
      <w:lang w:val="en-GB" w:eastAsia="en-US"/>
    </w:rPr>
  </w:style>
  <w:style w:type="paragraph" w:styleId="PL" w:customStyle="1">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styleId="PLChar" w:customStyle="1">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rsid w:val="007531DB"/>
    <w:rPr>
      <w:rFonts w:ascii="Arial" w:hAnsi="Arial" w:eastAsia="MS Mincho"/>
      <w:szCs w:val="24"/>
      <w:lang w:val="en-GB" w:eastAsia="en-GB"/>
    </w:rPr>
  </w:style>
  <w:style w:type="character" w:styleId="B1Char1" w:customStyle="1">
    <w:name w:val="B1 Char1"/>
    <w:link w:val="B10"/>
    <w:qFormat/>
    <w:rsid w:val="003B2105"/>
    <w:rPr>
      <w:rFonts w:ascii="Arial" w:hAnsi="Arial"/>
      <w:lang w:val="en-GB" w:eastAsia="en-US"/>
    </w:rPr>
  </w:style>
  <w:style w:type="character" w:styleId="B1Char" w:customStyle="1">
    <w:name w:val="B1 Char"/>
    <w:rsid w:val="00CA3D41"/>
    <w:rPr>
      <w:lang w:val="en-GB" w:eastAsia="en-US"/>
    </w:rPr>
  </w:style>
  <w:style w:type="paragraph" w:styleId="DECISION" w:customStyle="1">
    <w:name w:val="DECISION"/>
    <w:basedOn w:val="Normal"/>
    <w:rsid w:val="00CA3D41"/>
    <w:pPr>
      <w:widowControl w:val="0"/>
      <w:numPr>
        <w:numId w:val="11"/>
      </w:numPr>
      <w:spacing w:before="120"/>
    </w:pPr>
    <w:rPr>
      <w:b/>
      <w:color w:val="0000FF"/>
      <w:u w:val="single"/>
      <w:lang w:eastAsia="en-US"/>
    </w:rPr>
  </w:style>
  <w:style w:type="character" w:styleId="THChar" w:customStyle="1">
    <w:name w:val="TH Char"/>
    <w:link w:val="TH"/>
    <w:qFormat/>
    <w:rsid w:val="00CA3D41"/>
    <w:rPr>
      <w:rFonts w:ascii="Arial" w:hAnsi="Arial"/>
      <w:b/>
      <w:lang w:val="en-GB" w:eastAsia="en-US"/>
    </w:rPr>
  </w:style>
  <w:style w:type="character" w:styleId="TFZchn" w:customStyle="1">
    <w:name w:val="TF Zchn"/>
    <w:link w:val="TF"/>
    <w:qFormat/>
    <w:rsid w:val="00CA3D41"/>
    <w:rPr>
      <w:rFonts w:ascii="Arial" w:hAnsi="Arial"/>
      <w:b/>
      <w:lang w:val="en-GB" w:eastAsia="en-US"/>
    </w:rPr>
  </w:style>
  <w:style w:type="character" w:styleId="TALChar" w:customStyle="1">
    <w:name w:val="TAL Char"/>
    <w:link w:val="TAL"/>
    <w:qFormat/>
    <w:rsid w:val="009871CF"/>
    <w:rPr>
      <w:rFonts w:ascii="Arial" w:hAnsi="Arial"/>
      <w:sz w:val="18"/>
      <w:lang w:val="en-GB" w:eastAsia="en-US"/>
    </w:rPr>
  </w:style>
  <w:style w:type="character" w:styleId="TAHChar" w:customStyle="1">
    <w:name w:val="TAH Char"/>
    <w:link w:val="TAH"/>
    <w:qFormat/>
    <w:rsid w:val="009871CF"/>
    <w:rPr>
      <w:rFonts w:ascii="Arial" w:hAnsi="Arial"/>
      <w:b/>
      <w:sz w:val="18"/>
      <w:lang w:val="en-GB" w:eastAsia="en-US"/>
    </w:rPr>
  </w:style>
  <w:style w:type="character" w:styleId="TFChar" w:customStyle="1">
    <w:name w:val="TF Char"/>
    <w:qFormat/>
    <w:rsid w:val="00481920"/>
    <w:rPr>
      <w:rFonts w:ascii="Arial" w:hAnsi="Arial"/>
      <w:b/>
    </w:rPr>
  </w:style>
  <w:style w:type="paragraph" w:styleId="IvDInstructiontext" w:customStyle="1">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styleId="IvDInstructiontextChar" w:customStyle="1">
    <w:name w:val="IvD Instructiontext Char"/>
    <w:link w:val="IvDInstructiontext"/>
    <w:uiPriority w:val="99"/>
    <w:rsid w:val="001D76CC"/>
    <w:rPr>
      <w:rFonts w:ascii="Arial" w:hAnsi="Arial"/>
      <w:i/>
      <w:color w:val="7F7F7F"/>
      <w:spacing w:val="2"/>
      <w:sz w:val="18"/>
      <w:szCs w:val="18"/>
      <w:lang w:eastAsia="en-US"/>
    </w:rPr>
  </w:style>
  <w:style w:type="paragraph" w:styleId="IvDbodytext" w:customStyle="1">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styleId="IvDbodytextChar" w:customStyle="1">
    <w:name w:val="IvD bodytext Char"/>
    <w:link w:val="IvDbodytext"/>
    <w:rsid w:val="001D76CC"/>
    <w:rPr>
      <w:rFonts w:ascii="Arial" w:hAnsi="Arial"/>
      <w:spacing w:val="2"/>
      <w:lang w:eastAsia="en-US"/>
    </w:rPr>
  </w:style>
  <w:style w:type="character" w:styleId="imsender33" w:customStyle="1">
    <w:name w:val="im_sender33"/>
    <w:basedOn w:val="DefaultParagraphFont"/>
    <w:rsid w:val="00797365"/>
    <w:rPr>
      <w:rFonts w:hint="default" w:ascii="Segoe UI" w:hAnsi="Segoe UI" w:cs="Segoe UI"/>
      <w:b/>
      <w:bCs/>
      <w:i w:val="0"/>
      <w:iCs w:val="0"/>
      <w:caps w:val="0"/>
      <w:smallCaps w:val="0"/>
      <w:strike w:val="0"/>
      <w:dstrike w:val="0"/>
      <w:color w:val="666666"/>
      <w:sz w:val="17"/>
      <w:szCs w:val="17"/>
      <w:u w:val="none"/>
      <w:effect w:val="none"/>
    </w:rPr>
  </w:style>
  <w:style w:type="character" w:styleId="messagetimestamp33" w:customStyle="1">
    <w:name w:val="message_timestamp33"/>
    <w:basedOn w:val="DefaultParagraphFont"/>
    <w:rsid w:val="00797365"/>
    <w:rPr>
      <w:rFonts w:hint="default" w:ascii="Segoe UI" w:hAnsi="Segoe UI" w:cs="Segoe UI"/>
      <w:b/>
      <w:bCs/>
      <w:i w:val="0"/>
      <w:iCs w:val="0"/>
      <w:caps w:val="0"/>
      <w:smallCaps w:val="0"/>
      <w:strike w:val="0"/>
      <w:dstrike w:val="0"/>
      <w:color w:val="666666"/>
      <w:sz w:val="17"/>
      <w:szCs w:val="17"/>
      <w:u w:val="none"/>
      <w:effect w:val="none"/>
    </w:rPr>
  </w:style>
  <w:style w:type="character" w:styleId="TACChar" w:customStyle="1">
    <w:name w:val="TAC Char"/>
    <w:link w:val="TAC"/>
    <w:qFormat/>
    <w:locked/>
    <w:rsid w:val="00955E64"/>
    <w:rPr>
      <w:rFonts w:ascii="Arial" w:hAnsi="Arial"/>
      <w:sz w:val="18"/>
      <w:lang w:val="en-GB" w:eastAsia="en-US"/>
    </w:rPr>
  </w:style>
  <w:style w:type="character" w:styleId="CommentTextChar" w:customStyle="1">
    <w:name w:val="Comment Text Char"/>
    <w:link w:val="CommentText"/>
    <w:qFormat/>
    <w:rsid w:val="00955E64"/>
    <w:rPr>
      <w:rFonts w:ascii="Arial" w:hAnsi="Arial"/>
      <w:lang w:val="en-GB"/>
    </w:rPr>
  </w:style>
  <w:style w:type="character" w:styleId="CRCoverPageZchn" w:customStyle="1">
    <w:name w:val="CR Cover Page Zchn"/>
    <w:link w:val="CRCoverPage"/>
    <w:locked/>
    <w:rsid w:val="00782ABD"/>
    <w:rPr>
      <w:rFonts w:ascii="Arial" w:hAnsi="Arial"/>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styleId="NormalArial" w:customStyle="1">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styleId="H6" w:customStyle="1">
    <w:name w:val="H6"/>
    <w:basedOn w:val="Heading5"/>
    <w:next w:val="Normal"/>
    <w:link w:val="H6Char"/>
    <w:rsid w:val="00E271B8"/>
    <w:pPr>
      <w:ind w:left="1985" w:hanging="1985"/>
      <w:outlineLvl w:val="9"/>
    </w:pPr>
    <w:rPr>
      <w:rFonts w:eastAsia="SimSun" w:cs="Times New Roman"/>
      <w:sz w:val="20"/>
      <w:szCs w:val="20"/>
      <w:lang w:eastAsia="x-none"/>
    </w:rPr>
  </w:style>
  <w:style w:type="paragraph" w:styleId="LD" w:customStyle="1">
    <w:name w:val="LD"/>
    <w:rsid w:val="00E271B8"/>
    <w:pPr>
      <w:keepNext/>
      <w:keepLines/>
      <w:overflowPunct w:val="0"/>
      <w:autoSpaceDE w:val="0"/>
      <w:autoSpaceDN w:val="0"/>
      <w:adjustRightInd w:val="0"/>
      <w:spacing w:line="180" w:lineRule="exact"/>
      <w:textAlignment w:val="baseline"/>
    </w:pPr>
    <w:rPr>
      <w:rFonts w:ascii="Courier New" w:hAnsi="Courier New" w:eastAsia="SimSun" w:cs="Courier New"/>
      <w:noProof/>
      <w:lang w:eastAsia="en-US"/>
    </w:rPr>
  </w:style>
  <w:style w:type="paragraph" w:styleId="NF" w:customStyle="1">
    <w:name w:val="NF"/>
    <w:basedOn w:val="NO"/>
    <w:rsid w:val="00E271B8"/>
    <w:pPr>
      <w:keepNext/>
      <w:keepLines/>
      <w:adjustRightInd w:val="0"/>
      <w:spacing w:after="0"/>
      <w:textAlignment w:val="baseline"/>
    </w:pPr>
    <w:rPr>
      <w:rFonts w:ascii="Arial" w:hAnsi="Arial" w:eastAsia="SimSun" w:cs="Arial"/>
      <w:color w:val="auto"/>
      <w:sz w:val="18"/>
      <w:szCs w:val="18"/>
      <w:lang w:val="en-GB" w:eastAsia="en-US"/>
    </w:rPr>
  </w:style>
  <w:style w:type="paragraph" w:styleId="NW" w:customStyle="1">
    <w:name w:val="NW"/>
    <w:basedOn w:val="NO"/>
    <w:rsid w:val="00E271B8"/>
    <w:pPr>
      <w:keepLines/>
      <w:adjustRightInd w:val="0"/>
      <w:spacing w:after="0"/>
      <w:textAlignment w:val="baseline"/>
    </w:pPr>
    <w:rPr>
      <w:rFonts w:ascii="Times New Roman" w:hAnsi="Times New Roman" w:eastAsia="SimSun"/>
      <w:color w:val="auto"/>
      <w:lang w:val="en-GB" w:eastAsia="en-US"/>
    </w:rPr>
  </w:style>
  <w:style w:type="paragraph" w:styleId="tdoc-header" w:customStyle="1">
    <w:name w:val="tdoc-header"/>
    <w:rsid w:val="00E271B8"/>
    <w:rPr>
      <w:rFonts w:ascii="Arial" w:hAnsi="Arial" w:eastAsia="SimSun"/>
      <w:noProof/>
      <w:sz w:val="24"/>
      <w:lang w:val="en-GB" w:eastAsia="en-US"/>
    </w:rPr>
  </w:style>
  <w:style w:type="paragraph" w:styleId="Standard1" w:customStyle="1">
    <w:name w:val="Standard1"/>
    <w:basedOn w:val="Normal"/>
    <w:link w:val="StandardZchn"/>
    <w:rsid w:val="00E271B8"/>
    <w:pPr>
      <w:jc w:val="left"/>
    </w:pPr>
    <w:rPr>
      <w:rFonts w:ascii="Times New Roman" w:hAnsi="Times New Roman" w:eastAsia="SimSun"/>
      <w:szCs w:val="22"/>
      <w:lang w:eastAsia="en-GB"/>
    </w:rPr>
  </w:style>
  <w:style w:type="character" w:styleId="StandardZchn" w:customStyle="1">
    <w:name w:val="Standard Zchn"/>
    <w:link w:val="Standard1"/>
    <w:rsid w:val="00E271B8"/>
    <w:rPr>
      <w:rFonts w:ascii="Times New Roman" w:hAnsi="Times New Roman" w:eastAsia="SimSun"/>
      <w:szCs w:val="22"/>
      <w:lang w:val="en-GB" w:eastAsia="en-GB"/>
    </w:rPr>
  </w:style>
  <w:style w:type="paragraph" w:styleId="Guidance" w:customStyle="1">
    <w:name w:val="Guidance"/>
    <w:basedOn w:val="Normal"/>
    <w:rsid w:val="00E271B8"/>
    <w:pPr>
      <w:spacing w:after="180"/>
      <w:jc w:val="left"/>
    </w:pPr>
    <w:rPr>
      <w:rFonts w:ascii="Times New Roman" w:hAnsi="Times New Roman" w:eastAsia="SimSun"/>
      <w:i/>
      <w:color w:val="0000FF"/>
      <w:lang w:eastAsia="en-US"/>
    </w:rPr>
  </w:style>
  <w:style w:type="character" w:styleId="Emphasis">
    <w:name w:val="Emphasis"/>
    <w:qFormat/>
    <w:rsid w:val="00E271B8"/>
    <w:rPr>
      <w:i/>
      <w:iCs/>
    </w:rPr>
  </w:style>
  <w:style w:type="paragraph" w:styleId="pl0" w:customStyle="1">
    <w:name w:val="pl"/>
    <w:basedOn w:val="Normal"/>
    <w:rsid w:val="00E271B8"/>
    <w:pPr>
      <w:spacing w:after="0"/>
      <w:jc w:val="left"/>
    </w:pPr>
    <w:rPr>
      <w:rFonts w:ascii="Courier New" w:hAnsi="Courier New" w:eastAsia="Batang" w:cs="Courier New"/>
      <w:sz w:val="16"/>
      <w:szCs w:val="16"/>
      <w:lang w:val="en-US" w:eastAsia="ko-KR"/>
    </w:rPr>
  </w:style>
  <w:style w:type="paragraph" w:styleId="INDENT2" w:customStyle="1">
    <w:name w:val="INDENT2"/>
    <w:basedOn w:val="Normal"/>
    <w:rsid w:val="00E271B8"/>
    <w:pPr>
      <w:spacing w:after="180"/>
      <w:ind w:left="1135" w:hanging="284"/>
      <w:jc w:val="left"/>
    </w:pPr>
    <w:rPr>
      <w:rFonts w:ascii="Times New Roman" w:hAnsi="Times New Roman" w:eastAsia="SimSun"/>
      <w:lang w:eastAsia="en-US"/>
    </w:rPr>
  </w:style>
  <w:style w:type="character" w:styleId="msoins0" w:customStyle="1">
    <w:name w:val="msoins"/>
    <w:basedOn w:val="DefaultParagraphFont"/>
    <w:rsid w:val="00E271B8"/>
  </w:style>
  <w:style w:type="paragraph" w:styleId="SpecText" w:customStyle="1">
    <w:name w:val="SpecText"/>
    <w:basedOn w:val="Normal"/>
    <w:rsid w:val="00E271B8"/>
    <w:pPr>
      <w:spacing w:after="180"/>
      <w:jc w:val="left"/>
    </w:pPr>
    <w:rPr>
      <w:rFonts w:ascii="Times New Roman" w:hAnsi="Times New Roman" w:eastAsia="Batang"/>
      <w:lang w:eastAsia="en-US"/>
    </w:rPr>
  </w:style>
  <w:style w:type="paragraph" w:styleId="ListBullet6" w:customStyle="1">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eastAsia="SimSun"/>
      <w:sz w:val="24"/>
      <w:lang w:val="en-US" w:eastAsia="en-US"/>
    </w:rPr>
  </w:style>
  <w:style w:type="character" w:styleId="TALCar" w:customStyle="1">
    <w:name w:val="TAL Car"/>
    <w:qFormat/>
    <w:rsid w:val="00E271B8"/>
    <w:rPr>
      <w:rFonts w:ascii="Arial" w:hAnsi="Arial"/>
      <w:sz w:val="18"/>
      <w:lang w:val="en-GB" w:eastAsia="en-US" w:bidi="ar-SA"/>
    </w:rPr>
  </w:style>
  <w:style w:type="character" w:styleId="msoins1" w:customStyle="1">
    <w:name w:val="msoins1"/>
    <w:basedOn w:val="DefaultParagraphFont"/>
    <w:rsid w:val="00E271B8"/>
  </w:style>
  <w:style w:type="paragraph" w:styleId="StyleTALLeft075cm" w:customStyle="1">
    <w:name w:val="Style TAL + Left:  075 cm"/>
    <w:basedOn w:val="TAL"/>
    <w:rsid w:val="00E271B8"/>
    <w:pPr>
      <w:ind w:left="425"/>
    </w:pPr>
    <w:rPr>
      <w:rFonts w:eastAsia="SimSun"/>
      <w:szCs w:val="18"/>
      <w:lang w:eastAsia="x-none"/>
    </w:rPr>
  </w:style>
  <w:style w:type="paragraph" w:styleId="TALLeft1" w:customStyle="1">
    <w:name w:val="TAL + Left:  1"/>
    <w:aliases w:val="00 cm"/>
    <w:basedOn w:val="TAL"/>
    <w:link w:val="TALLeft100cmCharChar"/>
    <w:rsid w:val="00E271B8"/>
    <w:pPr>
      <w:ind w:left="567"/>
    </w:pPr>
    <w:rPr>
      <w:rFonts w:eastAsia="SimSun"/>
      <w:szCs w:val="18"/>
      <w:lang w:eastAsia="x-none"/>
    </w:rPr>
  </w:style>
  <w:style w:type="character" w:styleId="TALLeft100cmCharChar" w:customStyle="1">
    <w:name w:val="TAL + Left:  1.00 cm Char Char"/>
    <w:basedOn w:val="TALChar"/>
    <w:link w:val="TALLeft1"/>
    <w:rsid w:val="00E271B8"/>
    <w:rPr>
      <w:rFonts w:ascii="Arial" w:hAnsi="Arial" w:eastAsia="SimSun"/>
      <w:sz w:val="18"/>
      <w:szCs w:val="18"/>
      <w:lang w:val="en-GB" w:eastAsia="x-none"/>
    </w:rPr>
  </w:style>
  <w:style w:type="paragraph" w:styleId="TALLeft125cm" w:customStyle="1">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styleId="TALLeft10" w:customStyle="1">
    <w:name w:val="TAL + Left: 1"/>
    <w:aliases w:val="50 cm"/>
    <w:basedOn w:val="TALLeft125cm"/>
    <w:rsid w:val="00E271B8"/>
    <w:pPr>
      <w:ind w:left="851"/>
    </w:pPr>
    <w:rPr>
      <w:rFonts w:eastAsia="Batang"/>
    </w:rPr>
  </w:style>
  <w:style w:type="character" w:styleId="B1Zchn" w:customStyle="1">
    <w:name w:val="B1 Zchn"/>
    <w:locked/>
    <w:rsid w:val="00E271B8"/>
    <w:rPr>
      <w:lang w:val="en-GB" w:eastAsia="en-US" w:bidi="ar-SA"/>
    </w:rPr>
  </w:style>
  <w:style w:type="character" w:styleId="DocumentMapChar" w:customStyle="1">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hAnsi="Times New Roman" w:eastAsia="SimSun"/>
      <w:lang w:val="en-GB" w:eastAsia="en-GB"/>
    </w:rPr>
  </w:style>
  <w:style w:type="character" w:styleId="TAHCar" w:customStyle="1">
    <w:name w:val="TAH Car"/>
    <w:rsid w:val="00E271B8"/>
    <w:rPr>
      <w:rFonts w:ascii="Arial" w:hAnsi="Arial"/>
      <w:b/>
      <w:sz w:val="18"/>
      <w:lang w:val="en-GB" w:eastAsia="en-US"/>
    </w:rPr>
  </w:style>
  <w:style w:type="character" w:styleId="FooterChar" w:customStyle="1">
    <w:name w:val="Footer Char"/>
    <w:link w:val="Footer"/>
    <w:qFormat/>
    <w:rsid w:val="00E271B8"/>
    <w:rPr>
      <w:rFonts w:ascii="Arial" w:hAnsi="Arial" w:cs="Arial"/>
      <w:b/>
      <w:bCs/>
      <w:i/>
      <w:iCs/>
      <w:noProof/>
      <w:sz w:val="18"/>
      <w:szCs w:val="18"/>
    </w:rPr>
  </w:style>
  <w:style w:type="character" w:styleId="H6Char" w:customStyle="1">
    <w:name w:val="H6 Char"/>
    <w:link w:val="H6"/>
    <w:rsid w:val="00E271B8"/>
    <w:rPr>
      <w:rFonts w:ascii="Arial" w:hAnsi="Arial" w:eastAsia="SimSun"/>
      <w:lang w:val="en-GB" w:eastAsia="x-none"/>
    </w:rPr>
  </w:style>
  <w:style w:type="character" w:styleId="ListParagraphChar" w:customStyle="1">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styleId="00BodyText" w:customStyle="1">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hAnsi="Calibri" w:eastAsia="Calibri"/>
      <w:sz w:val="22"/>
      <w:szCs w:val="22"/>
      <w:lang w:eastAsia="sv-SE"/>
    </w:rPr>
  </w:style>
  <w:style w:type="character" w:styleId="B2Char" w:customStyle="1">
    <w:name w:val="B2 Char"/>
    <w:link w:val="B2"/>
    <w:qFormat/>
    <w:rsid w:val="00E271B8"/>
    <w:rPr>
      <w:rFonts w:ascii="Arial" w:hAnsi="Arial"/>
      <w:lang w:val="en-GB" w:eastAsia="en-US"/>
    </w:rPr>
  </w:style>
  <w:style w:type="character" w:styleId="EditorsNoteCharChar" w:customStyle="1">
    <w:name w:val="Editor's Note Char Char"/>
    <w:locked/>
    <w:rsid w:val="00E271B8"/>
    <w:rPr>
      <w:rFonts w:ascii="Arial" w:hAnsi="Arial" w:cs="Arial"/>
      <w:color w:val="FF0000"/>
      <w:lang w:val="en-GB" w:eastAsia="en-US"/>
    </w:rPr>
  </w:style>
  <w:style w:type="character" w:styleId="Heading1Char1" w:customStyle="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styleId="Heading2Char" w:customStyle="1">
    <w:name w:val="Heading 2 Char"/>
    <w:link w:val="Heading2"/>
    <w:rsid w:val="00E271B8"/>
    <w:rPr>
      <w:rFonts w:ascii="Arial" w:hAnsi="Arial" w:cs="Arial"/>
      <w:sz w:val="32"/>
      <w:szCs w:val="32"/>
      <w:lang w:val="en-GB"/>
    </w:rPr>
  </w:style>
  <w:style w:type="character" w:styleId="Heading3Char" w:customStyle="1">
    <w:name w:val="Heading 3 Char"/>
    <w:aliases w:val="Underrubrik2 Char,H3 Char"/>
    <w:link w:val="Heading3"/>
    <w:rsid w:val="00E271B8"/>
    <w:rPr>
      <w:rFonts w:ascii="Arial" w:hAnsi="Arial" w:cs="Arial"/>
      <w:sz w:val="28"/>
      <w:szCs w:val="28"/>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styleId="Heading5Char" w:customStyle="1">
    <w:name w:val="Heading 5 Char"/>
    <w:aliases w:val="h5 Char1,Heading5 Char1"/>
    <w:link w:val="Heading5"/>
    <w:rsid w:val="00E271B8"/>
    <w:rPr>
      <w:rFonts w:ascii="Arial" w:hAnsi="Arial" w:cs="Arial"/>
      <w:sz w:val="22"/>
      <w:szCs w:val="22"/>
      <w:lang w:val="en-GB"/>
    </w:rPr>
  </w:style>
  <w:style w:type="character" w:styleId="Heading6Char" w:customStyle="1">
    <w:name w:val="Heading 6 Char"/>
    <w:link w:val="Heading6"/>
    <w:rsid w:val="00E271B8"/>
    <w:rPr>
      <w:rFonts w:ascii="Arial" w:hAnsi="Arial" w:cs="Arial"/>
      <w:lang w:val="en-GB"/>
    </w:rPr>
  </w:style>
  <w:style w:type="character" w:styleId="Heading7Char" w:customStyle="1">
    <w:name w:val="Heading 7 Char"/>
    <w:link w:val="Heading7"/>
    <w:rsid w:val="00E271B8"/>
    <w:rPr>
      <w:rFonts w:ascii="Arial" w:hAnsi="Arial" w:cs="Arial"/>
      <w:lang w:val="en-GB"/>
    </w:rPr>
  </w:style>
  <w:style w:type="character" w:styleId="Heading8Char" w:customStyle="1">
    <w:name w:val="Heading 8 Char"/>
    <w:link w:val="Heading8"/>
    <w:rsid w:val="00E271B8"/>
    <w:rPr>
      <w:rFonts w:ascii="Arial" w:hAnsi="Arial" w:cs="Arial"/>
      <w:lang w:val="en-GB"/>
    </w:rPr>
  </w:style>
  <w:style w:type="character" w:styleId="Heading9Char" w:customStyle="1">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hAnsi="Times New Roman" w:eastAsia="SimSun"/>
      <w:i/>
      <w:iCs/>
      <w:sz w:val="22"/>
      <w:lang w:eastAsia="en-US"/>
    </w:rPr>
  </w:style>
  <w:style w:type="character" w:styleId="HTMLAddressChar" w:customStyle="1">
    <w:name w:val="HTML Address Char"/>
    <w:basedOn w:val="DefaultParagraphFont"/>
    <w:link w:val="HTMLAddress"/>
    <w:rsid w:val="00E271B8"/>
    <w:rPr>
      <w:rFonts w:ascii="Times New Roman" w:hAnsi="Times New Roman" w:eastAsia="SimSun"/>
      <w:i/>
      <w:iCs/>
      <w:sz w:val="22"/>
      <w:lang w:val="en-GB" w:eastAsia="en-US"/>
    </w:rPr>
  </w:style>
  <w:style w:type="character" w:styleId="HTMLCode">
    <w:name w:val="HTML Code"/>
    <w:unhideWhenUsed/>
    <w:rsid w:val="00E271B8"/>
    <w:rPr>
      <w:rFonts w:hint="default" w:ascii="Courier New" w:hAnsi="Courier New" w:eastAsia="Times New Roman" w:cs="Courier New"/>
      <w:sz w:val="24"/>
      <w:szCs w:val="24"/>
    </w:rPr>
  </w:style>
  <w:style w:type="character" w:styleId="1Char1" w:customStyle="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styleId="3Char1" w:customStyle="1">
    <w:name w:val="标题 3 Char1"/>
    <w:aliases w:val="Underrubrik2 Char1,H3 Char1"/>
    <w:semiHidden/>
    <w:rsid w:val="00E271B8"/>
    <w:rPr>
      <w:b/>
      <w:bCs/>
      <w:sz w:val="32"/>
      <w:szCs w:val="32"/>
      <w:lang w:val="en-GB" w:eastAsia="en-US"/>
    </w:rPr>
  </w:style>
  <w:style w:type="character" w:styleId="4Char1" w:customStyle="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hAnsi="Calibri Light" w:eastAsia="SimSun" w:cs="Times New Roman"/>
      <w:b/>
      <w:bCs/>
      <w:sz w:val="28"/>
      <w:szCs w:val="28"/>
      <w:lang w:val="en-GB" w:eastAsia="en-US"/>
    </w:rPr>
  </w:style>
  <w:style w:type="character" w:styleId="5Char1" w:customStyle="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hint="default" w:ascii="Courier New" w:hAnsi="Courier New" w:eastAsia="Times New Roman" w:cs="Courier New"/>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hAnsi="Courier New" w:eastAsia="MS Mincho" w:cs="Courier New"/>
      <w:sz w:val="22"/>
      <w:lang w:eastAsia="en-US"/>
    </w:rPr>
  </w:style>
  <w:style w:type="character" w:styleId="HTMLPreformattedChar" w:customStyle="1">
    <w:name w:val="HTML Preformatted Char"/>
    <w:basedOn w:val="DefaultParagraphFont"/>
    <w:link w:val="HTMLPreformatted"/>
    <w:rsid w:val="00E271B8"/>
    <w:rPr>
      <w:rFonts w:ascii="Courier New" w:hAnsi="Courier New" w:eastAsia="MS Mincho" w:cs="Courier New"/>
      <w:sz w:val="22"/>
      <w:lang w:val="en-GB" w:eastAsia="en-US"/>
    </w:rPr>
  </w:style>
  <w:style w:type="character" w:styleId="HTMLSample">
    <w:name w:val="HTML Sample"/>
    <w:unhideWhenUsed/>
    <w:rsid w:val="00E271B8"/>
    <w:rPr>
      <w:rFonts w:hint="default" w:ascii="Courier New" w:hAnsi="Courier New" w:eastAsia="Times New Roman" w:cs="Courier New"/>
    </w:rPr>
  </w:style>
  <w:style w:type="character" w:styleId="HTMLTypewriter">
    <w:name w:val="HTML Typewriter"/>
    <w:unhideWhenUsed/>
    <w:rsid w:val="00E271B8"/>
    <w:rPr>
      <w:rFonts w:hint="default" w:ascii="Courier New" w:hAnsi="Courier New" w:eastAsia="Times New Roman" w:cs="Courier New"/>
      <w:sz w:val="24"/>
      <w:szCs w:val="24"/>
    </w:rPr>
  </w:style>
  <w:style w:type="paragraph" w:styleId="NormalIndent">
    <w:name w:val="Normal Indent"/>
    <w:basedOn w:val="Normal"/>
    <w:unhideWhenUsed/>
    <w:rsid w:val="00E271B8"/>
    <w:pPr>
      <w:overflowPunct/>
      <w:autoSpaceDE/>
      <w:autoSpaceDN/>
      <w:adjustRightInd/>
      <w:spacing w:after="180"/>
      <w:ind w:firstLine="420" w:firstLineChars="200"/>
      <w:jc w:val="left"/>
      <w:textAlignment w:val="auto"/>
    </w:pPr>
    <w:rPr>
      <w:rFonts w:ascii="Times New Roman" w:hAnsi="Times New Roman" w:eastAsia="MS Mincho"/>
      <w:sz w:val="22"/>
      <w:lang w:eastAsia="en-US"/>
    </w:rPr>
  </w:style>
  <w:style w:type="character" w:styleId="FootnoteTextChar" w:customStyle="1">
    <w:name w:val="Footnote Text Char"/>
    <w:link w:val="FootnoteText"/>
    <w:rsid w:val="00E271B8"/>
    <w:rPr>
      <w:rFonts w:ascii="Arial" w:hAnsi="Arial"/>
      <w:sz w:val="16"/>
      <w:szCs w:val="16"/>
      <w:lang w:val="en-GB"/>
    </w:rPr>
  </w:style>
  <w:style w:type="character" w:styleId="Char1" w:customStyle="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100" w:leftChars="14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1200" w:leftChars="400" w:hanging="360" w:hangingChars="200"/>
      <w:jc w:val="left"/>
      <w:textAlignment w:val="auto"/>
    </w:pPr>
    <w:rPr>
      <w:rFonts w:ascii="Times New Roman" w:hAnsi="Times New Roman" w:eastAsia="MS Mincho"/>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1620" w:leftChars="600" w:hanging="360" w:hangingChars="200"/>
      <w:jc w:val="left"/>
      <w:textAlignment w:val="auto"/>
    </w:pPr>
    <w:rPr>
      <w:rFonts w:ascii="Times New Roman" w:hAnsi="Times New Roman" w:eastAsia="MS Mincho"/>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2040" w:leftChars="800" w:hanging="360" w:hangingChars="200"/>
      <w:jc w:val="left"/>
      <w:textAlignment w:val="auto"/>
    </w:pPr>
    <w:rPr>
      <w:rFonts w:ascii="Times New Roman" w:hAnsi="Times New Roman" w:eastAsia="MS Mincho"/>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styleId="TitleChar" w:customStyle="1">
    <w:name w:val="Title Char"/>
    <w:basedOn w:val="DefaultParagraphFont"/>
    <w:link w:val="Title"/>
    <w:rsid w:val="00E271B8"/>
    <w:rPr>
      <w:rFonts w:ascii="Arial" w:hAnsi="Arial" w:eastAsia="SimSun"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100" w:leftChars="2100"/>
      <w:jc w:val="left"/>
      <w:textAlignment w:val="auto"/>
    </w:pPr>
    <w:rPr>
      <w:rFonts w:ascii="Times New Roman" w:hAnsi="Times New Roman" w:eastAsia="MS Mincho"/>
      <w:sz w:val="22"/>
      <w:lang w:eastAsia="en-US"/>
    </w:rPr>
  </w:style>
  <w:style w:type="character" w:styleId="ClosingChar" w:customStyle="1">
    <w:name w:val="Closing Char"/>
    <w:basedOn w:val="DefaultParagraphFont"/>
    <w:link w:val="Closing"/>
    <w:rsid w:val="00E271B8"/>
    <w:rPr>
      <w:rFonts w:ascii="Times New Roman" w:hAnsi="Times New Roman" w:eastAsia="MS Mincho"/>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100" w:leftChars="2100"/>
      <w:jc w:val="left"/>
      <w:textAlignment w:val="auto"/>
    </w:pPr>
    <w:rPr>
      <w:rFonts w:ascii="Times New Roman" w:hAnsi="Times New Roman" w:eastAsia="MS Mincho"/>
      <w:sz w:val="22"/>
      <w:lang w:eastAsia="en-US"/>
    </w:rPr>
  </w:style>
  <w:style w:type="character" w:styleId="SignatureChar" w:customStyle="1">
    <w:name w:val="Signature Char"/>
    <w:basedOn w:val="DefaultParagraphFont"/>
    <w:link w:val="Signature"/>
    <w:rsid w:val="00E271B8"/>
    <w:rPr>
      <w:rFonts w:ascii="Times New Roman" w:hAnsi="Times New Roman" w:eastAsia="MS Mincho"/>
      <w:sz w:val="22"/>
      <w:lang w:val="en-GB" w:eastAsia="en-US"/>
    </w:rPr>
  </w:style>
  <w:style w:type="character" w:styleId="Char10" w:customStyle="1">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420" w:leftChars="200"/>
      <w:jc w:val="left"/>
      <w:textAlignment w:val="auto"/>
    </w:pPr>
    <w:rPr>
      <w:rFonts w:ascii="Times New Roman" w:hAnsi="Times New Roman" w:eastAsia="MS Mincho"/>
      <w:sz w:val="22"/>
      <w:lang w:eastAsia="en-US"/>
    </w:rPr>
  </w:style>
  <w:style w:type="character" w:styleId="BodyTextIndentChar" w:customStyle="1">
    <w:name w:val="Body Text Indent Char"/>
    <w:basedOn w:val="DefaultParagraphFont"/>
    <w:link w:val="BodyTextIndent"/>
    <w:rsid w:val="00E271B8"/>
    <w:rPr>
      <w:rFonts w:ascii="Times New Roman" w:hAnsi="Times New Roman" w:eastAsia="MS Mincho"/>
      <w:sz w:val="22"/>
      <w:lang w:val="en-GB" w:eastAsia="en-US"/>
    </w:rPr>
  </w:style>
  <w:style w:type="paragraph" w:styleId="ListContinue">
    <w:name w:val="List Continue"/>
    <w:basedOn w:val="Normal"/>
    <w:unhideWhenUsed/>
    <w:rsid w:val="00E271B8"/>
    <w:pPr>
      <w:overflowPunct/>
      <w:autoSpaceDE/>
      <w:autoSpaceDN/>
      <w:adjustRightInd/>
      <w:ind w:left="420" w:leftChars="200"/>
      <w:jc w:val="left"/>
      <w:textAlignment w:val="auto"/>
    </w:pPr>
    <w:rPr>
      <w:rFonts w:ascii="Times New Roman" w:hAnsi="Times New Roman" w:eastAsia="MS Mincho"/>
      <w:sz w:val="22"/>
      <w:lang w:eastAsia="en-US"/>
    </w:rPr>
  </w:style>
  <w:style w:type="paragraph" w:styleId="ListContinue2">
    <w:name w:val="List Continue 2"/>
    <w:basedOn w:val="Normal"/>
    <w:unhideWhenUsed/>
    <w:rsid w:val="00E271B8"/>
    <w:pPr>
      <w:overflowPunct/>
      <w:autoSpaceDE/>
      <w:autoSpaceDN/>
      <w:adjustRightInd/>
      <w:ind w:left="840" w:leftChars="400"/>
      <w:jc w:val="left"/>
      <w:textAlignment w:val="auto"/>
    </w:pPr>
    <w:rPr>
      <w:rFonts w:ascii="Times New Roman" w:hAnsi="Times New Roman" w:eastAsia="MS Mincho"/>
      <w:sz w:val="22"/>
      <w:lang w:eastAsia="en-US"/>
    </w:rPr>
  </w:style>
  <w:style w:type="paragraph" w:styleId="ListContinue3">
    <w:name w:val="List Continue 3"/>
    <w:basedOn w:val="Normal"/>
    <w:unhideWhenUsed/>
    <w:rsid w:val="00E271B8"/>
    <w:pPr>
      <w:overflowPunct/>
      <w:autoSpaceDE/>
      <w:autoSpaceDN/>
      <w:adjustRightInd/>
      <w:ind w:left="1260" w:leftChars="600"/>
      <w:jc w:val="left"/>
      <w:textAlignment w:val="auto"/>
    </w:pPr>
    <w:rPr>
      <w:rFonts w:ascii="Times New Roman" w:hAnsi="Times New Roman" w:eastAsia="MS Mincho"/>
      <w:sz w:val="22"/>
      <w:lang w:eastAsia="en-US"/>
    </w:rPr>
  </w:style>
  <w:style w:type="paragraph" w:styleId="ListContinue4">
    <w:name w:val="List Continue 4"/>
    <w:basedOn w:val="Normal"/>
    <w:unhideWhenUsed/>
    <w:rsid w:val="00E271B8"/>
    <w:pPr>
      <w:overflowPunct/>
      <w:autoSpaceDE/>
      <w:autoSpaceDN/>
      <w:adjustRightInd/>
      <w:ind w:left="1680" w:leftChars="800"/>
      <w:jc w:val="left"/>
      <w:textAlignment w:val="auto"/>
    </w:pPr>
    <w:rPr>
      <w:rFonts w:ascii="Times New Roman" w:hAnsi="Times New Roman" w:eastAsia="MS Mincho"/>
      <w:sz w:val="22"/>
      <w:lang w:eastAsia="en-US"/>
    </w:rPr>
  </w:style>
  <w:style w:type="paragraph" w:styleId="ListContinue5">
    <w:name w:val="List Continue 5"/>
    <w:basedOn w:val="Normal"/>
    <w:unhideWhenUsed/>
    <w:rsid w:val="00E271B8"/>
    <w:pPr>
      <w:overflowPunct/>
      <w:autoSpaceDE/>
      <w:autoSpaceDN/>
      <w:adjustRightInd/>
      <w:ind w:left="2100" w:leftChars="1000"/>
      <w:jc w:val="left"/>
      <w:textAlignment w:val="auto"/>
    </w:pPr>
    <w:rPr>
      <w:rFonts w:ascii="Times New Roman" w:hAnsi="Times New Roman" w:eastAsia="MS Mincho"/>
      <w:sz w:val="22"/>
      <w:lang w:eastAsia="en-US"/>
    </w:rPr>
  </w:style>
  <w:style w:type="paragraph" w:styleId="MessageHeader">
    <w:name w:val="Message Header"/>
    <w:basedOn w:val="Normal"/>
    <w:link w:val="MessageHeaderChar"/>
    <w:unhideWhenUsed/>
    <w:rsid w:val="00E271B8"/>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after="180"/>
      <w:ind w:left="1080" w:leftChars="500" w:hanging="1080" w:hangingChars="500"/>
      <w:jc w:val="left"/>
      <w:textAlignment w:val="auto"/>
    </w:pPr>
    <w:rPr>
      <w:rFonts w:eastAsia="MS Mincho" w:cs="Arial"/>
      <w:sz w:val="24"/>
      <w:szCs w:val="24"/>
      <w:lang w:eastAsia="en-US"/>
    </w:rPr>
  </w:style>
  <w:style w:type="character" w:styleId="MessageHeaderChar" w:customStyle="1">
    <w:name w:val="Message Header Char"/>
    <w:basedOn w:val="DefaultParagraphFont"/>
    <w:link w:val="MessageHeader"/>
    <w:rsid w:val="00E271B8"/>
    <w:rPr>
      <w:rFonts w:ascii="Arial" w:hAnsi="Arial" w:eastAsia="MS Mincho"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styleId="SubtitleChar" w:customStyle="1">
    <w:name w:val="Subtitle Char"/>
    <w:basedOn w:val="DefaultParagraphFont"/>
    <w:link w:val="Subtitle"/>
    <w:rsid w:val="00E271B8"/>
    <w:rPr>
      <w:rFonts w:ascii="Arial" w:hAnsi="Arial" w:eastAsia="SimSun"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hAnsi="Times New Roman" w:eastAsia="MS Mincho"/>
      <w:sz w:val="22"/>
      <w:lang w:eastAsia="en-US"/>
    </w:rPr>
  </w:style>
  <w:style w:type="character" w:styleId="SalutationChar" w:customStyle="1">
    <w:name w:val="Salutation Char"/>
    <w:basedOn w:val="DefaultParagraphFont"/>
    <w:link w:val="Salutation"/>
    <w:rsid w:val="00E271B8"/>
    <w:rPr>
      <w:rFonts w:ascii="Times New Roman" w:hAnsi="Times New Roman" w:eastAsia="MS Mincho"/>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100" w:leftChars="2500"/>
      <w:jc w:val="left"/>
      <w:textAlignment w:val="auto"/>
    </w:pPr>
    <w:rPr>
      <w:rFonts w:ascii="Times New Roman" w:hAnsi="Times New Roman" w:eastAsia="MS Mincho"/>
      <w:sz w:val="22"/>
      <w:lang w:eastAsia="en-US"/>
    </w:rPr>
  </w:style>
  <w:style w:type="character" w:styleId="DateChar" w:customStyle="1">
    <w:name w:val="Date Char"/>
    <w:basedOn w:val="DefaultParagraphFont"/>
    <w:link w:val="Date"/>
    <w:rsid w:val="00E271B8"/>
    <w:rPr>
      <w:rFonts w:ascii="Times New Roman" w:hAnsi="Times New Roman" w:eastAsia="MS Mincho"/>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420" w:firstLineChars="100"/>
      <w:jc w:val="left"/>
      <w:textAlignment w:val="auto"/>
    </w:pPr>
    <w:rPr>
      <w:rFonts w:ascii="Times New Roman" w:hAnsi="Times New Roman" w:eastAsia="SimSun"/>
      <w:sz w:val="22"/>
      <w:lang w:eastAsia="en-US"/>
    </w:rPr>
  </w:style>
  <w:style w:type="character" w:styleId="BodyTextFirstIndentChar" w:customStyle="1">
    <w:name w:val="Body Text First Indent Char"/>
    <w:basedOn w:val="BodyTextChar"/>
    <w:link w:val="BodyTextFirstIndent"/>
    <w:rsid w:val="00E271B8"/>
    <w:rPr>
      <w:rFonts w:ascii="Times New Roman" w:hAnsi="Times New Roman" w:eastAsia="SimSun"/>
      <w:sz w:val="22"/>
      <w:lang w:val="en-GB" w:eastAsia="en-US"/>
    </w:rPr>
  </w:style>
  <w:style w:type="paragraph" w:styleId="BodyTextFirstIndent2">
    <w:name w:val="Body Text First Indent 2"/>
    <w:basedOn w:val="BodyTextIndent"/>
    <w:link w:val="BodyTextFirstIndent2Char"/>
    <w:unhideWhenUsed/>
    <w:rsid w:val="00E271B8"/>
    <w:pPr>
      <w:ind w:firstLine="420" w:firstLineChars="200"/>
    </w:pPr>
  </w:style>
  <w:style w:type="character" w:styleId="BodyTextFirstIndent2Char" w:customStyle="1">
    <w:name w:val="Body Text First Indent 2 Char"/>
    <w:basedOn w:val="BodyTextIndentChar"/>
    <w:link w:val="BodyTextFirstIndent2"/>
    <w:rsid w:val="00E271B8"/>
    <w:rPr>
      <w:rFonts w:ascii="Times New Roman" w:hAnsi="Times New Roman" w:eastAsia="MS Mincho"/>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hAnsi="Times New Roman" w:eastAsia="MS Mincho"/>
      <w:sz w:val="22"/>
      <w:lang w:eastAsia="en-US"/>
    </w:rPr>
  </w:style>
  <w:style w:type="character" w:styleId="NoteHeadingChar" w:customStyle="1">
    <w:name w:val="Note Heading Char"/>
    <w:basedOn w:val="DefaultParagraphFont"/>
    <w:link w:val="NoteHeading"/>
    <w:rsid w:val="00E271B8"/>
    <w:rPr>
      <w:rFonts w:ascii="Times New Roman" w:hAnsi="Times New Roman" w:eastAsia="MS Mincho"/>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hAnsi="Times New Roman" w:eastAsia="MS Mincho"/>
      <w:sz w:val="22"/>
      <w:lang w:eastAsia="en-US"/>
    </w:rPr>
  </w:style>
  <w:style w:type="character" w:styleId="BodyText2Char" w:customStyle="1">
    <w:name w:val="Body Text 2 Char"/>
    <w:basedOn w:val="DefaultParagraphFont"/>
    <w:link w:val="BodyText2"/>
    <w:rsid w:val="00E271B8"/>
    <w:rPr>
      <w:rFonts w:ascii="Times New Roman" w:hAnsi="Times New Roman" w:eastAsia="MS Mincho"/>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hAnsi="Times New Roman" w:eastAsia="MS Mincho"/>
      <w:sz w:val="16"/>
      <w:szCs w:val="16"/>
      <w:lang w:eastAsia="en-US"/>
    </w:rPr>
  </w:style>
  <w:style w:type="character" w:styleId="BodyText3Char" w:customStyle="1">
    <w:name w:val="Body Text 3 Char"/>
    <w:basedOn w:val="DefaultParagraphFont"/>
    <w:link w:val="BodyText3"/>
    <w:rsid w:val="00E271B8"/>
    <w:rPr>
      <w:rFonts w:ascii="Times New Roman" w:hAnsi="Times New Roman" w:eastAsia="MS Mincho"/>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420" w:leftChars="200"/>
      <w:jc w:val="left"/>
      <w:textAlignment w:val="auto"/>
    </w:pPr>
    <w:rPr>
      <w:rFonts w:ascii="Times New Roman" w:hAnsi="Times New Roman" w:eastAsia="MS Mincho"/>
      <w:sz w:val="22"/>
      <w:lang w:eastAsia="en-US"/>
    </w:rPr>
  </w:style>
  <w:style w:type="character" w:styleId="BodyTextIndent2Char" w:customStyle="1">
    <w:name w:val="Body Text Indent 2 Char"/>
    <w:basedOn w:val="DefaultParagraphFont"/>
    <w:link w:val="BodyTextIndent2"/>
    <w:rsid w:val="00E271B8"/>
    <w:rPr>
      <w:rFonts w:ascii="Times New Roman" w:hAnsi="Times New Roman" w:eastAsia="MS Mincho"/>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420" w:leftChars="200"/>
      <w:jc w:val="left"/>
      <w:textAlignment w:val="auto"/>
    </w:pPr>
    <w:rPr>
      <w:rFonts w:ascii="Times New Roman" w:hAnsi="Times New Roman" w:eastAsia="MS Mincho"/>
      <w:sz w:val="16"/>
      <w:szCs w:val="16"/>
      <w:lang w:eastAsia="en-US"/>
    </w:rPr>
  </w:style>
  <w:style w:type="character" w:styleId="BodyTextIndent3Char" w:customStyle="1">
    <w:name w:val="Body Text Indent 3 Char"/>
    <w:basedOn w:val="DefaultParagraphFont"/>
    <w:link w:val="BodyTextIndent3"/>
    <w:rsid w:val="00E271B8"/>
    <w:rPr>
      <w:rFonts w:ascii="Times New Roman" w:hAnsi="Times New Roman" w:eastAsia="MS Mincho"/>
      <w:sz w:val="16"/>
      <w:szCs w:val="16"/>
      <w:lang w:val="en-GB" w:eastAsia="en-US"/>
    </w:rPr>
  </w:style>
  <w:style w:type="paragraph" w:styleId="BlockText">
    <w:name w:val="Block Text"/>
    <w:basedOn w:val="Normal"/>
    <w:unhideWhenUsed/>
    <w:rsid w:val="00E271B8"/>
    <w:pPr>
      <w:overflowPunct/>
      <w:autoSpaceDE/>
      <w:autoSpaceDN/>
      <w:adjustRightInd/>
      <w:ind w:left="1440" w:leftChars="700" w:right="1440" w:rightChars="700"/>
      <w:jc w:val="left"/>
      <w:textAlignment w:val="auto"/>
    </w:pPr>
    <w:rPr>
      <w:rFonts w:ascii="Times New Roman" w:hAnsi="Times New Roman" w:eastAsia="MS Mincho"/>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hAnsi="Courier New" w:eastAsia="SimSun" w:cs="Courier New"/>
      <w:sz w:val="21"/>
      <w:szCs w:val="21"/>
      <w:lang w:eastAsia="en-US"/>
    </w:rPr>
  </w:style>
  <w:style w:type="character" w:styleId="PlainTextChar" w:customStyle="1">
    <w:name w:val="Plain Text Char"/>
    <w:basedOn w:val="DefaultParagraphFont"/>
    <w:link w:val="PlainText"/>
    <w:rsid w:val="00E271B8"/>
    <w:rPr>
      <w:rFonts w:ascii="SimSun" w:hAnsi="Courier New" w:eastAsia="SimSun"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hAnsi="Times New Roman" w:eastAsia="MS Mincho"/>
      <w:sz w:val="22"/>
      <w:lang w:eastAsia="en-US"/>
    </w:rPr>
  </w:style>
  <w:style w:type="character" w:styleId="E-mailSignatureChar" w:customStyle="1">
    <w:name w:val="E-mail Signature Char"/>
    <w:basedOn w:val="DefaultParagraphFont"/>
    <w:link w:val="E-mailSignature"/>
    <w:rsid w:val="00E271B8"/>
    <w:rPr>
      <w:rFonts w:ascii="Times New Roman" w:hAnsi="Times New Roman" w:eastAsia="MS Mincho"/>
      <w:sz w:val="22"/>
      <w:lang w:val="en-GB" w:eastAsia="en-US"/>
    </w:rPr>
  </w:style>
  <w:style w:type="character" w:styleId="CommentSubjectChar" w:customStyle="1">
    <w:name w:val="Comment Subject Char"/>
    <w:link w:val="CommentSubject"/>
    <w:rsid w:val="00E271B8"/>
    <w:rPr>
      <w:rFonts w:ascii="Arial" w:hAnsi="Arial"/>
      <w:b/>
      <w:bCs/>
      <w:lang w:val="en-GB"/>
    </w:rPr>
  </w:style>
  <w:style w:type="character" w:styleId="BalloonTextChar" w:customStyle="1">
    <w:name w:val="Balloon Text Char"/>
    <w:link w:val="BalloonText"/>
    <w:rsid w:val="00E271B8"/>
    <w:rPr>
      <w:rFonts w:ascii="Tahoma" w:hAnsi="Tahoma" w:cs="Tahoma"/>
      <w:sz w:val="16"/>
      <w:szCs w:val="16"/>
      <w:lang w:val="en-GB"/>
    </w:rPr>
  </w:style>
  <w:style w:type="character" w:styleId="NOChar" w:customStyle="1">
    <w:name w:val="NO Char"/>
    <w:locked/>
    <w:rsid w:val="00E271B8"/>
    <w:rPr>
      <w:lang w:val="en-GB" w:eastAsia="en-US"/>
    </w:rPr>
  </w:style>
  <w:style w:type="character" w:styleId="B3Char2" w:customStyle="1">
    <w:name w:val="B3 Char2"/>
    <w:link w:val="B3"/>
    <w:locked/>
    <w:rsid w:val="00E271B8"/>
    <w:rPr>
      <w:rFonts w:ascii="Arial" w:hAnsi="Arial"/>
      <w:lang w:val="en-GB" w:eastAsia="en-US"/>
    </w:rPr>
  </w:style>
  <w:style w:type="character" w:styleId="B4Char" w:customStyle="1">
    <w:name w:val="B4 Char"/>
    <w:link w:val="B4"/>
    <w:locked/>
    <w:rsid w:val="00E271B8"/>
    <w:rPr>
      <w:rFonts w:ascii="Arial" w:hAnsi="Arial"/>
      <w:lang w:val="en-GB" w:eastAsia="en-US"/>
    </w:rPr>
  </w:style>
  <w:style w:type="paragraph" w:styleId="ZchnZchn" w:customStyle="1">
    <w:name w:val="Zchn Zchn"/>
    <w:semiHidden/>
    <w:rsid w:val="00E271B8"/>
    <w:pPr>
      <w:keepNext/>
      <w:tabs>
        <w:tab w:val="num" w:pos="1494"/>
      </w:tabs>
      <w:autoSpaceDE w:val="0"/>
      <w:autoSpaceDN w:val="0"/>
      <w:adjustRightInd w:val="0"/>
      <w:spacing w:before="60" w:after="60"/>
      <w:ind w:left="1494" w:hanging="360"/>
      <w:jc w:val="both"/>
    </w:pPr>
    <w:rPr>
      <w:rFonts w:ascii="Arial" w:hAnsi="Arial" w:eastAsia="SimSun" w:cs="Arial"/>
      <w:color w:val="0000FF"/>
      <w:kern w:val="2"/>
    </w:rPr>
  </w:style>
  <w:style w:type="character" w:styleId="TALCharCharChar" w:customStyle="1">
    <w:name w:val="TAL Char Char Char"/>
    <w:link w:val="TALCharChar"/>
    <w:semiHidden/>
    <w:locked/>
    <w:rsid w:val="00E271B8"/>
    <w:rPr>
      <w:rFonts w:ascii="Arial" w:hAnsi="Arial" w:cs="Arial"/>
      <w:sz w:val="18"/>
      <w:lang w:val="en-GB" w:eastAsia="en-US"/>
    </w:rPr>
  </w:style>
  <w:style w:type="paragraph" w:styleId="TALCharChar" w:customStyle="1">
    <w:name w:val="TAL Char Char"/>
    <w:basedOn w:val="Normal"/>
    <w:link w:val="TALCharCharChar"/>
    <w:semiHidden/>
    <w:rsid w:val="00E271B8"/>
    <w:pPr>
      <w:keepNext/>
      <w:keepLines/>
      <w:spacing w:after="0"/>
      <w:jc w:val="left"/>
      <w:textAlignment w:val="auto"/>
    </w:pPr>
    <w:rPr>
      <w:rFonts w:cs="Arial"/>
      <w:sz w:val="18"/>
      <w:lang w:eastAsia="en-US"/>
    </w:rPr>
  </w:style>
  <w:style w:type="paragraph" w:styleId="MTDisplayEquation" w:customStyle="1">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hAnsi="Times New Roman" w:eastAsia="MS Mincho"/>
      <w:sz w:val="22"/>
      <w:lang w:val="en-US" w:eastAsia="en-US"/>
    </w:rPr>
  </w:style>
  <w:style w:type="paragraph" w:styleId="CharCharChar" w:customStyle="1">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styleId="memoheader" w:customStyle="1">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hAnsi="Helvetica" w:eastAsia="MS Mincho"/>
      <w:b/>
      <w:smallCaps/>
      <w:sz w:val="24"/>
      <w:lang w:val="en-US" w:eastAsia="en-US"/>
    </w:rPr>
  </w:style>
  <w:style w:type="paragraph" w:styleId="CharCharCharCharCharCharCharCharCharCharCharCharCharChar1CharCharCharCharCharCharCharChar" w:customStyle="1">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hAnsi="Arial" w:eastAsia="SimSun" w:cs="Arial"/>
      <w:color w:val="0000FF"/>
      <w:kern w:val="2"/>
    </w:rPr>
  </w:style>
  <w:style w:type="paragraph" w:styleId="CharChar1CharChar" w:customStyle="1">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styleId="CharCharCharCharCharCharCharCharCharCharCharCharCharChar" w:customStyle="1">
    <w:name w:val="Char Char Char Char Char Char Char Char Char Char Char Char Char Char"/>
    <w:basedOn w:val="Normal"/>
    <w:autoRedefine/>
    <w:semiHidden/>
    <w:rsid w:val="00E271B8"/>
    <w:pPr>
      <w:overflowPunct/>
      <w:autoSpaceDE/>
      <w:autoSpaceDN/>
      <w:adjustRightInd/>
      <w:spacing w:after="0" w:afterLines="100"/>
      <w:jc w:val="left"/>
      <w:textAlignment w:val="auto"/>
    </w:pPr>
    <w:rPr>
      <w:rFonts w:ascii="Times New Roman" w:hAnsi="Times New Roman" w:eastAsia="MS Mincho"/>
      <w:sz w:val="22"/>
      <w:lang w:eastAsia="en-US"/>
    </w:rPr>
  </w:style>
  <w:style w:type="paragraph" w:styleId="CharCharCharCharCharChar1CharCharCharCharCharCharCharChar" w:customStyle="1">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hAnsi="Times New Roman" w:eastAsia="SimSun"/>
      <w:kern w:val="2"/>
      <w:sz w:val="21"/>
      <w:szCs w:val="24"/>
      <w:lang w:val="en-US"/>
    </w:rPr>
  </w:style>
  <w:style w:type="paragraph" w:styleId="FBCharCharCharChar1CharCharCharCharCharCharCharChar1CharChar" w:customStyle="1">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styleId="CharChar1CharCharCharCharCharChar" w:customStyle="1">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styleId="FBCharCharCharChar1CharChar" w:customStyle="1">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styleId="CharChar2" w:customStyle="1">
    <w:name w:val="Char Char2"/>
    <w:semiHidden/>
    <w:rsid w:val="00E271B8"/>
    <w:pPr>
      <w:keepNext/>
      <w:tabs>
        <w:tab w:val="num" w:pos="510"/>
      </w:tabs>
      <w:autoSpaceDE w:val="0"/>
      <w:autoSpaceDN w:val="0"/>
      <w:adjustRightInd w:val="0"/>
      <w:spacing w:before="60" w:after="60"/>
      <w:ind w:left="510" w:hanging="510"/>
      <w:jc w:val="both"/>
    </w:pPr>
    <w:rPr>
      <w:rFonts w:ascii="Arial" w:hAnsi="Arial" w:eastAsia="SimSun" w:cs="Arial"/>
      <w:color w:val="0000FF"/>
      <w:kern w:val="2"/>
    </w:rPr>
  </w:style>
  <w:style w:type="paragraph" w:styleId="2CharChar" w:customStyle="1">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styleId="CharChar2CharCharCharCharCharCharCharCharCharCharCharCharCharCharCharChar" w:customStyle="1">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hAnsi="Times New Roman" w:eastAsia="SimSun"/>
      <w:kern w:val="2"/>
      <w:sz w:val="21"/>
      <w:szCs w:val="24"/>
      <w:lang w:val="en-US"/>
    </w:rPr>
  </w:style>
  <w:style w:type="paragraph" w:styleId="CharChar2CharCharCharCharCharCharCharCharCharCharCharCharCharCharCharCharCharCharCharChar" w:customStyle="1">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hAnsi="Times New Roman" w:eastAsia="SimSun"/>
      <w:kern w:val="2"/>
      <w:sz w:val="21"/>
      <w:szCs w:val="24"/>
      <w:lang w:val="en-US"/>
    </w:rPr>
  </w:style>
  <w:style w:type="paragraph" w:styleId="CharChar2CharCharCharCharCharCharCharCharCharCharCharChar" w:customStyle="1">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hAnsi="Times New Roman" w:eastAsia="SimSun"/>
      <w:kern w:val="2"/>
      <w:sz w:val="21"/>
      <w:szCs w:val="24"/>
      <w:lang w:val="en-US"/>
    </w:rPr>
  </w:style>
  <w:style w:type="paragraph" w:styleId="CharCharCharCharCharChar" w:customStyle="1">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eastAsia="SimSun" w:cs="Arial"/>
      <w:color w:val="0000FF"/>
      <w:kern w:val="2"/>
    </w:rPr>
  </w:style>
  <w:style w:type="paragraph" w:styleId="CharCharCharCharCharCharCharCharCharCharCharCharCharChar1" w:customStyle="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eastAsia="SimSun" w:cs="Arial"/>
      <w:color w:val="0000FF"/>
      <w:kern w:val="2"/>
    </w:rPr>
  </w:style>
  <w:style w:type="paragraph" w:styleId="12" w:customStyle="1">
    <w:name w:val="样式 段后: 12 磅"/>
    <w:basedOn w:val="Normal"/>
    <w:semiHidden/>
    <w:rsid w:val="00E271B8"/>
    <w:pPr>
      <w:overflowPunct/>
      <w:autoSpaceDE/>
      <w:autoSpaceDN/>
      <w:adjustRightInd/>
      <w:spacing w:after="240"/>
      <w:jc w:val="left"/>
      <w:textAlignment w:val="auto"/>
    </w:pPr>
    <w:rPr>
      <w:rFonts w:ascii="Times New Roman" w:hAnsi="Times New Roman" w:eastAsia="MS Mincho" w:cs="SimSun"/>
      <w:sz w:val="22"/>
      <w:lang w:eastAsia="en-US"/>
    </w:rPr>
  </w:style>
  <w:style w:type="paragraph" w:styleId="120" w:customStyle="1">
    <w:name w:val="样式 (中文) 宋体 段后: 12 磅"/>
    <w:basedOn w:val="Normal"/>
    <w:semiHidden/>
    <w:rsid w:val="00E271B8"/>
    <w:pPr>
      <w:overflowPunct/>
      <w:autoSpaceDE/>
      <w:autoSpaceDN/>
      <w:adjustRightInd/>
      <w:spacing w:after="240"/>
      <w:jc w:val="left"/>
      <w:textAlignment w:val="auto"/>
    </w:pPr>
    <w:rPr>
      <w:rFonts w:ascii="Times New Roman" w:hAnsi="Times New Roman" w:eastAsia="SimSun" w:cs="SimSun"/>
      <w:sz w:val="22"/>
      <w:lang w:eastAsia="en-US"/>
    </w:rPr>
  </w:style>
  <w:style w:type="paragraph" w:styleId="Heading1b" w:customStyle="1">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CharCharCharCharCharCharCharCharCharCharCharCharCharCharCharCharCharCharCharChar" w:customStyle="1">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eastAsia="SimSun" w:cs="Arial"/>
      <w:color w:val="0000FF"/>
      <w:kern w:val="2"/>
    </w:rPr>
  </w:style>
  <w:style w:type="paragraph" w:styleId="2" w:customStyle="1">
    <w:name w:val="(文字) (文字)2"/>
    <w:semiHidden/>
    <w:rsid w:val="00E271B8"/>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CharCharCharCharCharChar1CharCharCharCharCharCharCharCharCharCharCharCharCharChar" w:customStyle="1">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hAnsi="Times New Roman" w:eastAsia="SimSun"/>
      <w:kern w:val="2"/>
      <w:sz w:val="21"/>
      <w:szCs w:val="24"/>
      <w:lang w:val="en-US"/>
    </w:rPr>
  </w:style>
  <w:style w:type="paragraph" w:styleId="4" w:customStyle="1">
    <w:name w:val="标题4"/>
    <w:basedOn w:val="Normal"/>
    <w:semiHidden/>
    <w:rsid w:val="00E271B8"/>
    <w:pPr>
      <w:numPr>
        <w:numId w:val="14"/>
      </w:numPr>
      <w:overflowPunct/>
      <w:autoSpaceDE/>
      <w:autoSpaceDN/>
      <w:adjustRightInd/>
      <w:spacing w:after="180"/>
      <w:jc w:val="left"/>
      <w:textAlignment w:val="auto"/>
    </w:pPr>
    <w:rPr>
      <w:rFonts w:ascii="Times New Roman" w:hAnsi="Times New Roman" w:eastAsia="SimSun"/>
      <w:lang w:eastAsia="en-US"/>
    </w:rPr>
  </w:style>
  <w:style w:type="paragraph" w:styleId="CharCharCharCharCharCharCharCharCharChar" w:customStyle="1">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styleId="a" w:customStyle="1">
    <w:name w:val="插图题注"/>
    <w:basedOn w:val="Normal"/>
    <w:semiHidden/>
    <w:rsid w:val="00E271B8"/>
    <w:pPr>
      <w:overflowPunct/>
      <w:autoSpaceDE/>
      <w:autoSpaceDN/>
      <w:adjustRightInd/>
      <w:spacing w:after="180"/>
      <w:jc w:val="left"/>
      <w:textAlignment w:val="auto"/>
    </w:pPr>
    <w:rPr>
      <w:rFonts w:ascii="Times New Roman" w:hAnsi="Times New Roman" w:eastAsia="SimSun"/>
      <w:lang w:eastAsia="en-US"/>
    </w:rPr>
  </w:style>
  <w:style w:type="paragraph" w:styleId="a0" w:customStyle="1">
    <w:name w:val="表格题注"/>
    <w:basedOn w:val="Normal"/>
    <w:semiHidden/>
    <w:rsid w:val="00E271B8"/>
    <w:pPr>
      <w:overflowPunct/>
      <w:autoSpaceDE/>
      <w:autoSpaceDN/>
      <w:adjustRightInd/>
      <w:spacing w:after="180"/>
      <w:jc w:val="left"/>
      <w:textAlignment w:val="auto"/>
    </w:pPr>
    <w:rPr>
      <w:rFonts w:ascii="Times New Roman" w:hAnsi="Times New Roman" w:eastAsia="SimSun"/>
      <w:lang w:eastAsia="en-US"/>
    </w:rPr>
  </w:style>
  <w:style w:type="paragraph" w:styleId="done" w:customStyle="1">
    <w:name w:val="done"/>
    <w:basedOn w:val="Normal"/>
    <w:semiHidden/>
    <w:rsid w:val="00E271B8"/>
    <w:pPr>
      <w:keepNext/>
      <w:keepLines/>
      <w:widowControl w:val="0"/>
      <w:numPr>
        <w:numId w:val="15"/>
      </w:numPr>
      <w:pBdr>
        <w:top w:val="single" w:color="008000" w:sz="6" w:space="1"/>
        <w:left w:val="single" w:color="008000" w:sz="6" w:space="4"/>
        <w:bottom w:val="single" w:color="008000" w:sz="6" w:space="1"/>
        <w:right w:val="single" w:color="008000" w:sz="6" w:space="4"/>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styleId="a1" w:customStyle="1">
    <w:name w:val="样式 (中文) 宋体 两端对齐"/>
    <w:basedOn w:val="Normal"/>
    <w:semiHidden/>
    <w:rsid w:val="00E271B8"/>
    <w:pPr>
      <w:spacing w:after="180"/>
      <w:textAlignment w:val="auto"/>
    </w:pPr>
    <w:rPr>
      <w:rFonts w:ascii="Times New Roman" w:hAnsi="Times New Roman" w:eastAsia="SimSun" w:cs="SimSun"/>
      <w:lang w:eastAsia="en-GB"/>
    </w:rPr>
  </w:style>
  <w:style w:type="paragraph" w:styleId="Agreement" w:customStyle="1">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styleId="B2Char1" w:customStyle="1">
    <w:name w:val="B2 Char1"/>
    <w:semiHidden/>
    <w:rsid w:val="00E271B8"/>
    <w:rPr>
      <w:lang w:val="en-GB" w:eastAsia="ja-JP" w:bidi="ar-SA"/>
    </w:rPr>
  </w:style>
  <w:style w:type="character" w:styleId="B11" w:customStyle="1">
    <w:name w:val="B1 (文字)"/>
    <w:locked/>
    <w:rsid w:val="00E271B8"/>
    <w:rPr>
      <w:lang w:val="en-GB" w:eastAsia="ja-JP"/>
    </w:rPr>
  </w:style>
  <w:style w:type="character" w:styleId="108-1-1" w:customStyle="1">
    <w:name w:val="108-1-1"/>
    <w:rsid w:val="00E271B8"/>
  </w:style>
  <w:style w:type="table" w:styleId="TableSimple1">
    <w:name w:val="Table Simple 1"/>
    <w:basedOn w:val="TableNormal"/>
    <w:unhideWhenUsed/>
    <w:rsid w:val="00E271B8"/>
    <w:pPr>
      <w:spacing w:after="180"/>
    </w:pPr>
    <w:rPr>
      <w:rFonts w:ascii="Times New Roman" w:hAnsi="Times New Roman" w:eastAsia="MS Mincho"/>
      <w:lang w:val="sv-SE" w:eastAsia="sv-SE"/>
    </w:rPr>
    <w:tblPr>
      <w:tblInd w:w="0" w:type="nil"/>
      <w:tblBorders>
        <w:top w:val="single" w:color="008000" w:sz="12" w:space="0"/>
        <w:bottom w:val="single" w:color="008000" w:sz="12" w:space="0"/>
      </w:tblBorders>
    </w:tbl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nhideWhenUsed/>
    <w:rsid w:val="00E271B8"/>
    <w:pPr>
      <w:spacing w:after="180"/>
    </w:pPr>
    <w:rPr>
      <w:rFonts w:ascii="Times New Roman" w:hAnsi="Times New Roman" w:eastAsia="MS Mincho"/>
      <w:lang w:val="sv-SE" w:eastAsia="sv-SE"/>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nhideWhenUsed/>
    <w:rsid w:val="00E271B8"/>
    <w:pPr>
      <w:spacing w:after="180"/>
    </w:pPr>
    <w:rPr>
      <w:rFonts w:ascii="Times New Roman" w:hAnsi="Times New Roman" w:eastAsia="MS Mincho"/>
      <w:color w:val="000080"/>
      <w:lang w:val="sv-SE" w:eastAsia="sv-SE"/>
    </w:rPr>
    <w:tblPr>
      <w:tblInd w:w="0" w:type="nil"/>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nhideWhenUsed/>
    <w:rsid w:val="00E271B8"/>
    <w:pPr>
      <w:spacing w:after="180"/>
    </w:pPr>
    <w:rPr>
      <w:rFonts w:ascii="Times New Roman" w:hAnsi="Times New Roman" w:eastAsia="MS Mincho"/>
      <w:color w:val="FFFFFF"/>
      <w:lang w:val="sv-SE" w:eastAsia="sv-SE"/>
    </w:rPr>
    <w:tblPr>
      <w:tblInd w:w="0" w:type="nil"/>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nhideWhenUsed/>
    <w:rsid w:val="00E271B8"/>
    <w:pPr>
      <w:spacing w:after="180"/>
    </w:pPr>
    <w:rPr>
      <w:rFonts w:ascii="Times New Roman" w:hAnsi="Times New Roman" w:eastAsia="MS Mincho"/>
      <w:lang w:val="sv-SE" w:eastAsia="sv-SE"/>
    </w:rPr>
    <w:tblPr>
      <w:tblInd w:w="0" w:type="nil"/>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nhideWhenUsed/>
    <w:rsid w:val="00E271B8"/>
    <w:pPr>
      <w:spacing w:after="180"/>
    </w:pPr>
    <w:rPr>
      <w:rFonts w:ascii="Times New Roman" w:hAnsi="Times New Roman" w:eastAsia="MS Mincho"/>
      <w:lang w:val="sv-SE" w:eastAsia="sv-SE"/>
    </w:rPr>
    <w:tblPr>
      <w:tblInd w:w="0" w:type="nil"/>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nhideWhenUsed/>
    <w:rsid w:val="00E271B8"/>
    <w:pPr>
      <w:spacing w:after="180"/>
    </w:pPr>
    <w:rPr>
      <w:rFonts w:ascii="Times New Roman" w:hAnsi="Times New Roman" w:eastAsia="MS Mincho"/>
      <w:b/>
      <w:bCs/>
      <w:lang w:val="sv-SE" w:eastAsia="sv-SE"/>
    </w:rPr>
    <w:tblPr>
      <w:tblStyleColBandSize w:val="1"/>
      <w:tblInd w:w="0" w:type="nil"/>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nhideWhenUsed/>
    <w:rsid w:val="00E271B8"/>
    <w:pPr>
      <w:spacing w:after="180"/>
    </w:pPr>
    <w:rPr>
      <w:rFonts w:ascii="Times New Roman" w:hAnsi="Times New Roman" w:eastAsia="MS Mincho"/>
      <w:b/>
      <w:bCs/>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nhideWhenUsed/>
    <w:rsid w:val="00E271B8"/>
    <w:pPr>
      <w:spacing w:after="180"/>
    </w:pPr>
    <w:rPr>
      <w:rFonts w:ascii="Times New Roman" w:hAnsi="Times New Roman" w:eastAsia="MS Mincho"/>
      <w:b/>
      <w:bCs/>
      <w:lang w:val="sv-SE" w:eastAsia="sv-SE"/>
    </w:rPr>
    <w:tblPr>
      <w:tblStyleColBandSize w:val="1"/>
      <w:tblInd w:w="0" w:type="nil"/>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nhideWhenUsed/>
    <w:rsid w:val="00E271B8"/>
    <w:pPr>
      <w:spacing w:after="180"/>
    </w:pPr>
    <w:rPr>
      <w:rFonts w:ascii="Times New Roman" w:hAnsi="Times New Roman" w:eastAsia="MS Mincho"/>
      <w:lang w:val="sv-SE" w:eastAsia="sv-SE"/>
    </w:rPr>
    <w:tblPr>
      <w:tblStyleColBandSize w:val="1"/>
      <w:tblInd w:w="0" w:type="nil"/>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hAnsi="Times New Roman" w:eastAsia="MS Mincho"/>
      <w:lang w:val="sv-SE" w:eastAsia="sv-SE"/>
    </w:rPr>
    <w:tblPr>
      <w:tblStyleColBandSize w:val="1"/>
      <w:tblInd w:w="0" w:type="nil"/>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hAnsi="Times New Roman" w:eastAsia="MS Mincho"/>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2">
    <w:name w:val="Table Grid 2"/>
    <w:basedOn w:val="TableNormal"/>
    <w:unhideWhenUsed/>
    <w:rsid w:val="00E271B8"/>
    <w:pPr>
      <w:spacing w:after="180"/>
    </w:pPr>
    <w:rPr>
      <w:rFonts w:ascii="Times New Roman" w:hAnsi="Times New Roman" w:eastAsia="MS Mincho"/>
      <w:lang w:val="sv-SE" w:eastAsia="sv-SE"/>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nhideWhenUsed/>
    <w:rsid w:val="00E271B8"/>
    <w:pPr>
      <w:spacing w:after="180"/>
    </w:pPr>
    <w:rPr>
      <w:rFonts w:ascii="Times New Roman" w:hAnsi="Times New Roman" w:eastAsia="MS Mincho"/>
      <w:lang w:val="sv-SE" w:eastAsia="sv-SE"/>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4">
    <w:name w:val="Table Grid 4"/>
    <w:basedOn w:val="TableNormal"/>
    <w:unhideWhenUsed/>
    <w:rsid w:val="00E271B8"/>
    <w:pPr>
      <w:spacing w:after="180"/>
    </w:pPr>
    <w:rPr>
      <w:rFonts w:ascii="Times New Roman" w:hAnsi="Times New Roman" w:eastAsia="MS Mincho"/>
      <w:lang w:val="sv-SE" w:eastAsia="sv-SE"/>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nhideWhenUsed/>
    <w:rsid w:val="00E271B8"/>
    <w:pPr>
      <w:spacing w:after="180"/>
    </w:pPr>
    <w:rPr>
      <w:rFonts w:ascii="Times New Roman" w:hAnsi="Times New Roman" w:eastAsia="MS Mincho"/>
      <w:b/>
      <w:bCs/>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nhideWhenUsed/>
    <w:rsid w:val="00E271B8"/>
    <w:pPr>
      <w:spacing w:after="180"/>
    </w:pPr>
    <w:rPr>
      <w:rFonts w:ascii="Times New Roman" w:hAnsi="Times New Roman" w:eastAsia="MS Mincho"/>
      <w:lang w:val="sv-SE" w:eastAsia="sv-SE"/>
    </w:rPr>
    <w:tblPr>
      <w:tblInd w:w="0" w:type="nil"/>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nhideWhenUsed/>
    <w:rsid w:val="00E271B8"/>
    <w:pPr>
      <w:spacing w:after="180"/>
    </w:pPr>
    <w:rPr>
      <w:rFonts w:ascii="Times New Roman" w:hAnsi="Times New Roman" w:eastAsia="MS Mincho"/>
      <w:lang w:val="sv-SE" w:eastAsia="sv-SE"/>
    </w:rPr>
    <w:tblPr>
      <w:tblStyleRowBandSize w:val="1"/>
      <w:tblInd w:w="0" w:type="nil"/>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nhideWhenUsed/>
    <w:rsid w:val="00E271B8"/>
    <w:pPr>
      <w:spacing w:after="180"/>
    </w:pPr>
    <w:rPr>
      <w:rFonts w:ascii="Times New Roman" w:hAnsi="Times New Roman" w:eastAsia="MS Mincho"/>
      <w:lang w:val="sv-SE" w:eastAsia="sv-SE"/>
    </w:rPr>
    <w:tblPr>
      <w:tblStyleRowBandSize w:val="2"/>
      <w:tblInd w:w="0" w:type="nil"/>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bottom w:val="single" w:color="000000" w:sz="12" w:space="0"/>
        <w:insideH w:val="single" w:color="000000" w:sz="6" w:space="0"/>
      </w:tblBorders>
    </w:tbl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nhideWhenUsed/>
    <w:rsid w:val="00E271B8"/>
    <w:pPr>
      <w:spacing w:after="180"/>
    </w:pPr>
    <w:rPr>
      <w:rFonts w:ascii="Times New Roman" w:hAnsi="Times New Roman" w:eastAsia="MS Mincho"/>
      <w:lang w:val="sv-SE" w:eastAsia="sv-SE"/>
    </w:rPr>
    <w:tblPr>
      <w:tblInd w:w="0" w:type="nil"/>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nhideWhenUsed/>
    <w:rsid w:val="00E271B8"/>
    <w:pPr>
      <w:spacing w:after="180"/>
    </w:pPr>
    <w:rPr>
      <w:rFonts w:ascii="Times New Roman" w:hAnsi="Times New Roman" w:eastAsia="MS Mincho"/>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nhideWhenUsed/>
    <w:rsid w:val="00E271B8"/>
    <w:pPr>
      <w:spacing w:after="180"/>
    </w:pPr>
    <w:rPr>
      <w:rFonts w:ascii="Times New Roman" w:hAnsi="Times New Roman" w:eastAsia="MS Mincho"/>
      <w:lang w:val="sv-SE" w:eastAsia="sv-SE"/>
    </w:rPr>
    <w:tblPr>
      <w:tblStyleRowBandSize w:val="1"/>
      <w:tblInd w:w="0" w:type="nil"/>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tblStylePr w:type="nwCell">
      <w:tblPr/>
      <w:tcPr>
        <w:tcBorders>
          <w:tl2br w:val="single" w:color="000000" w:sz="6" w:space="0"/>
          <w:tr2bl w:val="none" w:color="auto" w:sz="0" w:space="0"/>
        </w:tcBorders>
      </w:tcPr>
    </w:tblStylePr>
  </w:style>
  <w:style w:type="table" w:styleId="TableList7">
    <w:name w:val="Table List 7"/>
    <w:basedOn w:val="TableNormal"/>
    <w:unhideWhenUsed/>
    <w:rsid w:val="00E271B8"/>
    <w:pPr>
      <w:spacing w:after="180"/>
    </w:pPr>
    <w:rPr>
      <w:rFonts w:ascii="Times New Roman" w:hAnsi="Times New Roman" w:eastAsia="MS Mincho"/>
      <w:lang w:val="sv-SE" w:eastAsia="sv-SE"/>
    </w:rPr>
    <w:tblPr>
      <w:tblStyleRowBandSize w:val="1"/>
      <w:tblInd w:w="0" w:type="nil"/>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nhideWhenUsed/>
    <w:rsid w:val="00E271B8"/>
    <w:pPr>
      <w:spacing w:after="180"/>
    </w:pPr>
    <w:rPr>
      <w:rFonts w:ascii="Times New Roman" w:hAnsi="Times New Roman" w:eastAsia="MS Mincho"/>
      <w:lang w:val="sv-SE" w:eastAsia="sv-SE"/>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tblStylePr w:type="nwCell">
      <w:tblPr/>
      <w:tcPr>
        <w:tcBorders>
          <w:tl2br w:val="single" w:color="auto" w:sz="6" w:space="0"/>
          <w:tr2bl w:val="none" w:color="auto" w:sz="0" w:space="0"/>
        </w:tcBorders>
      </w:tcPr>
    </w:tblStylePr>
  </w:style>
  <w:style w:type="table" w:styleId="Table3Deffects1">
    <w:name w:val="Table 3D effects 1"/>
    <w:basedOn w:val="TableNormal"/>
    <w:unhideWhenUsed/>
    <w:rsid w:val="00E271B8"/>
    <w:pPr>
      <w:spacing w:after="180"/>
    </w:pPr>
    <w:rPr>
      <w:rFonts w:ascii="Times New Roman" w:hAnsi="Times New Roman" w:eastAsia="MS Mincho"/>
      <w:lang w:val="sv-SE" w:eastAsia="sv-SE"/>
    </w:rPr>
    <w:tblPr>
      <w:tblInd w:w="0" w:type="nil"/>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nhideWhenUsed/>
    <w:rsid w:val="00E271B8"/>
    <w:pPr>
      <w:spacing w:after="180"/>
    </w:pPr>
    <w:rPr>
      <w:rFonts w:ascii="Times New Roman" w:hAnsi="Times New Roman" w:eastAsia="MS Mincho"/>
      <w:lang w:val="sv-SE" w:eastAsia="sv-SE"/>
    </w:rPr>
    <w:tblPr>
      <w:tblStyleRowBandSize w:val="1"/>
      <w:tblInd w:w="0" w:type="nil"/>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nhideWhenUsed/>
    <w:rsid w:val="00E271B8"/>
    <w:pPr>
      <w:spacing w:after="180"/>
    </w:pPr>
    <w:rPr>
      <w:rFonts w:ascii="Times New Roman" w:hAnsi="Times New Roman" w:eastAsia="MS Mincho"/>
      <w:lang w:val="sv-SE" w:eastAsia="sv-SE"/>
    </w:rPr>
    <w:tblPr>
      <w:tblStyleRowBandSize w:val="1"/>
      <w:tblStyleColBandSize w:val="1"/>
      <w:tblInd w:w="0" w:type="nil"/>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ntemporary">
    <w:name w:val="Table Contemporary"/>
    <w:basedOn w:val="TableNormal"/>
    <w:unhideWhenUsed/>
    <w:rsid w:val="00E271B8"/>
    <w:pPr>
      <w:spacing w:after="180"/>
    </w:pPr>
    <w:rPr>
      <w:rFonts w:ascii="Times New Roman" w:hAnsi="Times New Roman" w:eastAsia="MS Mincho"/>
      <w:lang w:val="sv-SE" w:eastAsia="sv-SE"/>
    </w:rPr>
    <w:tblPr>
      <w:tblStyleRowBandSize w:val="1"/>
      <w:tblInd w:w="0" w:type="nil"/>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nhideWhenUsed/>
    <w:rsid w:val="00E271B8"/>
    <w:pPr>
      <w:spacing w:after="180"/>
    </w:pPr>
    <w:rPr>
      <w:rFonts w:ascii="Times New Roman" w:hAnsi="Times New Roman" w:eastAsia="MS Mincho"/>
      <w:lang w:val="sv-SE" w:eastAsia="sv-SE"/>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TableProfessional">
    <w:name w:val="Table Professional"/>
    <w:basedOn w:val="TableNormal"/>
    <w:unhideWhenUsed/>
    <w:rsid w:val="00E271B8"/>
    <w:pPr>
      <w:spacing w:after="180"/>
    </w:pPr>
    <w:rPr>
      <w:rFonts w:ascii="Times New Roman" w:hAnsi="Times New Roman" w:eastAsia="MS Mincho"/>
      <w:lang w:val="sv-SE" w:eastAsia="sv-SE"/>
    </w:rPr>
    <w:tblPr>
      <w:tblInd w:w="0" w:type="nil"/>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l2br w:val="none" w:color="auto" w:sz="0" w:space="0"/>
          <w:tr2bl w:val="none" w:color="auto" w:sz="0" w:space="0"/>
        </w:tcBorders>
        <w:shd w:val="solid" w:color="000000" w:fill="FFFFFF"/>
      </w:tcPr>
    </w:tblStylePr>
  </w:style>
  <w:style w:type="table" w:styleId="TableSubtle1">
    <w:name w:val="Table Subtle 1"/>
    <w:basedOn w:val="TableNormal"/>
    <w:unhideWhenUsed/>
    <w:rsid w:val="00E271B8"/>
    <w:pPr>
      <w:spacing w:after="180"/>
    </w:pPr>
    <w:rPr>
      <w:rFonts w:ascii="Times New Roman" w:hAnsi="Times New Roman" w:eastAsia="MS Mincho"/>
      <w:lang w:val="sv-SE" w:eastAsia="sv-SE"/>
    </w:rPr>
    <w:tblPr>
      <w:tblStyleRowBandSize w:val="1"/>
      <w:tblInd w:w="0" w:type="nil"/>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nhideWhenUsed/>
    <w:rsid w:val="00E271B8"/>
    <w:pPr>
      <w:spacing w:after="180"/>
    </w:pPr>
    <w:rPr>
      <w:rFonts w:ascii="Times New Roman" w:hAnsi="Times New Roman" w:eastAsia="MS Mincho"/>
      <w:lang w:val="sv-SE" w:eastAsia="sv-SE"/>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unhideWhenUsed/>
    <w:rsid w:val="00E271B8"/>
    <w:pPr>
      <w:spacing w:after="180"/>
    </w:pPr>
    <w:rPr>
      <w:rFonts w:ascii="Times New Roman" w:hAnsi="Times New Roman" w:eastAsia="MS Mincho"/>
      <w:lang w:val="sv-SE" w:eastAsia="sv-SE"/>
    </w:rPr>
    <w:tblPr>
      <w:tblCellSpacing w:w="20" w:type="dxa"/>
      <w:tblInd w:w="0" w:type="nil"/>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nhideWhenUsed/>
    <w:rsid w:val="00E271B8"/>
    <w:pPr>
      <w:spacing w:after="180"/>
    </w:pPr>
    <w:rPr>
      <w:rFonts w:ascii="Times New Roman" w:hAnsi="Times New Roman" w:eastAsia="MS Mincho"/>
      <w:lang w:val="sv-SE" w:eastAsia="sv-SE"/>
    </w:rPr>
    <w:tblPr>
      <w:tblCellSpacing w:w="20" w:type="dxa"/>
      <w:tblInd w:w="0" w:type="nil"/>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nhideWhenUsed/>
    <w:rsid w:val="00E271B8"/>
    <w:pPr>
      <w:spacing w:after="180"/>
    </w:pPr>
    <w:rPr>
      <w:rFonts w:ascii="Times New Roman" w:hAnsi="Times New Roman" w:eastAsia="MS Mincho"/>
      <w:lang w:val="sv-SE" w:eastAsia="sv-SE"/>
    </w:rPr>
    <w:tblPr>
      <w:tblCellSpacing w:w="20" w:type="dxa"/>
      <w:tblInd w:w="0" w:type="nil"/>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l2br w:val="none" w:color="auto" w:sz="0" w:space="0"/>
          <w:tr2bl w:val="none" w:color="auto" w:sz="0" w:space="0"/>
        </w:tcBorders>
      </w:tcPr>
    </w:tblStylePr>
  </w:style>
  <w:style w:type="table" w:styleId="TableTheme">
    <w:name w:val="Table Theme"/>
    <w:basedOn w:val="TableNormal"/>
    <w:unhideWhenUsed/>
    <w:rsid w:val="00E271B8"/>
    <w:pPr>
      <w:spacing w:after="180"/>
    </w:pPr>
    <w:rPr>
      <w:rFonts w:ascii="Times New Roman" w:hAnsi="Times New Roman" w:eastAsia="MS Mincho"/>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styleId="FL" w:customStyle="1">
    <w:name w:val="FL"/>
    <w:basedOn w:val="Normal"/>
    <w:rsid w:val="00E271B8"/>
    <w:pPr>
      <w:keepNext/>
      <w:keepLines/>
      <w:spacing w:before="60" w:after="180"/>
      <w:jc w:val="center"/>
      <w:textAlignment w:val="auto"/>
    </w:pPr>
    <w:rPr>
      <w:b/>
      <w:lang w:eastAsia="en-GB"/>
    </w:rPr>
  </w:style>
  <w:style w:type="character" w:styleId="B1Car" w:customStyle="1">
    <w:name w:val="B1+ Car"/>
    <w:link w:val="B1"/>
    <w:locked/>
    <w:rsid w:val="00E271B8"/>
    <w:rPr>
      <w:lang w:val="en-GB" w:eastAsia="en-GB"/>
    </w:rPr>
  </w:style>
  <w:style w:type="paragraph" w:styleId="B1" w:customStyle="1">
    <w:name w:val="B1+"/>
    <w:basedOn w:val="B10"/>
    <w:link w:val="B1Car"/>
    <w:rsid w:val="00E271B8"/>
    <w:pPr>
      <w:numPr>
        <w:numId w:val="20"/>
      </w:numPr>
      <w:textAlignment w:val="auto"/>
    </w:pPr>
    <w:rPr>
      <w:rFonts w:ascii="CG Times (WN)" w:hAnsi="CG Times (WN)"/>
      <w:lang w:eastAsia="en-GB"/>
    </w:rPr>
  </w:style>
  <w:style w:type="paragraph" w:styleId="TALLeft1cm" w:customStyle="1">
    <w:name w:val="TAL + Left:  1 cm"/>
    <w:basedOn w:val="TAL"/>
    <w:qFormat/>
    <w:rsid w:val="00E271B8"/>
    <w:pPr>
      <w:ind w:left="567"/>
      <w:textAlignment w:val="auto"/>
    </w:pPr>
    <w:rPr>
      <w:rFonts w:cs="Arial"/>
      <w:lang w:val="x-none" w:eastAsia="en-GB"/>
    </w:rPr>
  </w:style>
  <w:style w:type="character" w:styleId="EXChar" w:customStyle="1">
    <w:name w:val="EX Char"/>
    <w:link w:val="EX"/>
    <w:locked/>
    <w:rsid w:val="00461B0C"/>
    <w:rPr>
      <w:rFonts w:ascii="Arial" w:hAnsi="Arial"/>
      <w:lang w:val="en-GB" w:eastAsia="en-US"/>
    </w:rPr>
  </w:style>
  <w:style w:type="paragraph" w:styleId="FirstChange" w:customStyle="1">
    <w:name w:val="First Change"/>
    <w:basedOn w:val="Normal"/>
    <w:qFormat/>
    <w:rsid w:val="00604D51"/>
    <w:pPr>
      <w:overflowPunct/>
      <w:autoSpaceDE/>
      <w:autoSpaceDN/>
      <w:adjustRightInd/>
      <w:spacing w:after="180"/>
      <w:jc w:val="center"/>
      <w:textAlignment w:val="auto"/>
    </w:pPr>
    <w:rPr>
      <w:rFonts w:ascii="Times New Roman" w:hAnsi="Times New Roman" w:eastAsia="SimSun"/>
      <w:color w:val="FF0000"/>
      <w:lang w:eastAsia="en-US"/>
    </w:rPr>
  </w:style>
  <w:style w:type="character" w:styleId="CaptionChar1" w:customStyle="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styleId="ReviewTextChar" w:customStyle="1">
    <w:name w:val="ReviewText Char"/>
    <w:link w:val="ReviewText"/>
    <w:qFormat/>
    <w:rsid w:val="00E46B1B"/>
    <w:rPr>
      <w:rFonts w:ascii="Calibri Light" w:hAnsi="Calibri Light" w:eastAsia="Malgun Gothic"/>
    </w:rPr>
  </w:style>
  <w:style w:type="paragraph" w:styleId="ReviewText" w:customStyle="1">
    <w:name w:val="ReviewText"/>
    <w:basedOn w:val="Normal"/>
    <w:link w:val="ReviewTextChar"/>
    <w:qFormat/>
    <w:rsid w:val="00E46B1B"/>
    <w:pPr>
      <w:spacing w:after="80"/>
      <w:ind w:left="567"/>
      <w:jc w:val="left"/>
    </w:pPr>
    <w:rPr>
      <w:rFonts w:ascii="Calibri Light" w:hAnsi="Calibri Light" w:eastAsia="Malgun Gothic"/>
      <w:lang w:val="en-US"/>
    </w:rPr>
  </w:style>
  <w:style w:type="character" w:styleId="Strong">
    <w:name w:val="Strong"/>
    <w:qFormat/>
    <w:rsid w:val="00011CA9"/>
    <w:rPr>
      <w:b/>
      <w:bCs/>
    </w:rPr>
  </w:style>
  <w:style w:type="paragraph" w:styleId="ListParagraph2" w:customStyle="1">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hAnsi="Times New Roman" w:eastAsia="SimSun"/>
      <w:sz w:val="24"/>
      <w:szCs w:val="24"/>
      <w:lang w:val="en-US"/>
    </w:rPr>
  </w:style>
  <w:style w:type="character" w:styleId="ProposalChar" w:customStyle="1">
    <w:name w:val="Proposal Char"/>
    <w:link w:val="Proposal"/>
    <w:rsid w:val="00011CA9"/>
    <w:rPr>
      <w:rFonts w:ascii="Arial" w:hAnsi="Arial"/>
      <w:b/>
      <w:bCs/>
      <w:lang w:val="en-GB"/>
    </w:rPr>
  </w:style>
  <w:style w:type="paragraph" w:styleId="ColorfulList-Accent11" w:customStyle="1">
    <w:name w:val="Colorful List - Accent 11"/>
    <w:basedOn w:val="Normal"/>
    <w:qFormat/>
    <w:rsid w:val="00011CA9"/>
    <w:pPr>
      <w:spacing w:after="180"/>
      <w:ind w:left="720"/>
      <w:contextualSpacing/>
      <w:jc w:val="left"/>
    </w:pPr>
    <w:rPr>
      <w:rFonts w:ascii="KaiTi_GB2312" w:hAnsi="KaiTi_GB2312" w:eastAsia="MS UI Gothic" w:cs="KaiTi_GB2312"/>
      <w:lang w:val="en-US" w:eastAsia="en-US"/>
    </w:rPr>
  </w:style>
  <w:style w:type="paragraph" w:styleId="Doc-title" w:customStyle="1">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hAnsi="DotumChe" w:eastAsia="SimHei" w:cs="KaiTi_GB2312"/>
      <w:szCs w:val="24"/>
      <w:lang w:eastAsia="en-GB"/>
    </w:rPr>
  </w:style>
  <w:style w:type="character" w:styleId="Doc-titleChar" w:customStyle="1">
    <w:name w:val="Doc-title Char"/>
    <w:link w:val="Doc-title"/>
    <w:rsid w:val="00011CA9"/>
    <w:rPr>
      <w:rFonts w:ascii="DotumChe" w:hAnsi="DotumChe" w:eastAsia="SimHei" w:cs="KaiTi_GB2312"/>
      <w:szCs w:val="24"/>
      <w:lang w:val="en-GB" w:eastAsia="en-GB"/>
    </w:rPr>
  </w:style>
  <w:style w:type="paragraph" w:styleId="Comments" w:customStyle="1">
    <w:name w:val="Comments"/>
    <w:basedOn w:val="Normal"/>
    <w:link w:val="CommentsChar"/>
    <w:qFormat/>
    <w:rsid w:val="00011CA9"/>
    <w:pPr>
      <w:overflowPunct/>
      <w:autoSpaceDE/>
      <w:autoSpaceDN/>
      <w:adjustRightInd/>
      <w:spacing w:before="40" w:after="0"/>
      <w:jc w:val="left"/>
      <w:textAlignment w:val="auto"/>
    </w:pPr>
    <w:rPr>
      <w:rFonts w:ascii="DotumChe" w:hAnsi="DotumChe" w:eastAsia="SimHei" w:cs="KaiTi_GB2312"/>
      <w:i/>
      <w:noProof/>
      <w:sz w:val="18"/>
      <w:szCs w:val="24"/>
      <w:lang w:eastAsia="en-GB"/>
    </w:rPr>
  </w:style>
  <w:style w:type="character" w:styleId="CommentsChar" w:customStyle="1">
    <w:name w:val="Comments Char"/>
    <w:link w:val="Comments"/>
    <w:rsid w:val="00011CA9"/>
    <w:rPr>
      <w:rFonts w:ascii="DotumChe" w:hAnsi="DotumChe" w:eastAsia="SimHei" w:cs="KaiTi_GB2312"/>
      <w:i/>
      <w:noProof/>
      <w:sz w:val="18"/>
      <w:szCs w:val="24"/>
      <w:lang w:val="en-GB" w:eastAsia="en-GB"/>
    </w:rPr>
  </w:style>
  <w:style w:type="character" w:styleId="call-text1" w:customStyle="1">
    <w:name w:val="call-text1"/>
    <w:basedOn w:val="DefaultParagraphFont"/>
    <w:rsid w:val="00011CA9"/>
  </w:style>
  <w:style w:type="character" w:styleId="call-text-time1" w:customStyle="1">
    <w:name w:val="call-text-time1"/>
    <w:rsid w:val="00011CA9"/>
    <w:rPr>
      <w:color w:val="717172"/>
    </w:rPr>
  </w:style>
  <w:style w:type="paragraph" w:styleId="references" w:customStyle="1">
    <w:name w:val="references"/>
    <w:rsid w:val="00011CA9"/>
    <w:pPr>
      <w:numPr>
        <w:numId w:val="22"/>
      </w:numPr>
      <w:spacing w:after="50" w:line="180" w:lineRule="exact"/>
      <w:jc w:val="both"/>
    </w:pPr>
    <w:rPr>
      <w:rFonts w:ascii="KaiTi_GB2312" w:hAnsi="KaiTi_GB2312" w:eastAsia="SimHei" w:cs="KaiTi_GB2312"/>
      <w:noProof/>
      <w:sz w:val="16"/>
      <w:szCs w:val="16"/>
      <w:lang w:eastAsia="en-US"/>
    </w:rPr>
  </w:style>
  <w:style w:type="numbering" w:styleId="Recommendation" w:customStyle="1">
    <w:name w:val="Recommendation"/>
    <w:uiPriority w:val="99"/>
    <w:rsid w:val="00011CA9"/>
    <w:pPr>
      <w:numPr>
        <w:numId w:val="23"/>
      </w:numPr>
    </w:pPr>
  </w:style>
  <w:style w:type="paragraph" w:styleId="maintext" w:customStyle="1">
    <w:name w:val="main text"/>
    <w:basedOn w:val="Normal"/>
    <w:link w:val="maintextChar"/>
    <w:qFormat/>
    <w:rsid w:val="00011CA9"/>
    <w:pPr>
      <w:overflowPunct/>
      <w:autoSpaceDE/>
      <w:autoSpaceDN/>
      <w:adjustRightInd/>
      <w:spacing w:before="60" w:after="60" w:line="288" w:lineRule="auto"/>
      <w:ind w:firstLine="200" w:firstLineChars="200"/>
      <w:textAlignment w:val="auto"/>
    </w:pPr>
    <w:rPr>
      <w:rFonts w:ascii="KaiTi_GB2312" w:hAnsi="KaiTi_GB2312" w:eastAsia="minorBidi" w:cs="DotumChe"/>
      <w:lang w:eastAsia="ko-KR"/>
    </w:rPr>
  </w:style>
  <w:style w:type="character" w:styleId="maintextChar" w:customStyle="1">
    <w:name w:val="main text Char"/>
    <w:link w:val="maintext"/>
    <w:qFormat/>
    <w:rsid w:val="00011CA9"/>
    <w:rPr>
      <w:rFonts w:ascii="KaiTi_GB2312" w:hAnsi="KaiTi_GB2312" w:eastAsia="minorBidi" w:cs="DotumChe"/>
      <w:lang w:val="en-GB" w:eastAsia="ko-KR"/>
    </w:rPr>
  </w:style>
  <w:style w:type="paragraph" w:styleId="TALLeft0" w:customStyle="1">
    <w:name w:val="TAL + Left:  0"/>
    <w:aliases w:val="25 cm,19 cm,4 cm"/>
    <w:basedOn w:val="TAL"/>
    <w:rsid w:val="00011CA9"/>
    <w:pPr>
      <w:spacing w:line="0" w:lineRule="atLeast"/>
      <w:ind w:left="142"/>
    </w:pPr>
    <w:rPr>
      <w:rFonts w:ascii="DotumChe" w:hAnsi="DotumChe" w:eastAsia="MS UI Gothic" w:cs="KaiTi_GB2312"/>
      <w:lang w:eastAsia="en-GB"/>
    </w:rPr>
  </w:style>
  <w:style w:type="paragraph" w:styleId="TALLeft050cm" w:customStyle="1">
    <w:name w:val="TAL + Left:  050 cm"/>
    <w:basedOn w:val="TAL"/>
    <w:rsid w:val="00011CA9"/>
    <w:pPr>
      <w:spacing w:line="0" w:lineRule="atLeast"/>
      <w:ind w:left="284"/>
    </w:pPr>
    <w:rPr>
      <w:rFonts w:ascii="DotumChe" w:hAnsi="DotumChe" w:eastAsia="MS UI Gothic" w:cs="KaiTi_GB2312"/>
      <w:lang w:eastAsia="en-GB"/>
    </w:rPr>
  </w:style>
  <w:style w:type="paragraph" w:styleId="TALLeft00" w:customStyle="1">
    <w:name w:val="TAL + Left: 0"/>
    <w:aliases w:val="75 cm"/>
    <w:basedOn w:val="TALLeft050cm"/>
    <w:rsid w:val="00011CA9"/>
    <w:pPr>
      <w:ind w:left="425"/>
    </w:pPr>
  </w:style>
  <w:style w:type="paragraph" w:styleId="TALLeft02cm" w:customStyle="1">
    <w:name w:val="TAL + Left: 0.2 cm"/>
    <w:basedOn w:val="TAL"/>
    <w:qFormat/>
    <w:rsid w:val="00011CA9"/>
    <w:pPr>
      <w:overflowPunct/>
      <w:autoSpaceDE/>
      <w:autoSpaceDN/>
      <w:adjustRightInd/>
      <w:ind w:left="113"/>
      <w:textAlignment w:val="auto"/>
    </w:pPr>
    <w:rPr>
      <w:rFonts w:ascii="DotumChe" w:hAnsi="DotumChe" w:eastAsia="MS UI Gothic" w:cs="KaiTi_GB2312"/>
      <w:bCs/>
      <w:noProof/>
    </w:rPr>
  </w:style>
  <w:style w:type="paragraph" w:styleId="TALLeft04cm" w:customStyle="1">
    <w:name w:val="TAL + Left: 0.4 cm"/>
    <w:basedOn w:val="TALLeft02cm"/>
    <w:qFormat/>
    <w:rsid w:val="00011CA9"/>
    <w:pPr>
      <w:ind w:left="227"/>
    </w:pPr>
  </w:style>
  <w:style w:type="paragraph" w:styleId="TALLeft06cm" w:customStyle="1">
    <w:name w:val="TAL + Left: 0.6 cm"/>
    <w:basedOn w:val="TALLeft04cm"/>
    <w:qFormat/>
    <w:rsid w:val="00011CA9"/>
    <w:pPr>
      <w:ind w:left="340"/>
    </w:pPr>
  </w:style>
  <w:style w:type="character" w:styleId="3GPPHeaderChar" w:customStyle="1">
    <w:name w:val="3GPP_Header Char"/>
    <w:link w:val="3GPPHeader"/>
    <w:rsid w:val="00011CA9"/>
    <w:rPr>
      <w:rFonts w:ascii="Arial" w:hAnsi="Arial"/>
      <w:b/>
      <w:sz w:val="24"/>
      <w:lang w:val="en-GB"/>
    </w:rPr>
  </w:style>
  <w:style w:type="paragraph" w:styleId="TAJ" w:customStyle="1">
    <w:name w:val="TAJ"/>
    <w:basedOn w:val="TH"/>
    <w:rsid w:val="00011CA9"/>
    <w:rPr>
      <w:rFonts w:eastAsia="SimSun"/>
      <w:lang w:eastAsia="ko-KR"/>
    </w:rPr>
  </w:style>
  <w:style w:type="character" w:styleId="Mention1" w:customStyle="1">
    <w:name w:val="Mention1"/>
    <w:uiPriority w:val="99"/>
    <w:semiHidden/>
    <w:unhideWhenUsed/>
    <w:rsid w:val="00011CA9"/>
    <w:rPr>
      <w:color w:val="2B579A"/>
      <w:shd w:val="clear" w:color="auto" w:fill="E6E6E6"/>
    </w:rPr>
  </w:style>
  <w:style w:type="paragraph" w:styleId="Head6" w:customStyle="1">
    <w:name w:val="Head 6"/>
    <w:basedOn w:val="Normal"/>
    <w:next w:val="Normal"/>
    <w:rsid w:val="00011CA9"/>
    <w:pPr>
      <w:spacing w:before="120" w:after="180"/>
      <w:ind w:left="1985" w:hanging="1985"/>
      <w:jc w:val="left"/>
    </w:pPr>
    <w:rPr>
      <w:rFonts w:eastAsia="SimSun"/>
      <w:lang w:eastAsia="en-US"/>
    </w:rPr>
  </w:style>
  <w:style w:type="character" w:styleId="TALLeft100cmCharChar0" w:customStyle="1">
    <w:name w:val="TAL + Left:  1;00 cm Char Char"/>
    <w:rsid w:val="00011CA9"/>
    <w:rPr>
      <w:rFonts w:ascii="Arial" w:hAnsi="Arial" w:cs="Arial"/>
      <w:sz w:val="18"/>
      <w:szCs w:val="18"/>
      <w:lang w:val="en-GB" w:eastAsia="ko-KR"/>
    </w:rPr>
  </w:style>
  <w:style w:type="paragraph" w:styleId="a2" w:customStyle="1">
    <w:name w:val="a"/>
    <w:basedOn w:val="CRCoverPage"/>
    <w:rsid w:val="00011CA9"/>
    <w:pPr>
      <w:tabs>
        <w:tab w:val="left" w:pos="1985"/>
      </w:tabs>
    </w:pPr>
    <w:rPr>
      <w:rFonts w:eastAsia="SimSun" w:cs="Arial"/>
      <w:b/>
      <w:bCs/>
      <w:color w:val="000000"/>
      <w:sz w:val="24"/>
      <w:szCs w:val="24"/>
      <w:lang w:val="en-US"/>
    </w:rPr>
  </w:style>
  <w:style w:type="paragraph" w:styleId="TALNotBold" w:customStyle="1">
    <w:name w:val="TAL + Not Bold"/>
    <w:aliases w:val="Left"/>
    <w:basedOn w:val="TH"/>
    <w:link w:val="TALNotBoldChar"/>
    <w:rsid w:val="00011CA9"/>
    <w:pPr>
      <w:keepNext w:val="0"/>
      <w:spacing w:before="0" w:after="240"/>
    </w:pPr>
    <w:rPr>
      <w:rFonts w:eastAsia="SimSun"/>
      <w:lang w:eastAsia="ko-KR"/>
    </w:rPr>
  </w:style>
  <w:style w:type="character" w:styleId="TALNotBoldChar" w:customStyle="1">
    <w:name w:val="TAL + Not Bold Char"/>
    <w:aliases w:val="Left Char"/>
    <w:link w:val="TALNotBold"/>
    <w:rsid w:val="00011CA9"/>
    <w:rPr>
      <w:rFonts w:ascii="Arial" w:hAnsi="Arial" w:eastAsia="SimSun"/>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5AIRPNAIUNRU-1156379521-2961</_dlc_DocId>
    <_dlc_DocIdUrl xmlns="71c5aaf6-e6ce-465b-b873-5148d2a4c105">
      <Url>https://nokia.sharepoint.com/sites/c5g/e2earch/_layouts/15/DocIdRedir.aspx?ID=5AIRPNAIUNRU-1156379521-2961</Url>
      <Description>5AIRPNAIUNRU-1156379521-2961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FF2D6-E2C6-4B2B-9C08-7E959399A795}">
  <ds:schemaRefs>
    <ds:schemaRef ds:uri="http://schemas.openxmlformats.org/officeDocument/2006/bibliography"/>
  </ds:schemaRefs>
</ds:datastoreItem>
</file>

<file path=customXml/itemProps5.xml><?xml version="1.0" encoding="utf-8"?>
<ds:datastoreItem xmlns:ds="http://schemas.openxmlformats.org/officeDocument/2006/customXml" ds:itemID="{5A61D7D7-6A4A-4CA1-881E-CC94B028719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b1e1cf1a-759b-4612-9ceb-2888e9efb08a"/>
    <ds:schemaRef ds:uri="a3840f4f-04be-43d1-b2ef-6ff1382503c7"/>
    <ds:schemaRef ds:uri="http://www.w3.org/XML/1998/namespace"/>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1</Pages>
  <Words>1662</Words>
  <Characters>9476</Characters>
  <Application>Microsoft Office Word</Application>
  <DocSecurity>4</DocSecurity>
  <Lines>78</Lines>
  <Paragraphs>22</Paragraphs>
  <ScaleCrop>false</ScaleCrop>
  <Company>Ericsson</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[Nokia] Steven Xu</cp:lastModifiedBy>
  <cp:revision>62</cp:revision>
  <cp:lastPrinted>2021-10-21T20:07:00Z</cp:lastPrinted>
  <dcterms:created xsi:type="dcterms:W3CDTF">2022-06-15T19:54:00Z</dcterms:created>
  <dcterms:modified xsi:type="dcterms:W3CDTF">2022-08-09T20:18:00Z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8194cd4b-306b-4608-997f-9b080c07fd6f</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