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B8010" w14:textId="5AB067FC" w:rsidR="00FE6CD1" w:rsidRPr="00966773" w:rsidRDefault="00FE6CD1" w:rsidP="00FE6CD1">
      <w:pPr>
        <w:pStyle w:val="3GPPHeader"/>
        <w:ind w:right="-567"/>
        <w:jc w:val="right"/>
        <w:rPr>
          <w:sz w:val="32"/>
          <w:szCs w:val="32"/>
        </w:rPr>
      </w:pPr>
      <w:r w:rsidRPr="00966773">
        <w:t>3GPP TSG-RAN WG3 #11</w:t>
      </w:r>
      <w:r w:rsidR="00231052">
        <w:t>4</w:t>
      </w:r>
      <w:r w:rsidRPr="00966773">
        <w:t>-e</w:t>
      </w:r>
      <w:r w:rsidRPr="00966773">
        <w:tab/>
      </w:r>
      <w:r w:rsidRPr="00966773">
        <w:rPr>
          <w:sz w:val="32"/>
          <w:szCs w:val="32"/>
        </w:rPr>
        <w:t>R3-21</w:t>
      </w:r>
      <w:bookmarkStart w:id="0" w:name="_Hlk61362165"/>
      <w:r w:rsidR="00167300">
        <w:rPr>
          <w:sz w:val="32"/>
          <w:szCs w:val="32"/>
        </w:rPr>
        <w:t>6219</w:t>
      </w:r>
      <w:r w:rsidRPr="00966773">
        <w:rPr>
          <w:sz w:val="32"/>
          <w:szCs w:val="32"/>
        </w:rPr>
        <w:br/>
      </w:r>
      <w:r w:rsidRPr="00966773">
        <w:t xml:space="preserve">Online, </w:t>
      </w:r>
      <w:r w:rsidR="00231052">
        <w:t>1-11</w:t>
      </w:r>
      <w:r w:rsidRPr="00966773">
        <w:t xml:space="preserve"> </w:t>
      </w:r>
      <w:r w:rsidR="00231052">
        <w:t>November</w:t>
      </w:r>
      <w:r w:rsidRPr="00966773">
        <w:t xml:space="preserve"> 2021</w:t>
      </w:r>
      <w:r w:rsidRPr="00966773">
        <w:rPr>
          <w:sz w:val="32"/>
          <w:szCs w:val="32"/>
        </w:rPr>
        <w:t xml:space="preserve"> </w:t>
      </w:r>
      <w:r w:rsidRPr="00966773">
        <w:rPr>
          <w:sz w:val="32"/>
          <w:szCs w:val="32"/>
        </w:rPr>
        <w:tab/>
      </w:r>
      <w:bookmarkEnd w:id="0"/>
    </w:p>
    <w:p w14:paraId="264CD263" w14:textId="32B1819D" w:rsidR="00FE6CD1" w:rsidRPr="00966773" w:rsidRDefault="00FE6CD1" w:rsidP="00FE6CD1">
      <w:pPr>
        <w:pStyle w:val="3GPPHeader"/>
      </w:pPr>
      <w:r w:rsidRPr="00966773">
        <w:t>Agenda Item:</w:t>
      </w:r>
      <w:r w:rsidRPr="00966773">
        <w:tab/>
      </w:r>
      <w:r w:rsidR="00656D20">
        <w:t>12</w:t>
      </w:r>
      <w:r w:rsidR="00355F4B">
        <w:t>.</w:t>
      </w:r>
      <w:r w:rsidR="00656D20">
        <w:t>3</w:t>
      </w:r>
    </w:p>
    <w:p w14:paraId="6C2FDB02" w14:textId="2BAAF0BA" w:rsidR="00FE6CD1" w:rsidRPr="00966773" w:rsidRDefault="00FE6CD1" w:rsidP="00FE6CD1">
      <w:pPr>
        <w:pStyle w:val="3GPPHeader"/>
      </w:pPr>
      <w:r w:rsidRPr="00966773">
        <w:t>Source:</w:t>
      </w:r>
      <w:r w:rsidRPr="00966773">
        <w:tab/>
        <w:t>Ericsson</w:t>
      </w:r>
      <w:r w:rsidR="008B4597">
        <w:t xml:space="preserve"> (moderator)</w:t>
      </w:r>
    </w:p>
    <w:p w14:paraId="02F1BAAA" w14:textId="0C30E23D" w:rsidR="00FE6CD1" w:rsidRPr="00966773" w:rsidRDefault="00FE6CD1" w:rsidP="00A50991">
      <w:pPr>
        <w:pStyle w:val="3GPPHeader"/>
        <w:ind w:left="1695" w:hanging="1695"/>
      </w:pPr>
      <w:r w:rsidRPr="00966773">
        <w:t>Title:</w:t>
      </w:r>
      <w:r w:rsidRPr="00966773">
        <w:tab/>
      </w:r>
      <w:r w:rsidR="00355F4B">
        <w:tab/>
      </w:r>
      <w:r w:rsidR="002F3D66" w:rsidRPr="002F3D66">
        <w:t>CB: # NBIoTMTC2_Others</w:t>
      </w:r>
    </w:p>
    <w:p w14:paraId="0E92C4A2" w14:textId="77777777" w:rsidR="00FE6CD1" w:rsidRPr="00966773" w:rsidRDefault="00FE6CD1" w:rsidP="00FE6CD1">
      <w:pPr>
        <w:pStyle w:val="3GPPHeader"/>
      </w:pPr>
      <w:r w:rsidRPr="00966773">
        <w:t>Document for:</w:t>
      </w:r>
      <w:r w:rsidRPr="00966773">
        <w:tab/>
        <w:t>Discussion</w:t>
      </w:r>
    </w:p>
    <w:p w14:paraId="2F8E2929" w14:textId="77777777" w:rsidR="00FE6CD1" w:rsidRPr="00966773" w:rsidRDefault="00FE6CD1" w:rsidP="00FE6CD1">
      <w:pPr>
        <w:pStyle w:val="Heading1"/>
      </w:pPr>
      <w:r w:rsidRPr="00966773">
        <w:t>Introduction</w:t>
      </w:r>
    </w:p>
    <w:p w14:paraId="6B560DE4" w14:textId="77777777" w:rsidR="002F3D66" w:rsidRDefault="002F3D66" w:rsidP="002F3D66">
      <w:pPr>
        <w:widowControl w:val="0"/>
        <w:ind w:left="144" w:hanging="144"/>
        <w:rPr>
          <w:b/>
          <w:color w:val="FF00FF"/>
          <w:sz w:val="18"/>
          <w:lang w:eastAsia="en-US"/>
        </w:rPr>
      </w:pPr>
      <w:r>
        <w:rPr>
          <w:b/>
          <w:color w:val="FF00FF"/>
          <w:sz w:val="18"/>
          <w:lang w:eastAsia="en-US"/>
        </w:rPr>
        <w:t xml:space="preserve">CB: # </w:t>
      </w:r>
      <w:r>
        <w:rPr>
          <w:b/>
          <w:bCs/>
          <w:color w:val="FF00FF"/>
          <w:sz w:val="18"/>
          <w:szCs w:val="18"/>
        </w:rPr>
        <w:t>NBIoTMTC2_Others</w:t>
      </w:r>
    </w:p>
    <w:p w14:paraId="5F5FCC6D" w14:textId="77777777" w:rsidR="002F3D66" w:rsidRDefault="002F3D66" w:rsidP="002F3D66">
      <w:pPr>
        <w:widowControl w:val="0"/>
        <w:ind w:left="144" w:hanging="144"/>
        <w:rPr>
          <w:b/>
          <w:bCs/>
          <w:color w:val="FF00FF"/>
          <w:sz w:val="18"/>
          <w:szCs w:val="18"/>
        </w:rPr>
      </w:pPr>
      <w:r>
        <w:rPr>
          <w:b/>
          <w:bCs/>
          <w:color w:val="FF00FF"/>
          <w:sz w:val="18"/>
          <w:szCs w:val="18"/>
        </w:rPr>
        <w:t>- Intra eNB CP relocation for NB-IoT</w:t>
      </w:r>
    </w:p>
    <w:p w14:paraId="79326150" w14:textId="77777777" w:rsidR="002F3D66" w:rsidRDefault="002F3D66" w:rsidP="002F3D66">
      <w:pPr>
        <w:widowControl w:val="0"/>
        <w:ind w:left="144" w:hanging="144"/>
        <w:rPr>
          <w:b/>
          <w:bCs/>
          <w:color w:val="FF00FF"/>
          <w:sz w:val="18"/>
          <w:szCs w:val="18"/>
        </w:rPr>
      </w:pPr>
      <w:r>
        <w:rPr>
          <w:b/>
          <w:bCs/>
          <w:color w:val="FF00FF"/>
          <w:sz w:val="18"/>
          <w:szCs w:val="18"/>
        </w:rPr>
        <w:t xml:space="preserve">- </w:t>
      </w:r>
      <w:r>
        <w:rPr>
          <w:rFonts w:eastAsia="DengXian" w:cs="Calibri"/>
          <w:b/>
          <w:bCs/>
          <w:color w:val="FF00FF"/>
          <w:sz w:val="18"/>
          <w:szCs w:val="18"/>
        </w:rPr>
        <w:t>Capture agreements, if any</w:t>
      </w:r>
    </w:p>
    <w:p w14:paraId="083FE7C7" w14:textId="5EC62EF6" w:rsidR="008B4597" w:rsidRPr="00966773" w:rsidRDefault="008B4597" w:rsidP="008B4597">
      <w:pPr>
        <w:pStyle w:val="Heading1"/>
      </w:pPr>
      <w:r>
        <w:t>To the chair’s notes</w:t>
      </w:r>
      <w:r w:rsidR="00231052">
        <w:t xml:space="preserve"> </w:t>
      </w:r>
    </w:p>
    <w:p w14:paraId="72D51CBE" w14:textId="04E78AB7" w:rsidR="00656D20" w:rsidRPr="00656D20" w:rsidRDefault="00656D20" w:rsidP="00656D20">
      <w:pPr>
        <w:rPr>
          <w:b/>
          <w:bCs/>
          <w:sz w:val="20"/>
          <w:szCs w:val="22"/>
        </w:rPr>
      </w:pPr>
      <w:r>
        <w:rPr>
          <w:b/>
          <w:bCs/>
          <w:sz w:val="20"/>
          <w:szCs w:val="22"/>
        </w:rPr>
        <w:t>R3-215420 is noted</w:t>
      </w:r>
    </w:p>
    <w:p w14:paraId="17896823" w14:textId="4B85C4E5" w:rsidR="0001314F" w:rsidRPr="00966773" w:rsidRDefault="0001314F" w:rsidP="0001314F">
      <w:pPr>
        <w:pStyle w:val="Heading1"/>
      </w:pPr>
      <w:r>
        <w:t>Discussion</w:t>
      </w:r>
    </w:p>
    <w:p w14:paraId="6B0ECBC8" w14:textId="1D29D280" w:rsidR="002F3D66" w:rsidRPr="00A85197" w:rsidRDefault="002F3D66" w:rsidP="002F3D66">
      <w:pPr>
        <w:rPr>
          <w:sz w:val="20"/>
          <w:szCs w:val="22"/>
          <w:lang w:val="en-US"/>
        </w:rPr>
      </w:pPr>
      <w:r w:rsidRPr="00A85197">
        <w:rPr>
          <w:sz w:val="20"/>
          <w:szCs w:val="22"/>
          <w:lang w:val="en-US"/>
        </w:rPr>
        <w:t>It has been described in [1], that when the UE can do the CP relocation inside the same eNB, the procedures of eNB CP Relocation, MME CP Relocation could be simplified to save the signaling and reduce the latency in handling RRC re-establishment.</w:t>
      </w:r>
    </w:p>
    <w:p w14:paraId="31AC9E76" w14:textId="77777777" w:rsidR="002F3D66" w:rsidRPr="00D60C7A" w:rsidRDefault="002F3D66" w:rsidP="002F3D66">
      <w:pPr>
        <w:rPr>
          <w:lang w:val="en-US"/>
        </w:rPr>
      </w:pPr>
      <w:r w:rsidRPr="00B60A7F">
        <w:object w:dxaOrig="7699" w:dyaOrig="2204" w14:anchorId="43BDF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5pt;height:109.35pt" o:ole="">
            <v:imagedata r:id="rId10" o:title=""/>
          </v:shape>
          <o:OLEObject Type="Embed" ProgID="Visio.Drawing.11" ShapeID="_x0000_i1025" DrawAspect="Content" ObjectID="_1698135585" r:id="rId11"/>
        </w:object>
      </w:r>
    </w:p>
    <w:p w14:paraId="4647D06F" w14:textId="77777777" w:rsidR="002F3D66" w:rsidRDefault="002F3D66" w:rsidP="002F3D66">
      <w:pPr>
        <w:rPr>
          <w:b/>
          <w:lang w:val="en-US"/>
        </w:rPr>
      </w:pPr>
    </w:p>
    <w:p w14:paraId="4C141BAC" w14:textId="11669F2B" w:rsidR="002F3D66" w:rsidRPr="00A85197" w:rsidRDefault="002F3D66" w:rsidP="002F3D66">
      <w:pPr>
        <w:rPr>
          <w:sz w:val="20"/>
          <w:szCs w:val="22"/>
          <w:lang w:val="en-US"/>
        </w:rPr>
      </w:pPr>
      <w:r w:rsidRPr="00A85197">
        <w:rPr>
          <w:sz w:val="20"/>
          <w:szCs w:val="22"/>
          <w:lang w:val="en-US"/>
        </w:rPr>
        <w:t xml:space="preserve">One possible enhancement is, in the above procedure, when MME receives the eNB CP RELOCATION INDICATION, it would know that the eNB is the same as the eNB that served the UE before and that there is an </w:t>
      </w:r>
      <w:r w:rsidR="00A85197" w:rsidRPr="00A85197">
        <w:rPr>
          <w:sz w:val="20"/>
          <w:szCs w:val="22"/>
          <w:lang w:val="en-US"/>
        </w:rPr>
        <w:t>existing</w:t>
      </w:r>
      <w:r w:rsidRPr="00A85197">
        <w:rPr>
          <w:sz w:val="20"/>
          <w:szCs w:val="22"/>
          <w:lang w:val="en-US"/>
        </w:rPr>
        <w:t xml:space="preserve"> UE associated S1 signaling connection for the UE.</w:t>
      </w:r>
    </w:p>
    <w:p w14:paraId="6ED2BB37" w14:textId="50E95870" w:rsidR="002F3D66" w:rsidRPr="00A85197" w:rsidRDefault="002F3D66" w:rsidP="002F3D66">
      <w:pPr>
        <w:rPr>
          <w:sz w:val="20"/>
          <w:szCs w:val="22"/>
          <w:lang w:val="en-US"/>
        </w:rPr>
      </w:pPr>
      <w:r w:rsidRPr="00A85197">
        <w:rPr>
          <w:sz w:val="20"/>
          <w:szCs w:val="22"/>
          <w:lang w:val="en-US"/>
        </w:rPr>
        <w:t>Instead of going through the procedures otherwise needed for the Inter eNB CP Relocation, MME could indicate, when realizing that the same eNB is used, to send back the UE APID pair for the existing connection in CONNECTION ESTABLISHEMNT INDICATION, and indicate the eNB to local release the new allocated eNB UE APID. The existing UE associated S1 signaling connection is reused.</w:t>
      </w:r>
    </w:p>
    <w:p w14:paraId="24A2EF1E" w14:textId="6E71DC12" w:rsidR="00CF654C" w:rsidRDefault="00A85197" w:rsidP="00CF654C">
      <w:pPr>
        <w:pStyle w:val="ListParagraph"/>
        <w:numPr>
          <w:ilvl w:val="0"/>
          <w:numId w:val="13"/>
        </w:numPr>
        <w:rPr>
          <w:b/>
          <w:bCs/>
          <w:sz w:val="20"/>
          <w:szCs w:val="22"/>
        </w:rPr>
      </w:pPr>
      <w:r>
        <w:rPr>
          <w:b/>
          <w:bCs/>
          <w:sz w:val="20"/>
          <w:szCs w:val="22"/>
        </w:rPr>
        <w:t>Do companies agree that</w:t>
      </w:r>
      <w:r w:rsidRPr="00A85197">
        <w:rPr>
          <w:b/>
          <w:bCs/>
          <w:sz w:val="20"/>
          <w:szCs w:val="22"/>
        </w:rPr>
        <w:t xml:space="preserve"> the Intra eNB CP Relocation for NB-IoT</w:t>
      </w:r>
      <w:r>
        <w:rPr>
          <w:b/>
          <w:bCs/>
          <w:sz w:val="20"/>
          <w:szCs w:val="22"/>
        </w:rPr>
        <w:t xml:space="preserve"> can be enhanced</w:t>
      </w:r>
      <w:r w:rsidRPr="00A85197">
        <w:rPr>
          <w:b/>
          <w:bCs/>
          <w:sz w:val="20"/>
          <w:szCs w:val="22"/>
        </w:rPr>
        <w:t xml:space="preserve"> by </w:t>
      </w:r>
      <w:r>
        <w:rPr>
          <w:b/>
          <w:bCs/>
          <w:sz w:val="20"/>
          <w:szCs w:val="22"/>
        </w:rPr>
        <w:t>allowing</w:t>
      </w:r>
      <w:r w:rsidRPr="00A85197">
        <w:rPr>
          <w:b/>
          <w:bCs/>
          <w:sz w:val="20"/>
          <w:szCs w:val="22"/>
        </w:rPr>
        <w:t xml:space="preserve"> the MME to reuse the existing S1AP connection in Connection Establishment procedure</w:t>
      </w:r>
      <w:r>
        <w:rPr>
          <w:b/>
          <w:bCs/>
          <w:sz w:val="20"/>
          <w:szCs w:val="22"/>
        </w:rPr>
        <w:t>?</w:t>
      </w:r>
    </w:p>
    <w:tbl>
      <w:tblPr>
        <w:tblStyle w:val="TableGrid"/>
        <w:tblW w:w="0" w:type="auto"/>
        <w:tblInd w:w="144" w:type="dxa"/>
        <w:tblLook w:val="04A0" w:firstRow="1" w:lastRow="0" w:firstColumn="1" w:lastColumn="0" w:noHBand="0" w:noVBand="1"/>
      </w:tblPr>
      <w:tblGrid>
        <w:gridCol w:w="1251"/>
        <w:gridCol w:w="6799"/>
      </w:tblGrid>
      <w:tr w:rsidR="00A85197" w14:paraId="05751A22" w14:textId="77777777" w:rsidTr="00D423CB">
        <w:tc>
          <w:tcPr>
            <w:tcW w:w="1251" w:type="dxa"/>
            <w:shd w:val="clear" w:color="auto" w:fill="D5DCE4" w:themeFill="text2" w:themeFillTint="33"/>
          </w:tcPr>
          <w:p w14:paraId="39C409AA" w14:textId="77777777" w:rsidR="00A85197" w:rsidRPr="008B4597" w:rsidRDefault="00A85197" w:rsidP="00D423CB">
            <w:pPr>
              <w:widowControl w:val="0"/>
              <w:rPr>
                <w:b/>
                <w:bCs/>
                <w:color w:val="0D0D0D" w:themeColor="text1" w:themeTint="F2"/>
                <w:sz w:val="18"/>
                <w:szCs w:val="18"/>
              </w:rPr>
            </w:pPr>
            <w:r w:rsidRPr="008B4597">
              <w:rPr>
                <w:b/>
                <w:bCs/>
                <w:color w:val="0D0D0D" w:themeColor="text1" w:themeTint="F2"/>
                <w:sz w:val="18"/>
                <w:szCs w:val="18"/>
              </w:rPr>
              <w:t>Company</w:t>
            </w:r>
          </w:p>
        </w:tc>
        <w:tc>
          <w:tcPr>
            <w:tcW w:w="6799" w:type="dxa"/>
            <w:shd w:val="clear" w:color="auto" w:fill="D5DCE4" w:themeFill="text2" w:themeFillTint="33"/>
          </w:tcPr>
          <w:p w14:paraId="75C0EDF0" w14:textId="77777777" w:rsidR="00A85197" w:rsidRPr="008B4597" w:rsidRDefault="00A85197" w:rsidP="00D423CB">
            <w:pPr>
              <w:widowControl w:val="0"/>
              <w:rPr>
                <w:b/>
                <w:bCs/>
                <w:color w:val="0D0D0D" w:themeColor="text1" w:themeTint="F2"/>
                <w:sz w:val="18"/>
                <w:szCs w:val="18"/>
              </w:rPr>
            </w:pPr>
            <w:r w:rsidRPr="008B4597">
              <w:rPr>
                <w:b/>
                <w:bCs/>
                <w:color w:val="0D0D0D" w:themeColor="text1" w:themeTint="F2"/>
                <w:sz w:val="18"/>
                <w:szCs w:val="18"/>
              </w:rPr>
              <w:t>Comment</w:t>
            </w:r>
          </w:p>
        </w:tc>
      </w:tr>
      <w:tr w:rsidR="00A85197" w14:paraId="2DF89A83" w14:textId="77777777" w:rsidTr="00D423CB">
        <w:tc>
          <w:tcPr>
            <w:tcW w:w="1251" w:type="dxa"/>
          </w:tcPr>
          <w:p w14:paraId="78784D42" w14:textId="749D1A8C" w:rsidR="00A85197" w:rsidRPr="003E78B8" w:rsidRDefault="003E78B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6799" w:type="dxa"/>
          </w:tcPr>
          <w:p w14:paraId="4AD2C214" w14:textId="1E0E590E" w:rsidR="004C7708" w:rsidRDefault="004C770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 do not see the need for this.</w:t>
            </w:r>
          </w:p>
          <w:p w14:paraId="609692F8" w14:textId="01274A52" w:rsidR="00A85197" w:rsidRDefault="003E78B8" w:rsidP="00D423CB">
            <w:pPr>
              <w:widowControl w:val="0"/>
              <w:rPr>
                <w:rFonts w:eastAsiaTheme="minorEastAsia"/>
                <w:color w:val="000000"/>
                <w:sz w:val="18"/>
                <w:szCs w:val="18"/>
                <w:lang w:eastAsia="zh-CN"/>
              </w:rPr>
            </w:pPr>
            <w:r>
              <w:rPr>
                <w:rFonts w:eastAsiaTheme="minorEastAsia"/>
                <w:color w:val="000000"/>
                <w:sz w:val="18"/>
                <w:szCs w:val="18"/>
                <w:lang w:eastAsia="zh-CN"/>
              </w:rPr>
              <w:t xml:space="preserve">For control plane solution, the eNB does not store the UE context when the UE moves to idle, and the UE context kept at the eNB side during UE connected mode is quite limited, </w:t>
            </w:r>
            <w:r w:rsidR="004C7708">
              <w:rPr>
                <w:rFonts w:eastAsiaTheme="minorEastAsia"/>
                <w:color w:val="000000"/>
                <w:sz w:val="18"/>
                <w:szCs w:val="18"/>
                <w:lang w:eastAsia="zh-CN"/>
              </w:rPr>
              <w:lastRenderedPageBreak/>
              <w:t>most of the information are</w:t>
            </w:r>
            <w:r>
              <w:rPr>
                <w:rFonts w:eastAsiaTheme="minorEastAsia"/>
                <w:color w:val="000000"/>
                <w:sz w:val="18"/>
                <w:szCs w:val="18"/>
                <w:lang w:eastAsia="zh-CN"/>
              </w:rPr>
              <w:t xml:space="preserve"> </w:t>
            </w:r>
            <w:r w:rsidR="004C7708">
              <w:rPr>
                <w:rFonts w:eastAsiaTheme="minorEastAsia"/>
                <w:color w:val="000000"/>
                <w:sz w:val="18"/>
                <w:szCs w:val="18"/>
                <w:lang w:eastAsia="zh-CN"/>
              </w:rPr>
              <w:t>received from CN</w:t>
            </w:r>
            <w:r>
              <w:rPr>
                <w:rFonts w:eastAsiaTheme="minorEastAsia"/>
                <w:color w:val="000000"/>
                <w:sz w:val="18"/>
                <w:szCs w:val="18"/>
                <w:lang w:eastAsia="zh-CN"/>
              </w:rPr>
              <w:t xml:space="preserve"> via the Connection Establishment Indication procedure. </w:t>
            </w:r>
          </w:p>
          <w:p w14:paraId="5A4CAE97" w14:textId="1C129AC5" w:rsidR="003E78B8" w:rsidRDefault="003E78B8" w:rsidP="004C7708">
            <w:pPr>
              <w:widowControl w:val="0"/>
              <w:rPr>
                <w:rFonts w:eastAsiaTheme="minorEastAsia"/>
                <w:color w:val="000000"/>
                <w:sz w:val="18"/>
                <w:szCs w:val="18"/>
                <w:lang w:eastAsia="zh-CN"/>
              </w:rPr>
            </w:pPr>
            <w:r>
              <w:rPr>
                <w:rFonts w:eastAsiaTheme="minorEastAsia"/>
                <w:color w:val="000000"/>
                <w:sz w:val="18"/>
                <w:szCs w:val="18"/>
                <w:lang w:eastAsia="zh-CN"/>
              </w:rPr>
              <w:t xml:space="preserve">In case of CP relocation, once the CN verifies </w:t>
            </w:r>
            <w:r w:rsidR="004C7708">
              <w:rPr>
                <w:rFonts w:eastAsiaTheme="minorEastAsia"/>
                <w:color w:val="000000"/>
                <w:sz w:val="18"/>
                <w:szCs w:val="18"/>
                <w:lang w:eastAsia="zh-CN"/>
              </w:rPr>
              <w:t>the UE, the CN</w:t>
            </w:r>
            <w:r>
              <w:rPr>
                <w:rFonts w:eastAsiaTheme="minorEastAsia"/>
                <w:color w:val="000000"/>
                <w:sz w:val="18"/>
                <w:szCs w:val="18"/>
                <w:lang w:eastAsia="zh-CN"/>
              </w:rPr>
              <w:t xml:space="preserve"> has to </w:t>
            </w:r>
            <w:r w:rsidR="004C7708">
              <w:rPr>
                <w:rFonts w:eastAsiaTheme="minorEastAsia"/>
                <w:color w:val="000000"/>
                <w:sz w:val="18"/>
                <w:szCs w:val="18"/>
                <w:lang w:eastAsia="zh-CN"/>
              </w:rPr>
              <w:t>trigger</w:t>
            </w:r>
            <w:r>
              <w:rPr>
                <w:rFonts w:eastAsiaTheme="minorEastAsia"/>
                <w:color w:val="000000"/>
                <w:sz w:val="18"/>
                <w:szCs w:val="18"/>
                <w:lang w:eastAsia="zh-CN"/>
              </w:rPr>
              <w:t xml:space="preserve"> Connection Establishment Indication </w:t>
            </w:r>
            <w:r w:rsidR="004C7708">
              <w:rPr>
                <w:rFonts w:eastAsiaTheme="minorEastAsia"/>
                <w:color w:val="000000"/>
                <w:sz w:val="18"/>
                <w:szCs w:val="18"/>
                <w:lang w:eastAsia="zh-CN"/>
              </w:rPr>
              <w:t xml:space="preserve">procedure </w:t>
            </w:r>
            <w:r>
              <w:rPr>
                <w:rFonts w:eastAsiaTheme="minorEastAsia"/>
                <w:color w:val="000000"/>
                <w:sz w:val="18"/>
                <w:szCs w:val="18"/>
                <w:lang w:eastAsia="zh-CN"/>
              </w:rPr>
              <w:t xml:space="preserve">to the eNB to provide the DL CP Security Information, and in the meantime, other context will be provided to the eNB as well, </w:t>
            </w:r>
            <w:r w:rsidR="004C7708">
              <w:rPr>
                <w:rFonts w:eastAsiaTheme="minorEastAsia"/>
                <w:color w:val="000000"/>
                <w:sz w:val="18"/>
                <w:szCs w:val="18"/>
                <w:lang w:eastAsia="zh-CN"/>
              </w:rPr>
              <w:t xml:space="preserve">therefore we do not see the </w:t>
            </w:r>
            <w:r>
              <w:rPr>
                <w:rFonts w:eastAsiaTheme="minorEastAsia"/>
                <w:color w:val="000000"/>
                <w:sz w:val="18"/>
                <w:szCs w:val="18"/>
                <w:lang w:eastAsia="zh-CN"/>
              </w:rPr>
              <w:t>need for the eNB to link this access to the existing UE association.</w:t>
            </w:r>
            <w:r w:rsidR="004C7708">
              <w:rPr>
                <w:rFonts w:eastAsiaTheme="minorEastAsia"/>
                <w:color w:val="000000"/>
                <w:sz w:val="18"/>
                <w:szCs w:val="18"/>
                <w:lang w:eastAsia="zh-CN"/>
              </w:rPr>
              <w:t xml:space="preserve"> And in this proposed solution,</w:t>
            </w:r>
            <w:r>
              <w:rPr>
                <w:rFonts w:eastAsiaTheme="minorEastAsia"/>
                <w:color w:val="000000"/>
                <w:sz w:val="18"/>
                <w:szCs w:val="18"/>
                <w:lang w:eastAsia="zh-CN"/>
              </w:rPr>
              <w:t xml:space="preserve"> the MME need</w:t>
            </w:r>
            <w:r w:rsidR="004C7708">
              <w:rPr>
                <w:rFonts w:eastAsiaTheme="minorEastAsia"/>
                <w:color w:val="000000"/>
                <w:sz w:val="18"/>
                <w:szCs w:val="18"/>
                <w:lang w:eastAsia="zh-CN"/>
              </w:rPr>
              <w:t>s</w:t>
            </w:r>
            <w:r>
              <w:rPr>
                <w:rFonts w:eastAsiaTheme="minorEastAsia"/>
                <w:color w:val="000000"/>
                <w:sz w:val="18"/>
                <w:szCs w:val="18"/>
                <w:lang w:eastAsia="zh-CN"/>
              </w:rPr>
              <w:t xml:space="preserve"> to determine whether the UE is accessing from the same eNB, which makes the things more complex than before.</w:t>
            </w:r>
          </w:p>
          <w:p w14:paraId="33B7D1CE" w14:textId="1E23F486" w:rsidR="004C7708" w:rsidRPr="003E78B8" w:rsidRDefault="004C7708" w:rsidP="004C7708">
            <w:pPr>
              <w:widowControl w:val="0"/>
              <w:rPr>
                <w:rFonts w:eastAsiaTheme="minorEastAsia"/>
                <w:color w:val="000000"/>
                <w:sz w:val="18"/>
                <w:szCs w:val="18"/>
                <w:lang w:eastAsia="zh-CN"/>
              </w:rPr>
            </w:pPr>
            <w:r>
              <w:rPr>
                <w:rFonts w:eastAsiaTheme="minorEastAsia"/>
                <w:color w:val="000000"/>
                <w:sz w:val="18"/>
                <w:szCs w:val="18"/>
                <w:lang w:eastAsia="zh-CN"/>
              </w:rPr>
              <w:t>Btw, it seems out of the WI scope…</w:t>
            </w:r>
          </w:p>
        </w:tc>
      </w:tr>
      <w:tr w:rsidR="00457710" w14:paraId="1B7ED1F5" w14:textId="77777777" w:rsidTr="00D423CB">
        <w:tc>
          <w:tcPr>
            <w:tcW w:w="1251" w:type="dxa"/>
          </w:tcPr>
          <w:p w14:paraId="354C62CA" w14:textId="0E4712AA" w:rsidR="00457710" w:rsidRDefault="00457710" w:rsidP="00457710">
            <w:pPr>
              <w:widowControl w:val="0"/>
              <w:rPr>
                <w:color w:val="000000"/>
                <w:sz w:val="18"/>
                <w:szCs w:val="18"/>
              </w:rPr>
            </w:pPr>
            <w:r>
              <w:rPr>
                <w:rFonts w:eastAsia="SimSun" w:hint="eastAsia"/>
                <w:color w:val="000000"/>
                <w:sz w:val="18"/>
                <w:szCs w:val="18"/>
                <w:lang w:val="en-US" w:eastAsia="zh-CN"/>
              </w:rPr>
              <w:lastRenderedPageBreak/>
              <w:t>ZTE</w:t>
            </w:r>
          </w:p>
        </w:tc>
        <w:tc>
          <w:tcPr>
            <w:tcW w:w="6799" w:type="dxa"/>
          </w:tcPr>
          <w:p w14:paraId="57A3C17F" w14:textId="77777777" w:rsidR="00457710" w:rsidRDefault="00457710" w:rsidP="00457710">
            <w:pPr>
              <w:widowControl w:val="0"/>
              <w:rPr>
                <w:rFonts w:eastAsia="SimSun"/>
                <w:color w:val="000000"/>
                <w:sz w:val="18"/>
                <w:szCs w:val="18"/>
                <w:lang w:val="en-US" w:eastAsia="zh-CN"/>
              </w:rPr>
            </w:pPr>
            <w:r>
              <w:rPr>
                <w:rFonts w:eastAsia="SimSun" w:hint="eastAsia"/>
                <w:color w:val="000000"/>
                <w:sz w:val="18"/>
                <w:szCs w:val="18"/>
                <w:lang w:val="en-US" w:eastAsia="zh-CN"/>
              </w:rPr>
              <w:t>No</w:t>
            </w:r>
          </w:p>
          <w:p w14:paraId="3BA3F1C4" w14:textId="404318C0" w:rsidR="00457710" w:rsidRDefault="00457710" w:rsidP="00457710">
            <w:pPr>
              <w:widowControl w:val="0"/>
              <w:rPr>
                <w:color w:val="000000"/>
                <w:sz w:val="18"/>
                <w:szCs w:val="18"/>
              </w:rPr>
            </w:pPr>
            <w:r>
              <w:rPr>
                <w:rFonts w:eastAsia="SimSun" w:hint="eastAsia"/>
                <w:color w:val="000000"/>
                <w:sz w:val="18"/>
                <w:szCs w:val="18"/>
                <w:lang w:val="en-US" w:eastAsia="zh-CN"/>
              </w:rPr>
              <w:t xml:space="preserve">The benefit of this optimization is only the NGAP signalling reduction, but it has NBC issue. E.g. the legacy gNB may follow the legacy procedure(e.g. allocates a new </w:t>
            </w:r>
            <w:r>
              <w:rPr>
                <w:rFonts w:eastAsia="SimSun" w:hint="eastAsia"/>
                <w:color w:val="000000"/>
                <w:sz w:val="18"/>
                <w:szCs w:val="18"/>
                <w:lang w:val="en-US"/>
              </w:rPr>
              <w:t>eNB UE S1AP ID</w:t>
            </w:r>
            <w:r>
              <w:rPr>
                <w:rFonts w:eastAsia="SimSun" w:hint="eastAsia"/>
                <w:color w:val="000000"/>
                <w:sz w:val="18"/>
                <w:szCs w:val="18"/>
                <w:lang w:val="en-US" w:eastAsia="zh-CN"/>
              </w:rPr>
              <w:t>) and  does not release the old connection until receiving the MME CP Relocation Indication.</w:t>
            </w:r>
          </w:p>
        </w:tc>
      </w:tr>
      <w:tr w:rsidR="00457710" w14:paraId="01482E6D" w14:textId="77777777" w:rsidTr="00D423CB">
        <w:tc>
          <w:tcPr>
            <w:tcW w:w="1251" w:type="dxa"/>
          </w:tcPr>
          <w:p w14:paraId="6B49711A" w14:textId="0DB5CCA3" w:rsidR="00457710" w:rsidRDefault="00A559DC" w:rsidP="00457710">
            <w:pPr>
              <w:widowControl w:val="0"/>
              <w:rPr>
                <w:color w:val="000000"/>
                <w:sz w:val="18"/>
                <w:szCs w:val="18"/>
              </w:rPr>
            </w:pPr>
            <w:r>
              <w:rPr>
                <w:color w:val="000000"/>
                <w:sz w:val="18"/>
                <w:szCs w:val="18"/>
              </w:rPr>
              <w:t>Qualcomm</w:t>
            </w:r>
          </w:p>
        </w:tc>
        <w:tc>
          <w:tcPr>
            <w:tcW w:w="6799" w:type="dxa"/>
          </w:tcPr>
          <w:p w14:paraId="5E12EABF" w14:textId="0BA14FBA" w:rsidR="00457710" w:rsidRDefault="00A559DC" w:rsidP="00457710">
            <w:pPr>
              <w:widowControl w:val="0"/>
              <w:rPr>
                <w:color w:val="000000"/>
                <w:sz w:val="18"/>
                <w:szCs w:val="18"/>
              </w:rPr>
            </w:pPr>
            <w:r>
              <w:rPr>
                <w:color w:val="000000"/>
                <w:sz w:val="18"/>
                <w:szCs w:val="18"/>
              </w:rPr>
              <w:t>No strong view, apart from reduction in messages, we could see that the main benefit is that any pending NAS messages could be delivered faster as not going through the MME and back. Against that, the MME needs to determine whether it is the same eNB, also there is the additional issue of legacy handling. And even for new eNB</w:t>
            </w:r>
            <w:r w:rsidR="00D251FD">
              <w:rPr>
                <w:color w:val="000000"/>
                <w:sz w:val="18"/>
                <w:szCs w:val="18"/>
              </w:rPr>
              <w:t>,</w:t>
            </w:r>
            <w:r>
              <w:rPr>
                <w:color w:val="000000"/>
                <w:sz w:val="18"/>
                <w:szCs w:val="18"/>
              </w:rPr>
              <w:t xml:space="preserve"> this would presumably mean that the small context is overwritten</w:t>
            </w:r>
            <w:r w:rsidR="00D251FD">
              <w:rPr>
                <w:color w:val="000000"/>
                <w:sz w:val="18"/>
                <w:szCs w:val="18"/>
              </w:rPr>
              <w:t xml:space="preserve">, i.e. </w:t>
            </w:r>
            <w:r w:rsidR="004B037B">
              <w:rPr>
                <w:color w:val="000000"/>
                <w:sz w:val="18"/>
                <w:szCs w:val="18"/>
              </w:rPr>
              <w:t xml:space="preserve">more </w:t>
            </w:r>
            <w:r w:rsidR="00D251FD">
              <w:rPr>
                <w:color w:val="000000"/>
                <w:sz w:val="18"/>
                <w:szCs w:val="18"/>
              </w:rPr>
              <w:t>new behaviour</w:t>
            </w:r>
            <w:r>
              <w:rPr>
                <w:color w:val="000000"/>
                <w:sz w:val="18"/>
                <w:szCs w:val="18"/>
              </w:rPr>
              <w:t>.</w:t>
            </w:r>
          </w:p>
          <w:p w14:paraId="467C5209" w14:textId="786B6A5D" w:rsidR="004B037B" w:rsidRDefault="004B037B" w:rsidP="00457710">
            <w:pPr>
              <w:widowControl w:val="0"/>
              <w:rPr>
                <w:color w:val="000000"/>
                <w:sz w:val="18"/>
                <w:szCs w:val="18"/>
              </w:rPr>
            </w:pPr>
            <w:r>
              <w:rPr>
                <w:color w:val="000000"/>
                <w:sz w:val="18"/>
                <w:szCs w:val="18"/>
              </w:rPr>
              <w:t>Using CEI as a further DL message (not the first) is also not preferred, but this is a detail, since new messages could be defined anyway.</w:t>
            </w:r>
          </w:p>
          <w:p w14:paraId="35D6820E" w14:textId="37C299DE" w:rsidR="00D251FD" w:rsidRDefault="00D251FD" w:rsidP="00457710">
            <w:pPr>
              <w:widowControl w:val="0"/>
              <w:rPr>
                <w:color w:val="000000"/>
                <w:sz w:val="18"/>
                <w:szCs w:val="18"/>
              </w:rPr>
            </w:pPr>
            <w:r>
              <w:rPr>
                <w:color w:val="000000"/>
                <w:sz w:val="18"/>
                <w:szCs w:val="18"/>
              </w:rPr>
              <w:t>We would also like to understand the relationship with the WI scope as in other WIs the WID has been read very tightly, given overall load maybe we should be consistent.</w:t>
            </w:r>
          </w:p>
        </w:tc>
      </w:tr>
      <w:tr w:rsidR="00457710" w14:paraId="08BCF6C8" w14:textId="77777777" w:rsidTr="00D423CB">
        <w:tc>
          <w:tcPr>
            <w:tcW w:w="1251" w:type="dxa"/>
          </w:tcPr>
          <w:p w14:paraId="4929CF2F" w14:textId="1A4FB9FE" w:rsidR="00457710" w:rsidRDefault="00656D20" w:rsidP="00457710">
            <w:pPr>
              <w:widowControl w:val="0"/>
              <w:rPr>
                <w:color w:val="000000"/>
                <w:sz w:val="18"/>
                <w:szCs w:val="18"/>
              </w:rPr>
            </w:pPr>
            <w:r>
              <w:rPr>
                <w:color w:val="000000"/>
                <w:sz w:val="18"/>
                <w:szCs w:val="18"/>
              </w:rPr>
              <w:t>Ericsson</w:t>
            </w:r>
          </w:p>
        </w:tc>
        <w:tc>
          <w:tcPr>
            <w:tcW w:w="6799" w:type="dxa"/>
          </w:tcPr>
          <w:p w14:paraId="24FC93C0" w14:textId="40C1898D" w:rsidR="00457710" w:rsidRDefault="00656D20" w:rsidP="00457710">
            <w:pPr>
              <w:widowControl w:val="0"/>
              <w:rPr>
                <w:color w:val="000000"/>
                <w:sz w:val="18"/>
                <w:szCs w:val="18"/>
              </w:rPr>
            </w:pPr>
            <w:r>
              <w:rPr>
                <w:color w:val="000000"/>
                <w:sz w:val="18"/>
                <w:szCs w:val="18"/>
              </w:rPr>
              <w:t xml:space="preserve">To companies claiming that this proposal is not part of the WID, </w:t>
            </w:r>
            <w:r w:rsidR="003F4BD5">
              <w:rPr>
                <w:color w:val="000000"/>
                <w:sz w:val="18"/>
                <w:szCs w:val="18"/>
              </w:rPr>
              <w:t>in our view</w:t>
            </w:r>
            <w:r>
              <w:rPr>
                <w:color w:val="000000"/>
                <w:sz w:val="18"/>
                <w:szCs w:val="18"/>
              </w:rPr>
              <w:t xml:space="preserve"> the rapporteur analysis in [2] mentioned that RLF optimization for NB-IoT is part of the WID</w:t>
            </w:r>
          </w:p>
        </w:tc>
      </w:tr>
      <w:tr w:rsidR="00457710" w14:paraId="201BEE1F" w14:textId="77777777" w:rsidTr="00D423CB">
        <w:tc>
          <w:tcPr>
            <w:tcW w:w="1251" w:type="dxa"/>
          </w:tcPr>
          <w:p w14:paraId="54541BD0" w14:textId="55830A8A" w:rsidR="00457710" w:rsidRDefault="004305C9" w:rsidP="00457710">
            <w:pPr>
              <w:widowControl w:val="0"/>
              <w:rPr>
                <w:color w:val="000000"/>
                <w:sz w:val="18"/>
                <w:szCs w:val="18"/>
              </w:rPr>
            </w:pPr>
            <w:r>
              <w:rPr>
                <w:color w:val="000000"/>
                <w:sz w:val="18"/>
                <w:szCs w:val="18"/>
              </w:rPr>
              <w:t>Nokia</w:t>
            </w:r>
          </w:p>
        </w:tc>
        <w:tc>
          <w:tcPr>
            <w:tcW w:w="6799" w:type="dxa"/>
          </w:tcPr>
          <w:p w14:paraId="799339C3" w14:textId="649DDFD1" w:rsidR="00457710" w:rsidRDefault="004305C9" w:rsidP="00457710">
            <w:pPr>
              <w:widowControl w:val="0"/>
              <w:rPr>
                <w:color w:val="000000"/>
                <w:sz w:val="18"/>
                <w:szCs w:val="18"/>
              </w:rPr>
            </w:pPr>
            <w:r>
              <w:rPr>
                <w:color w:val="000000"/>
                <w:sz w:val="18"/>
                <w:szCs w:val="18"/>
              </w:rPr>
              <w:t xml:space="preserve">This optimization was already discussed and concluded that drawbacks outweigh advantages. We </w:t>
            </w:r>
            <w:r w:rsidR="00323CFF">
              <w:rPr>
                <w:color w:val="000000"/>
                <w:sz w:val="18"/>
                <w:szCs w:val="18"/>
              </w:rPr>
              <w:t xml:space="preserve">also </w:t>
            </w:r>
            <w:r>
              <w:rPr>
                <w:color w:val="000000"/>
                <w:sz w:val="18"/>
                <w:szCs w:val="18"/>
              </w:rPr>
              <w:t>propose to note it.</w:t>
            </w:r>
          </w:p>
        </w:tc>
      </w:tr>
    </w:tbl>
    <w:p w14:paraId="1804D086" w14:textId="77777777" w:rsidR="00CF654C" w:rsidRPr="00CF654C" w:rsidRDefault="00CF654C" w:rsidP="00CF654C">
      <w:pPr>
        <w:rPr>
          <w:b/>
          <w:bCs/>
          <w:sz w:val="20"/>
          <w:szCs w:val="22"/>
        </w:rPr>
      </w:pPr>
    </w:p>
    <w:p w14:paraId="0BC060C7" w14:textId="3DE52DB4" w:rsidR="00CF654C" w:rsidRDefault="00CF654C" w:rsidP="00CF654C">
      <w:pPr>
        <w:pStyle w:val="Heading1"/>
      </w:pPr>
      <w:r>
        <w:t xml:space="preserve">Conclusion </w:t>
      </w:r>
    </w:p>
    <w:p w14:paraId="0C1F239F" w14:textId="1DB6D97B" w:rsidR="00167300" w:rsidRPr="00167300" w:rsidRDefault="00167300" w:rsidP="00CF654C">
      <w:pPr>
        <w:rPr>
          <w:rFonts w:eastAsiaTheme="minorHAnsi"/>
          <w:i/>
          <w:iCs/>
          <w:szCs w:val="22"/>
          <w:lang w:eastAsia="en-US"/>
        </w:rPr>
      </w:pPr>
      <w:r w:rsidRPr="00167300">
        <w:rPr>
          <w:i/>
          <w:iCs/>
        </w:rPr>
        <w:t>We recognize the lack of support for this proposal. Therefore, we will proceed with exemplarity and not pursue this proposal, given the current RAN3 load. We hope that other companies can also follow our lead and consider withdrawing when their proposals receive no support. This will help alleviate the overload that we are all experiencing now.</w:t>
      </w:r>
    </w:p>
    <w:p w14:paraId="57B444E6" w14:textId="51CBA253" w:rsidR="00CF654C" w:rsidRDefault="00656D20" w:rsidP="00CF654C">
      <w:pPr>
        <w:rPr>
          <w:b/>
          <w:bCs/>
          <w:sz w:val="20"/>
          <w:szCs w:val="22"/>
        </w:rPr>
      </w:pPr>
      <w:r>
        <w:rPr>
          <w:b/>
          <w:bCs/>
          <w:sz w:val="20"/>
          <w:szCs w:val="22"/>
        </w:rPr>
        <w:t>R3-215420 is noted</w:t>
      </w:r>
    </w:p>
    <w:p w14:paraId="49AECBC2" w14:textId="77777777" w:rsidR="00167300" w:rsidRPr="00CF654C" w:rsidRDefault="00167300" w:rsidP="00CF654C">
      <w:pPr>
        <w:rPr>
          <w:b/>
          <w:bCs/>
          <w:sz w:val="20"/>
          <w:szCs w:val="22"/>
        </w:rPr>
      </w:pPr>
    </w:p>
    <w:p w14:paraId="306F0B4D" w14:textId="57C38BD4" w:rsidR="00FE6CD1" w:rsidRDefault="00FE6CD1" w:rsidP="00FE6CD1">
      <w:pPr>
        <w:pStyle w:val="Heading1"/>
      </w:pPr>
      <w:r w:rsidRPr="00966773">
        <w:t>References</w:t>
      </w:r>
    </w:p>
    <w:p w14:paraId="03D83204" w14:textId="77777777" w:rsidR="00CF654C" w:rsidRPr="00CF654C" w:rsidRDefault="00CF654C" w:rsidP="00CF654C"/>
    <w:tbl>
      <w:tblPr>
        <w:tblW w:w="10412" w:type="dxa"/>
        <w:tblInd w:w="-152" w:type="dxa"/>
        <w:tblLayout w:type="fixed"/>
        <w:tblLook w:val="0000" w:firstRow="0" w:lastRow="0" w:firstColumn="0" w:lastColumn="0" w:noHBand="0" w:noVBand="0"/>
      </w:tblPr>
      <w:tblGrid>
        <w:gridCol w:w="804"/>
        <w:gridCol w:w="1324"/>
        <w:gridCol w:w="4540"/>
        <w:gridCol w:w="3732"/>
        <w:gridCol w:w="12"/>
      </w:tblGrid>
      <w:tr w:rsidR="00231052" w14:paraId="65C320FC" w14:textId="77777777" w:rsidTr="00231052">
        <w:trPr>
          <w:trHeight w:val="339"/>
        </w:trPr>
        <w:tc>
          <w:tcPr>
            <w:tcW w:w="1041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01F245F" w14:textId="50BD7477" w:rsidR="00231052" w:rsidRDefault="00656D20" w:rsidP="00231052">
            <w:pPr>
              <w:widowControl w:val="0"/>
              <w:jc w:val="center"/>
              <w:rPr>
                <w:sz w:val="18"/>
              </w:rPr>
            </w:pPr>
            <w:r>
              <w:rPr>
                <w:b/>
                <w:bCs/>
                <w:color w:val="C00000"/>
                <w:sz w:val="18"/>
                <w:szCs w:val="18"/>
              </w:rPr>
              <w:t>NB-IoT</w:t>
            </w:r>
          </w:p>
        </w:tc>
      </w:tr>
      <w:tr w:rsidR="00A85197" w:rsidRPr="00D6005C" w14:paraId="6F23279B"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2F8B73AD" w14:textId="1EEEE636" w:rsidR="00A85197" w:rsidRPr="00231052" w:rsidRDefault="00A85197" w:rsidP="00A85197">
            <w:pPr>
              <w:widowControl w:val="0"/>
              <w:ind w:left="144" w:hanging="144"/>
              <w:jc w:val="center"/>
              <w:rPr>
                <w:rFonts w:cs="Calibri"/>
                <w:b/>
                <w:bCs/>
                <w:sz w:val="18"/>
                <w:lang w:eastAsia="en-US"/>
              </w:rPr>
            </w:pPr>
            <w:r w:rsidRPr="00231052">
              <w:rPr>
                <w:rFonts w:cs="Calibri"/>
                <w:b/>
                <w:bCs/>
                <w:sz w:val="18"/>
                <w:lang w:eastAsia="en-US"/>
              </w:rPr>
              <w:t>[1]</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7008F9CF" w14:textId="373A3C01" w:rsidR="00A85197" w:rsidRPr="00D6005C" w:rsidRDefault="00073819" w:rsidP="00A85197">
            <w:pPr>
              <w:widowControl w:val="0"/>
              <w:ind w:left="144" w:hanging="144"/>
              <w:rPr>
                <w:rFonts w:cs="Calibri"/>
                <w:sz w:val="18"/>
                <w:highlight w:val="yellow"/>
                <w:lang w:eastAsia="en-US"/>
              </w:rPr>
            </w:pPr>
            <w:hyperlink r:id="rId12" w:history="1">
              <w:r w:rsidR="00A85197" w:rsidRPr="00D6005C">
                <w:rPr>
                  <w:rFonts w:cs="Calibri"/>
                  <w:sz w:val="18"/>
                  <w:highlight w:val="yellow"/>
                  <w:lang w:eastAsia="en-US"/>
                </w:rPr>
                <w:t>R3-215420</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3646C04" w14:textId="7CBE6DF4" w:rsidR="00A85197" w:rsidRPr="00D6005C" w:rsidRDefault="00A85197" w:rsidP="00A85197">
            <w:pPr>
              <w:widowControl w:val="0"/>
              <w:ind w:left="144" w:hanging="144"/>
              <w:rPr>
                <w:rFonts w:cs="Calibri"/>
                <w:sz w:val="18"/>
                <w:lang w:eastAsia="en-US"/>
              </w:rPr>
            </w:pPr>
            <w:r w:rsidRPr="00D6005C">
              <w:rPr>
                <w:rFonts w:cs="Calibri"/>
                <w:sz w:val="18"/>
                <w:lang w:eastAsia="en-US"/>
              </w:rPr>
              <w:t>Enhancement on Intra eNB CP Relocation for NB-IoT (Ericsson)</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5E90ABFE" w14:textId="33938952" w:rsidR="00A85197" w:rsidRPr="00D6005C" w:rsidRDefault="00A85197" w:rsidP="00A85197">
            <w:pPr>
              <w:widowControl w:val="0"/>
              <w:ind w:left="144" w:hanging="144"/>
              <w:rPr>
                <w:rFonts w:cs="Calibri"/>
                <w:sz w:val="18"/>
                <w:lang w:eastAsia="en-US"/>
              </w:rPr>
            </w:pPr>
            <w:r w:rsidRPr="00D6005C">
              <w:rPr>
                <w:rFonts w:cs="Calibri"/>
                <w:sz w:val="18"/>
                <w:lang w:eastAsia="en-US"/>
              </w:rPr>
              <w:t>discussion</w:t>
            </w:r>
          </w:p>
        </w:tc>
      </w:tr>
      <w:tr w:rsidR="00656D20" w:rsidRPr="00D6005C" w14:paraId="3A4C77ED"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4698AF7A" w14:textId="7E228927" w:rsidR="00656D20" w:rsidRPr="00231052" w:rsidRDefault="00656D20" w:rsidP="00A85197">
            <w:pPr>
              <w:widowControl w:val="0"/>
              <w:ind w:left="144" w:hanging="144"/>
              <w:jc w:val="center"/>
              <w:rPr>
                <w:rFonts w:cs="Calibri"/>
                <w:b/>
                <w:bCs/>
                <w:sz w:val="18"/>
                <w:lang w:eastAsia="en-US"/>
              </w:rPr>
            </w:pPr>
            <w:r>
              <w:rPr>
                <w:rFonts w:cs="Calibri"/>
                <w:b/>
                <w:bCs/>
                <w:sz w:val="18"/>
                <w:lang w:eastAsia="en-US"/>
              </w:rPr>
              <w:t>[2]</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6A90C172" w14:textId="3B369714" w:rsidR="00656D20" w:rsidRDefault="00656D20" w:rsidP="00A85197">
            <w:pPr>
              <w:widowControl w:val="0"/>
              <w:ind w:left="144" w:hanging="144"/>
            </w:pPr>
            <w:r w:rsidRPr="00656D20">
              <w:rPr>
                <w:rFonts w:eastAsia="SimSun"/>
                <w:sz w:val="20"/>
                <w:szCs w:val="20"/>
                <w:lang w:val="en-US" w:eastAsia="en-US"/>
              </w:rPr>
              <w:t>R3-211919</w:t>
            </w:r>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4E5A2DD2" w14:textId="034A1D78" w:rsidR="00656D20" w:rsidRPr="00D6005C" w:rsidRDefault="00656D20" w:rsidP="00A85197">
            <w:pPr>
              <w:widowControl w:val="0"/>
              <w:ind w:left="144" w:hanging="144"/>
              <w:rPr>
                <w:rFonts w:cs="Calibri"/>
                <w:sz w:val="18"/>
                <w:lang w:eastAsia="en-US"/>
              </w:rPr>
            </w:pPr>
            <w:r w:rsidRPr="00656D20">
              <w:rPr>
                <w:rFonts w:cs="Calibri"/>
                <w:sz w:val="18"/>
                <w:lang w:eastAsia="en-US"/>
              </w:rPr>
              <w:t>Consideration on Rel-17 enhancements for NB-IoT and LTE-MTC, WID Rapporteur</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749CB158" w14:textId="345BF76C" w:rsidR="00656D20" w:rsidRPr="00D6005C" w:rsidRDefault="00656D20" w:rsidP="00A85197">
            <w:pPr>
              <w:widowControl w:val="0"/>
              <w:ind w:left="144" w:hanging="144"/>
              <w:rPr>
                <w:rFonts w:cs="Calibri"/>
                <w:sz w:val="18"/>
                <w:lang w:eastAsia="en-US"/>
              </w:rPr>
            </w:pPr>
          </w:p>
        </w:tc>
      </w:tr>
    </w:tbl>
    <w:p w14:paraId="3A388247" w14:textId="596E32EA" w:rsidR="00311DD8" w:rsidRDefault="00311DD8" w:rsidP="00485B94">
      <w:pPr>
        <w:pStyle w:val="Reference"/>
        <w:numPr>
          <w:ilvl w:val="0"/>
          <w:numId w:val="0"/>
        </w:numPr>
      </w:pPr>
    </w:p>
    <w:p w14:paraId="73A4160B" w14:textId="77777777" w:rsidR="00485B94" w:rsidRDefault="00485B94" w:rsidP="009C52C2">
      <w:pPr>
        <w:pStyle w:val="Reference"/>
        <w:numPr>
          <w:ilvl w:val="0"/>
          <w:numId w:val="0"/>
        </w:numPr>
        <w:ind w:left="567" w:hanging="567"/>
      </w:pPr>
    </w:p>
    <w:sectPr w:rsidR="00485B94"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FC240" w14:textId="77777777" w:rsidR="007A60E1" w:rsidRDefault="007A60E1" w:rsidP="003E78B8">
      <w:pPr>
        <w:spacing w:after="0"/>
      </w:pPr>
      <w:r>
        <w:separator/>
      </w:r>
    </w:p>
  </w:endnote>
  <w:endnote w:type="continuationSeparator" w:id="0">
    <w:p w14:paraId="7838FC1D" w14:textId="77777777" w:rsidR="007A60E1" w:rsidRDefault="007A60E1" w:rsidP="003E7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32C0F" w14:textId="77777777" w:rsidR="007A60E1" w:rsidRDefault="007A60E1" w:rsidP="003E78B8">
      <w:pPr>
        <w:spacing w:after="0"/>
      </w:pPr>
      <w:r>
        <w:separator/>
      </w:r>
    </w:p>
  </w:footnote>
  <w:footnote w:type="continuationSeparator" w:id="0">
    <w:p w14:paraId="3D962D5D" w14:textId="77777777" w:rsidR="007A60E1" w:rsidRDefault="007A60E1" w:rsidP="003E7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8634B"/>
    <w:multiLevelType w:val="hybridMultilevel"/>
    <w:tmpl w:val="0CFA3296"/>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1A4F8B"/>
    <w:multiLevelType w:val="hybridMultilevel"/>
    <w:tmpl w:val="860290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3060342"/>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5DB2EC1"/>
    <w:multiLevelType w:val="hybridMultilevel"/>
    <w:tmpl w:val="25101A2C"/>
    <w:lvl w:ilvl="0" w:tplc="E1D42754">
      <w:start w:val="1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285CDB"/>
    <w:multiLevelType w:val="hybridMultilevel"/>
    <w:tmpl w:val="0DB2B3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2FB282B"/>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5671F35"/>
    <w:multiLevelType w:val="hybridMultilevel"/>
    <w:tmpl w:val="CEA8B7C6"/>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60631BF"/>
    <w:multiLevelType w:val="hybridMultilevel"/>
    <w:tmpl w:val="8F3C8904"/>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225EA6"/>
    <w:multiLevelType w:val="multilevel"/>
    <w:tmpl w:val="E0AE2B60"/>
    <w:lvl w:ilvl="0">
      <w:start w:val="1"/>
      <w:numFmt w:val="decimal"/>
      <w:lvlText w:val="%1."/>
      <w:lvlJc w:val="left"/>
      <w:pPr>
        <w:ind w:left="360" w:hanging="360"/>
      </w:pPr>
      <w:rPr>
        <w:rFonts w:eastAsia="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76818EB"/>
    <w:multiLevelType w:val="hybridMultilevel"/>
    <w:tmpl w:val="55E815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D7F1F19"/>
    <w:multiLevelType w:val="hybridMultilevel"/>
    <w:tmpl w:val="CAA012D4"/>
    <w:lvl w:ilvl="0" w:tplc="7F24F17C">
      <w:numFmt w:val="bullet"/>
      <w:lvlText w:val="-"/>
      <w:lvlJc w:val="left"/>
      <w:pPr>
        <w:ind w:left="720" w:hanging="360"/>
      </w:pPr>
      <w:rPr>
        <w:rFonts w:ascii="Times New Roman" w:eastAsia="MS Mincho" w:hAnsi="Times New Roman" w:cs="Times New Roman"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E42EF2"/>
    <w:multiLevelType w:val="hybridMultilevel"/>
    <w:tmpl w:val="633C5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6"/>
  </w:num>
  <w:num w:numId="2">
    <w:abstractNumId w:val="12"/>
  </w:num>
  <w:num w:numId="3">
    <w:abstractNumId w:val="15"/>
  </w:num>
  <w:num w:numId="4">
    <w:abstractNumId w:val="13"/>
  </w:num>
  <w:num w:numId="5">
    <w:abstractNumId w:val="17"/>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4"/>
  </w:num>
  <w:num w:numId="8">
    <w:abstractNumId w:val="11"/>
  </w:num>
  <w:num w:numId="9">
    <w:abstractNumId w:val="9"/>
  </w:num>
  <w:num w:numId="10">
    <w:abstractNumId w:val="8"/>
  </w:num>
  <w:num w:numId="11">
    <w:abstractNumId w:val="2"/>
  </w:num>
  <w:num w:numId="12">
    <w:abstractNumId w:val="16"/>
  </w:num>
  <w:num w:numId="13">
    <w:abstractNumId w:val="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3"/>
  </w:num>
  <w:num w:numId="17">
    <w:abstractNumId w:val="7"/>
  </w:num>
  <w:num w:numId="18">
    <w:abstractNumId w:val="10"/>
  </w:num>
  <w:num w:numId="19">
    <w:abstractNumId w:val="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1304"/>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CFD"/>
    <w:rsid w:val="0001314F"/>
    <w:rsid w:val="000639B5"/>
    <w:rsid w:val="00073819"/>
    <w:rsid w:val="000750CF"/>
    <w:rsid w:val="000E16A7"/>
    <w:rsid w:val="00104533"/>
    <w:rsid w:val="001106E0"/>
    <w:rsid w:val="0012633E"/>
    <w:rsid w:val="001303AF"/>
    <w:rsid w:val="00150800"/>
    <w:rsid w:val="00167300"/>
    <w:rsid w:val="001D551C"/>
    <w:rsid w:val="001E2CF7"/>
    <w:rsid w:val="00226CE6"/>
    <w:rsid w:val="00231052"/>
    <w:rsid w:val="00256C1B"/>
    <w:rsid w:val="00291CFD"/>
    <w:rsid w:val="00292C5C"/>
    <w:rsid w:val="002F3D66"/>
    <w:rsid w:val="00305B42"/>
    <w:rsid w:val="00311DD8"/>
    <w:rsid w:val="00316747"/>
    <w:rsid w:val="00323CFF"/>
    <w:rsid w:val="0035304C"/>
    <w:rsid w:val="00355F4B"/>
    <w:rsid w:val="003A5C57"/>
    <w:rsid w:val="003E3529"/>
    <w:rsid w:val="003E78B8"/>
    <w:rsid w:val="003F4BD5"/>
    <w:rsid w:val="00405B9E"/>
    <w:rsid w:val="00411BAA"/>
    <w:rsid w:val="004305C9"/>
    <w:rsid w:val="004313FE"/>
    <w:rsid w:val="00457710"/>
    <w:rsid w:val="004743E6"/>
    <w:rsid w:val="0047584C"/>
    <w:rsid w:val="00485B94"/>
    <w:rsid w:val="004B037B"/>
    <w:rsid w:val="004B2408"/>
    <w:rsid w:val="004C2B2F"/>
    <w:rsid w:val="004C302E"/>
    <w:rsid w:val="004C7708"/>
    <w:rsid w:val="004E3377"/>
    <w:rsid w:val="004E7323"/>
    <w:rsid w:val="00526987"/>
    <w:rsid w:val="005A6DE9"/>
    <w:rsid w:val="005B4242"/>
    <w:rsid w:val="00603D30"/>
    <w:rsid w:val="006260D6"/>
    <w:rsid w:val="006370F8"/>
    <w:rsid w:val="006371AF"/>
    <w:rsid w:val="00637F16"/>
    <w:rsid w:val="00656D20"/>
    <w:rsid w:val="006E5AB0"/>
    <w:rsid w:val="00701380"/>
    <w:rsid w:val="00701691"/>
    <w:rsid w:val="007354CE"/>
    <w:rsid w:val="00742D3E"/>
    <w:rsid w:val="007521ED"/>
    <w:rsid w:val="00781E35"/>
    <w:rsid w:val="00792056"/>
    <w:rsid w:val="007A60E1"/>
    <w:rsid w:val="007F2EBE"/>
    <w:rsid w:val="008426AD"/>
    <w:rsid w:val="008B4597"/>
    <w:rsid w:val="008C78AE"/>
    <w:rsid w:val="008F0D15"/>
    <w:rsid w:val="008F2873"/>
    <w:rsid w:val="0094674D"/>
    <w:rsid w:val="00947B1D"/>
    <w:rsid w:val="009B31E8"/>
    <w:rsid w:val="009C52C2"/>
    <w:rsid w:val="009F15D8"/>
    <w:rsid w:val="009F7558"/>
    <w:rsid w:val="00A15609"/>
    <w:rsid w:val="00A357D4"/>
    <w:rsid w:val="00A50991"/>
    <w:rsid w:val="00A559DC"/>
    <w:rsid w:val="00A85197"/>
    <w:rsid w:val="00A85441"/>
    <w:rsid w:val="00A91CB6"/>
    <w:rsid w:val="00A979F3"/>
    <w:rsid w:val="00AA6C98"/>
    <w:rsid w:val="00AC3BC4"/>
    <w:rsid w:val="00B0701D"/>
    <w:rsid w:val="00B668C5"/>
    <w:rsid w:val="00B85803"/>
    <w:rsid w:val="00BB1898"/>
    <w:rsid w:val="00BB355C"/>
    <w:rsid w:val="00C340F8"/>
    <w:rsid w:val="00C53E74"/>
    <w:rsid w:val="00C57E46"/>
    <w:rsid w:val="00C72B23"/>
    <w:rsid w:val="00CD2D1D"/>
    <w:rsid w:val="00CF654C"/>
    <w:rsid w:val="00D250F4"/>
    <w:rsid w:val="00D251FD"/>
    <w:rsid w:val="00D620F1"/>
    <w:rsid w:val="00D959B2"/>
    <w:rsid w:val="00DC2F28"/>
    <w:rsid w:val="00DC4EA1"/>
    <w:rsid w:val="00E42CC7"/>
    <w:rsid w:val="00E72E7D"/>
    <w:rsid w:val="00EB7236"/>
    <w:rsid w:val="00ED4F9D"/>
    <w:rsid w:val="00F14014"/>
    <w:rsid w:val="00F20FE5"/>
    <w:rsid w:val="00F75973"/>
    <w:rsid w:val="00FA43EC"/>
    <w:rsid w:val="00FB17B6"/>
    <w:rsid w:val="00FD40B4"/>
    <w:rsid w:val="00FE1718"/>
    <w:rsid w:val="00FE6CD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EFA3D8"/>
  <w15:chartTrackingRefBased/>
  <w15:docId w15:val="{758330ED-305A-43B6-978F-ADD29DABF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basedOn w:val="Normal"/>
    <w:uiPriority w:val="34"/>
    <w:qFormat/>
    <w:rsid w:val="00FE6CD1"/>
    <w:pPr>
      <w:ind w:left="720"/>
      <w:contextualSpacing/>
    </w:pPr>
  </w:style>
  <w:style w:type="character" w:customStyle="1" w:styleId="Doc-text2Char">
    <w:name w:val="Doc-text2 Char"/>
    <w:link w:val="Doc-text2"/>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character" w:customStyle="1" w:styleId="CRCoverPageZchn">
    <w:name w:val="CR Cover Page Zchn"/>
    <w:link w:val="CRCoverPage"/>
    <w:locked/>
    <w:rsid w:val="00355F4B"/>
    <w:rPr>
      <w:rFonts w:ascii="Arial" w:hAnsi="Arial" w:cs="Arial"/>
      <w:lang w:val="en-GB"/>
    </w:rPr>
  </w:style>
  <w:style w:type="paragraph" w:customStyle="1" w:styleId="CRCoverPage">
    <w:name w:val="CR Cover Page"/>
    <w:link w:val="CRCoverPageZchn"/>
    <w:rsid w:val="00355F4B"/>
    <w:pPr>
      <w:spacing w:after="120" w:line="240" w:lineRule="auto"/>
    </w:pPr>
    <w:rPr>
      <w:rFonts w:ascii="Arial" w:hAnsi="Arial" w:cs="Arial"/>
      <w:lang w:val="en-GB"/>
    </w:rPr>
  </w:style>
  <w:style w:type="character" w:styleId="Hyperlink">
    <w:name w:val="Hyperlink"/>
    <w:basedOn w:val="DefaultParagraphFont"/>
    <w:uiPriority w:val="99"/>
    <w:unhideWhenUsed/>
    <w:rsid w:val="00311DD8"/>
    <w:rPr>
      <w:color w:val="0000FF"/>
      <w:u w:val="single"/>
    </w:rPr>
  </w:style>
  <w:style w:type="character" w:customStyle="1" w:styleId="B1Char">
    <w:name w:val="B1 Char"/>
    <w:qFormat/>
    <w:rsid w:val="00231052"/>
    <w:rPr>
      <w:rFonts w:ascii="Times New Roman" w:eastAsia="Times New Roman" w:hAnsi="Times New Roman" w:cs="Times New Roman" w:hint="default"/>
    </w:rPr>
  </w:style>
  <w:style w:type="paragraph" w:customStyle="1" w:styleId="PL">
    <w:name w:val="PL"/>
    <w:link w:val="PLChar"/>
    <w:qFormat/>
    <w:rsid w:val="00637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70F8"/>
    <w:rPr>
      <w:rFonts w:ascii="Courier New" w:eastAsia="Times New Roman" w:hAnsi="Courier New" w:cs="Times New Roman"/>
      <w:noProof/>
      <w:sz w:val="16"/>
      <w:szCs w:val="20"/>
      <w:shd w:val="clear" w:color="auto" w:fill="E6E6E6"/>
      <w:lang w:val="en-GB" w:eastAsia="en-GB"/>
    </w:rPr>
  </w:style>
  <w:style w:type="paragraph" w:customStyle="1" w:styleId="Normal4">
    <w:name w:val="Normal4"/>
    <w:rsid w:val="00485B94"/>
    <w:pPr>
      <w:spacing w:after="0" w:line="240" w:lineRule="auto"/>
      <w:jc w:val="both"/>
    </w:pPr>
    <w:rPr>
      <w:rFonts w:ascii="Calibri" w:eastAsia="SimSun" w:hAnsi="Calibri" w:cs="Calibri"/>
      <w:kern w:val="2"/>
      <w:sz w:val="21"/>
      <w:szCs w:val="21"/>
      <w:lang w:val="en-US" w:eastAsia="zh-CN"/>
    </w:rPr>
  </w:style>
  <w:style w:type="character" w:customStyle="1" w:styleId="UnresolvedMention1">
    <w:name w:val="Unresolved Mention1"/>
    <w:basedOn w:val="DefaultParagraphFont"/>
    <w:uiPriority w:val="99"/>
    <w:semiHidden/>
    <w:unhideWhenUsed/>
    <w:rsid w:val="00485B94"/>
    <w:rPr>
      <w:color w:val="605E5C"/>
      <w:shd w:val="clear" w:color="auto" w:fill="E1DFDD"/>
    </w:rPr>
  </w:style>
  <w:style w:type="paragraph" w:styleId="Header">
    <w:name w:val="header"/>
    <w:basedOn w:val="Normal"/>
    <w:link w:val="HeaderChar"/>
    <w:uiPriority w:val="99"/>
    <w:unhideWhenUsed/>
    <w:rsid w:val="003E78B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E78B8"/>
    <w:rPr>
      <w:rFonts w:ascii="Times New Roman" w:eastAsia="MS Mincho" w:hAnsi="Times New Roman" w:cs="Times New Roman"/>
      <w:sz w:val="18"/>
      <w:szCs w:val="18"/>
      <w:lang w:val="en-GB" w:eastAsia="ja-JP"/>
    </w:rPr>
  </w:style>
  <w:style w:type="paragraph" w:styleId="Footer">
    <w:name w:val="footer"/>
    <w:basedOn w:val="Normal"/>
    <w:link w:val="FooterChar"/>
    <w:uiPriority w:val="99"/>
    <w:unhideWhenUsed/>
    <w:rsid w:val="003E78B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E78B8"/>
    <w:rPr>
      <w:rFonts w:ascii="Times New Roman" w:eastAsia="MS Mincho"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17201994">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276956966">
      <w:bodyDiv w:val="1"/>
      <w:marLeft w:val="0"/>
      <w:marRight w:val="0"/>
      <w:marTop w:val="0"/>
      <w:marBottom w:val="0"/>
      <w:divBdr>
        <w:top w:val="none" w:sz="0" w:space="0" w:color="auto"/>
        <w:left w:val="none" w:sz="0" w:space="0" w:color="auto"/>
        <w:bottom w:val="none" w:sz="0" w:space="0" w:color="auto"/>
        <w:right w:val="none" w:sz="0" w:space="0" w:color="auto"/>
      </w:divBdr>
    </w:div>
    <w:div w:id="387387516">
      <w:bodyDiv w:val="1"/>
      <w:marLeft w:val="0"/>
      <w:marRight w:val="0"/>
      <w:marTop w:val="0"/>
      <w:marBottom w:val="0"/>
      <w:divBdr>
        <w:top w:val="none" w:sz="0" w:space="0" w:color="auto"/>
        <w:left w:val="none" w:sz="0" w:space="0" w:color="auto"/>
        <w:bottom w:val="none" w:sz="0" w:space="0" w:color="auto"/>
        <w:right w:val="none" w:sz="0" w:space="0" w:color="auto"/>
      </w:divBdr>
    </w:div>
    <w:div w:id="532114230">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570387764">
      <w:bodyDiv w:val="1"/>
      <w:marLeft w:val="0"/>
      <w:marRight w:val="0"/>
      <w:marTop w:val="0"/>
      <w:marBottom w:val="0"/>
      <w:divBdr>
        <w:top w:val="none" w:sz="0" w:space="0" w:color="auto"/>
        <w:left w:val="none" w:sz="0" w:space="0" w:color="auto"/>
        <w:bottom w:val="none" w:sz="0" w:space="0" w:color="auto"/>
        <w:right w:val="none" w:sz="0" w:space="0" w:color="auto"/>
      </w:divBdr>
    </w:div>
    <w:div w:id="636109712">
      <w:bodyDiv w:val="1"/>
      <w:marLeft w:val="0"/>
      <w:marRight w:val="0"/>
      <w:marTop w:val="0"/>
      <w:marBottom w:val="0"/>
      <w:divBdr>
        <w:top w:val="none" w:sz="0" w:space="0" w:color="auto"/>
        <w:left w:val="none" w:sz="0" w:space="0" w:color="auto"/>
        <w:bottom w:val="none" w:sz="0" w:space="0" w:color="auto"/>
        <w:right w:val="none" w:sz="0" w:space="0" w:color="auto"/>
      </w:divBdr>
    </w:div>
    <w:div w:id="655381726">
      <w:bodyDiv w:val="1"/>
      <w:marLeft w:val="0"/>
      <w:marRight w:val="0"/>
      <w:marTop w:val="0"/>
      <w:marBottom w:val="0"/>
      <w:divBdr>
        <w:top w:val="none" w:sz="0" w:space="0" w:color="auto"/>
        <w:left w:val="none" w:sz="0" w:space="0" w:color="auto"/>
        <w:bottom w:val="none" w:sz="0" w:space="0" w:color="auto"/>
        <w:right w:val="none" w:sz="0" w:space="0" w:color="auto"/>
      </w:divBdr>
    </w:div>
    <w:div w:id="680283654">
      <w:bodyDiv w:val="1"/>
      <w:marLeft w:val="0"/>
      <w:marRight w:val="0"/>
      <w:marTop w:val="0"/>
      <w:marBottom w:val="0"/>
      <w:divBdr>
        <w:top w:val="none" w:sz="0" w:space="0" w:color="auto"/>
        <w:left w:val="none" w:sz="0" w:space="0" w:color="auto"/>
        <w:bottom w:val="none" w:sz="0" w:space="0" w:color="auto"/>
        <w:right w:val="none" w:sz="0" w:space="0" w:color="auto"/>
      </w:divBdr>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914433930">
      <w:bodyDiv w:val="1"/>
      <w:marLeft w:val="0"/>
      <w:marRight w:val="0"/>
      <w:marTop w:val="0"/>
      <w:marBottom w:val="0"/>
      <w:divBdr>
        <w:top w:val="none" w:sz="0" w:space="0" w:color="auto"/>
        <w:left w:val="none" w:sz="0" w:space="0" w:color="auto"/>
        <w:bottom w:val="none" w:sz="0" w:space="0" w:color="auto"/>
        <w:right w:val="none" w:sz="0" w:space="0" w:color="auto"/>
      </w:divBdr>
    </w:div>
    <w:div w:id="949900839">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050763838">
      <w:bodyDiv w:val="1"/>
      <w:marLeft w:val="0"/>
      <w:marRight w:val="0"/>
      <w:marTop w:val="0"/>
      <w:marBottom w:val="0"/>
      <w:divBdr>
        <w:top w:val="none" w:sz="0" w:space="0" w:color="auto"/>
        <w:left w:val="none" w:sz="0" w:space="0" w:color="auto"/>
        <w:bottom w:val="none" w:sz="0" w:space="0" w:color="auto"/>
        <w:right w:val="none" w:sz="0" w:space="0" w:color="auto"/>
      </w:divBdr>
    </w:div>
    <w:div w:id="1065421244">
      <w:bodyDiv w:val="1"/>
      <w:marLeft w:val="0"/>
      <w:marRight w:val="0"/>
      <w:marTop w:val="0"/>
      <w:marBottom w:val="0"/>
      <w:divBdr>
        <w:top w:val="none" w:sz="0" w:space="0" w:color="auto"/>
        <w:left w:val="none" w:sz="0" w:space="0" w:color="auto"/>
        <w:bottom w:val="none" w:sz="0" w:space="0" w:color="auto"/>
        <w:right w:val="none" w:sz="0" w:space="0" w:color="auto"/>
      </w:divBdr>
    </w:div>
    <w:div w:id="1076395190">
      <w:bodyDiv w:val="1"/>
      <w:marLeft w:val="0"/>
      <w:marRight w:val="0"/>
      <w:marTop w:val="0"/>
      <w:marBottom w:val="0"/>
      <w:divBdr>
        <w:top w:val="none" w:sz="0" w:space="0" w:color="auto"/>
        <w:left w:val="none" w:sz="0" w:space="0" w:color="auto"/>
        <w:bottom w:val="none" w:sz="0" w:space="0" w:color="auto"/>
        <w:right w:val="none" w:sz="0" w:space="0" w:color="auto"/>
      </w:divBdr>
    </w:div>
    <w:div w:id="1418164705">
      <w:bodyDiv w:val="1"/>
      <w:marLeft w:val="0"/>
      <w:marRight w:val="0"/>
      <w:marTop w:val="0"/>
      <w:marBottom w:val="0"/>
      <w:divBdr>
        <w:top w:val="none" w:sz="0" w:space="0" w:color="auto"/>
        <w:left w:val="none" w:sz="0" w:space="0" w:color="auto"/>
        <w:bottom w:val="none" w:sz="0" w:space="0" w:color="auto"/>
        <w:right w:val="none" w:sz="0" w:space="0" w:color="auto"/>
      </w:divBdr>
    </w:div>
    <w:div w:id="1427118433">
      <w:bodyDiv w:val="1"/>
      <w:marLeft w:val="0"/>
      <w:marRight w:val="0"/>
      <w:marTop w:val="0"/>
      <w:marBottom w:val="0"/>
      <w:divBdr>
        <w:top w:val="none" w:sz="0" w:space="0" w:color="auto"/>
        <w:left w:val="none" w:sz="0" w:space="0" w:color="auto"/>
        <w:bottom w:val="none" w:sz="0" w:space="0" w:color="auto"/>
        <w:right w:val="none" w:sz="0" w:space="0" w:color="auto"/>
      </w:divBdr>
    </w:div>
    <w:div w:id="1427921851">
      <w:bodyDiv w:val="1"/>
      <w:marLeft w:val="0"/>
      <w:marRight w:val="0"/>
      <w:marTop w:val="0"/>
      <w:marBottom w:val="0"/>
      <w:divBdr>
        <w:top w:val="none" w:sz="0" w:space="0" w:color="auto"/>
        <w:left w:val="none" w:sz="0" w:space="0" w:color="auto"/>
        <w:bottom w:val="none" w:sz="0" w:space="0" w:color="auto"/>
        <w:right w:val="none" w:sz="0" w:space="0" w:color="auto"/>
      </w:divBdr>
    </w:div>
    <w:div w:id="1528642823">
      <w:bodyDiv w:val="1"/>
      <w:marLeft w:val="0"/>
      <w:marRight w:val="0"/>
      <w:marTop w:val="0"/>
      <w:marBottom w:val="0"/>
      <w:divBdr>
        <w:top w:val="none" w:sz="0" w:space="0" w:color="auto"/>
        <w:left w:val="none" w:sz="0" w:space="0" w:color="auto"/>
        <w:bottom w:val="none" w:sz="0" w:space="0" w:color="auto"/>
        <w:right w:val="none" w:sz="0" w:space="0" w:color="auto"/>
      </w:divBdr>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772311619">
      <w:bodyDiv w:val="1"/>
      <w:marLeft w:val="0"/>
      <w:marRight w:val="0"/>
      <w:marTop w:val="0"/>
      <w:marBottom w:val="0"/>
      <w:divBdr>
        <w:top w:val="none" w:sz="0" w:space="0" w:color="auto"/>
        <w:left w:val="none" w:sz="0" w:space="0" w:color="auto"/>
        <w:bottom w:val="none" w:sz="0" w:space="0" w:color="auto"/>
        <w:right w:val="none" w:sz="0" w:space="0" w:color="auto"/>
      </w:divBdr>
    </w:div>
    <w:div w:id="1963731536">
      <w:bodyDiv w:val="1"/>
      <w:marLeft w:val="0"/>
      <w:marRight w:val="0"/>
      <w:marTop w:val="0"/>
      <w:marBottom w:val="0"/>
      <w:divBdr>
        <w:top w:val="none" w:sz="0" w:space="0" w:color="auto"/>
        <w:left w:val="none" w:sz="0" w:space="0" w:color="auto"/>
        <w:bottom w:val="none" w:sz="0" w:space="0" w:color="auto"/>
        <w:right w:val="none" w:sz="0" w:space="0" w:color="auto"/>
      </w:divBdr>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 w:id="213505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D:\&#20250;&#35758;&#30828;&#30424;\TSGR3_114-e\Docs\R3-21542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B8303A-71E1-449F-8A45-5DDC4964797A}">
  <ds:schemaRefs>
    <ds:schemaRef ds:uri="http://schemas.microsoft.com/sharepoint/v3/contenttype/forms"/>
  </ds:schemaRefs>
</ds:datastoreItem>
</file>

<file path=customXml/itemProps2.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990B757-637C-499A-9BD7-2BF4F0A0C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676</Words>
  <Characters>3584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2021-11-11T10:32:00Z</dcterms:created>
  <dcterms:modified xsi:type="dcterms:W3CDTF">2021-11-11T10:33:00Z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