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56A5FF82"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741F4F">
        <w:rPr>
          <w:rFonts w:cs="Arial"/>
          <w:bCs/>
          <w:noProof w:val="0"/>
          <w:sz w:val="24"/>
          <w:lang w:eastAsia="ja-JP"/>
        </w:rPr>
        <w:t>5209</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72638006"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F7C4B">
        <w:rPr>
          <w:rFonts w:cs="Arial"/>
          <w:b/>
          <w:bCs/>
          <w:color w:val="000000"/>
          <w:sz w:val="24"/>
          <w:szCs w:val="24"/>
          <w:lang w:val="en-US"/>
        </w:rPr>
        <w:t>22.4</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3BD9F3FB"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710AB4" w:rsidRPr="00710AB4">
        <w:rPr>
          <w:rFonts w:cs="Arial"/>
          <w:b/>
          <w:bCs/>
          <w:color w:val="000000"/>
          <w:sz w:val="24"/>
          <w:szCs w:val="24"/>
        </w:rPr>
        <w:t>On MBS SAI handling on NG-RAN internal interfaces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03B6526B" w:rsidR="00CD7395" w:rsidRDefault="00710AB4" w:rsidP="00117327">
      <w:r>
        <w:t>This paper continues discussions based on [2] which focussed mainly on how reply to the LS from RAN2 in [1], where we propose to introduce an MBS Session Area Identity for NR MBS (i.e. for multicast and broadcast) as the only identity used to indicate MBS service areas.</w:t>
      </w:r>
    </w:p>
    <w:p w14:paraId="32DFEF9B" w14:textId="32100616" w:rsidR="00710AB4" w:rsidRPr="00117327" w:rsidRDefault="00710AB4" w:rsidP="00117327">
      <w:r>
        <w:t>The discussions in this paper revolve around NG-RAN internal interfaces.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21A493C7" w:rsidR="00DB5364" w:rsidRDefault="00710AB4" w:rsidP="00710AB4">
      <w:pPr>
        <w:pStyle w:val="Heading2"/>
      </w:pPr>
      <w:r>
        <w:t>NG interface</w:t>
      </w:r>
    </w:p>
    <w:p w14:paraId="41C60EB6" w14:textId="61D14224" w:rsidR="00710AB4" w:rsidRDefault="00710AB4" w:rsidP="00DB5364">
      <w:r>
        <w:t>As discussed in [2], we assume that the area information corresponding to an MBS SAI is configured in NG-RAN and 5GC without the necessity to communicate the mapping between MBS SAI and cells/TAIs. We would assume that the mapping between MBS SAI and area information in the 5GC is typically configured by means of geo-information (or a civic addresses), whereas in NG-RAN the MBS SAI is which is “translated” in NG-RAN in terms of cell/TAI information.</w:t>
      </w:r>
    </w:p>
    <w:p w14:paraId="33E351B8" w14:textId="0754C37B" w:rsidR="00710AB4" w:rsidRDefault="00710AB4" w:rsidP="00DB5364">
      <w:r>
        <w:t>For 5GC internal communication means, we would assume further, that it is possible to rely on the fact that the mapping between the MBS SAI and TAIs (even if an MBS SAI is smaller than a complete TAI) is known in the AMF. As discussed in [2], the 5GC should not operate on mapping information below the TAI granularity.</w:t>
      </w:r>
    </w:p>
    <w:p w14:paraId="3745162D" w14:textId="093928DE" w:rsidR="00710AB4" w:rsidRDefault="00710AB4" w:rsidP="00DB5364">
      <w:r>
        <w:t>The question arises whether we should specify means for the NG-RAN node to communicate the set of MBS SAIs supported by the NG-RAN node, like NG-RAN nodes provide their supported TAIs to the AMF at NG Setup.</w:t>
      </w:r>
    </w:p>
    <w:p w14:paraId="216DB1FA" w14:textId="50EC9A78" w:rsidR="00237F7C" w:rsidRDefault="00237F7C" w:rsidP="00237F7C">
      <w:pPr>
        <w:pStyle w:val="Eyecatcher"/>
      </w:pPr>
      <w:r>
        <w:t>Observation</w:t>
      </w:r>
      <w:r w:rsidR="00710AB4">
        <w:t xml:space="preserve"> 1</w:t>
      </w:r>
      <w:r>
        <w:t>:</w:t>
      </w:r>
      <w:r w:rsidR="00710AB4">
        <w:tab/>
        <w:t>On the NG interface, it seems to be necessary to provide the MBS SAIs belonging to a TAI supported by the NG-RAN node.</w:t>
      </w:r>
    </w:p>
    <w:p w14:paraId="20CA8E50" w14:textId="41663E0A" w:rsidR="00710AB4" w:rsidRDefault="00710AB4" w:rsidP="00710AB4">
      <w:pPr>
        <w:pStyle w:val="Heading2"/>
      </w:pPr>
      <w:r>
        <w:t>F1 interface</w:t>
      </w:r>
    </w:p>
    <w:p w14:paraId="624E0982" w14:textId="77777777" w:rsidR="00710AB4" w:rsidRDefault="00710AB4" w:rsidP="00710AB4">
      <w:r>
        <w:t>If we assume an OAM model where gNB-DUs are configured with basic system broadcast information an this information is provided via F1 interface management signalling to the gNB-CU, we may assume, that an gNB-CU will learn about the supported/configured MBS SAIs in the same way, avoiding the necessity to configure both, gNB-DUs and gNB-CUs with the same information. Such approach would follow the concepts developed so far.</w:t>
      </w:r>
    </w:p>
    <w:p w14:paraId="457045B0" w14:textId="7610A72E" w:rsidR="00710AB4" w:rsidRDefault="00710AB4" w:rsidP="00710AB4">
      <w:pPr>
        <w:pStyle w:val="Eyecatcher"/>
      </w:pPr>
      <w:r>
        <w:t>Observation 2: It seems to be safe to assume, that the gNB-DU communicates the supported MBS SAIs per served cell to the gNB-CU.</w:t>
      </w:r>
    </w:p>
    <w:p w14:paraId="3E3EB7B0" w14:textId="58921659" w:rsidR="00710AB4" w:rsidRDefault="00710AB4" w:rsidP="00710AB4">
      <w:pPr>
        <w:pStyle w:val="Heading2"/>
      </w:pPr>
      <w:r>
        <w:t>E1 interface</w:t>
      </w:r>
    </w:p>
    <w:p w14:paraId="148DE215" w14:textId="77777777" w:rsidR="00710AB4" w:rsidRDefault="00710AB4" w:rsidP="00710AB4">
      <w:r>
        <w:t>In general, the usage of a gNB-CU-UP is not necessarily restricted, E1AP however supports deployment of “specialised” gNB-CU-UP by indicating supported slices and QoS parameters.</w:t>
      </w:r>
    </w:p>
    <w:p w14:paraId="07199FFD" w14:textId="28DAD0B7" w:rsidR="00710AB4" w:rsidRDefault="00710AB4" w:rsidP="00710AB4">
      <w:r>
        <w:lastRenderedPageBreak/>
        <w:t>For mobility between supporting gNBs we discuss the introduction of a shared UP entity shared among gNBs and the possibility for the gNB-CU-UP to indicate support of shared UP resources for a specific MBS Session. Whether the indication of an MBS SAI is beneficial for the support of shared UP resources or other use cases may be further discussed</w:t>
      </w:r>
    </w:p>
    <w:p w14:paraId="7D1B5BD0" w14:textId="0BBB86D3" w:rsidR="00710AB4" w:rsidRDefault="00710AB4" w:rsidP="00710AB4">
      <w:pPr>
        <w:pStyle w:val="Eyecatcher"/>
      </w:pPr>
      <w:r>
        <w:t>Observation 3: Impact of the introduction of MBS SAIs for E1AP may be further discussed, but it is assumed that this may be of lower priority as compared to discussions on other interfaces and may depend on the outcome of other discussions, e.g. mobility with shared UP resources.</w:t>
      </w:r>
    </w:p>
    <w:p w14:paraId="46490D3D" w14:textId="24DF9F7D" w:rsidR="00710AB4" w:rsidRDefault="00710AB4" w:rsidP="00710AB4">
      <w:pPr>
        <w:pStyle w:val="Heading2"/>
      </w:pPr>
      <w:r>
        <w:t>Xn interface</w:t>
      </w:r>
    </w:p>
    <w:p w14:paraId="66D3F09A" w14:textId="77777777" w:rsidR="00710AB4" w:rsidRDefault="00710AB4" w:rsidP="00710AB4">
      <w:r>
        <w:t xml:space="preserve">For mobility between supporting nodes, if we substitute the indication of MBS service areas by cell/TEI lists by MBS SAIs, the source gNB would need to know the configuration of the cells supported by the peer gNB. </w:t>
      </w:r>
    </w:p>
    <w:p w14:paraId="58CF4F5A" w14:textId="77777777" w:rsidR="00710AB4" w:rsidRDefault="00710AB4" w:rsidP="00710AB4">
      <w:pPr>
        <w:pStyle w:val="Eyecatcher"/>
      </w:pPr>
      <w:r>
        <w:t>Observation 4: We assume that the supported MBS SAIs per served cell needs to be communicated via Xn</w:t>
      </w:r>
    </w:p>
    <w:p w14:paraId="00917DA1" w14:textId="3AEC3F92" w:rsidR="00710AB4" w:rsidRDefault="00710AB4" w:rsidP="00710AB4">
      <w:pPr>
        <w:pStyle w:val="Heading2"/>
      </w:pPr>
      <w:r>
        <w:t>Further aspects</w:t>
      </w:r>
    </w:p>
    <w:p w14:paraId="688D419C" w14:textId="04492FF5" w:rsidR="00710AB4" w:rsidRDefault="00710AB4" w:rsidP="00710AB4">
      <w:r>
        <w:t>It seems to be obvious, but we should also bear in mind that more than one MBS SAI can be supported by a cell. We should further discuss the maximum number of supported MBS SAIs.</w:t>
      </w:r>
    </w:p>
    <w:p w14:paraId="0E1AD963" w14:textId="5BED8B3E" w:rsidR="00710AB4" w:rsidRDefault="00710AB4" w:rsidP="00710AB4">
      <w:pPr>
        <w:pStyle w:val="Eyecatcher"/>
      </w:pPr>
      <w:r>
        <w:t xml:space="preserve">Observation 5: Further discussions are necessary on the </w:t>
      </w:r>
      <w:r w:rsidR="00BF3F8C">
        <w:t xml:space="preserve">how many </w:t>
      </w:r>
      <w:r>
        <w:t xml:space="preserve">MBS SAIs </w:t>
      </w:r>
      <w:r w:rsidR="00BF3F8C">
        <w:t xml:space="preserve">can be </w:t>
      </w:r>
      <w:r>
        <w:t>supported by a cell.</w:t>
      </w:r>
    </w:p>
    <w:p w14:paraId="3906E886" w14:textId="77777777" w:rsidR="00237F7C" w:rsidRPr="00DB5364" w:rsidRDefault="00237F7C" w:rsidP="00DB5364"/>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1EBF357A" w:rsidR="00D80F19" w:rsidRDefault="005F4642" w:rsidP="00D80F19">
      <w:r>
        <w:t>We continued discussions started in [2] and made the following observations:</w:t>
      </w:r>
    </w:p>
    <w:p w14:paraId="64B1E9D9" w14:textId="77777777" w:rsidR="005F4642" w:rsidRDefault="005F4642" w:rsidP="005F4642">
      <w:pPr>
        <w:pStyle w:val="Eyecatcher"/>
      </w:pPr>
      <w:r>
        <w:t>Observation 1:</w:t>
      </w:r>
      <w:r>
        <w:tab/>
        <w:t>On the NG interface, it seems to be necessary to provide the MBS SAIs belonging to a TAI supported by the NG-RAN node.</w:t>
      </w:r>
    </w:p>
    <w:p w14:paraId="4B9173B4" w14:textId="77777777" w:rsidR="005F4642" w:rsidRDefault="005F4642" w:rsidP="005F4642">
      <w:pPr>
        <w:pStyle w:val="Eyecatcher"/>
      </w:pPr>
      <w:r>
        <w:t>Observation 2: It seems to be safe to assume, that the gNB-DU communicates the supported MBS SAIs per served cell to the gNB-CU.</w:t>
      </w:r>
    </w:p>
    <w:p w14:paraId="582AA4AD" w14:textId="77777777" w:rsidR="005F4642" w:rsidRDefault="005F4642" w:rsidP="005F4642">
      <w:pPr>
        <w:pStyle w:val="Eyecatcher"/>
      </w:pPr>
      <w:r>
        <w:t>Observation 3: Impact of the introduction of MBS SAIs for E1AP may be further discussed, but it is assumed that this may be of lower priority as compared to discussions on other interfaces and may depend on the outcome of other discussions, e.g. mobility with shared UP resources.</w:t>
      </w:r>
    </w:p>
    <w:p w14:paraId="3A8FDA4B" w14:textId="77777777" w:rsidR="005F4642" w:rsidRDefault="005F4642" w:rsidP="005F4642">
      <w:pPr>
        <w:pStyle w:val="Eyecatcher"/>
      </w:pPr>
      <w:r>
        <w:t>Observation 4: We assume that the supported MBS SAIs per served cell needs to be communicated via Xn</w:t>
      </w:r>
    </w:p>
    <w:p w14:paraId="3FB1E7E7" w14:textId="77777777" w:rsidR="00BF3F8C" w:rsidRDefault="00BF3F8C" w:rsidP="00BF3F8C">
      <w:pPr>
        <w:pStyle w:val="Eyecatcher"/>
      </w:pPr>
      <w:r>
        <w:t>Observation 5: Further discussions are necessary on the how many MBS SAIs can be supported by a cell.</w:t>
      </w:r>
    </w:p>
    <w:p w14:paraId="6F08C1E2" w14:textId="08314EBA" w:rsidR="006A461D" w:rsidRDefault="005F4642" w:rsidP="005F4642">
      <w:pPr>
        <w:pStyle w:val="Eyecatcher"/>
      </w:pPr>
      <w:r>
        <w:t>Proposal:</w:t>
      </w:r>
      <w:r>
        <w:tab/>
        <w:t>Continue discussing this topic along observations made in this paper.</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bookmarkEnd w:id="22"/>
    <w:p w14:paraId="34AA6FAB" w14:textId="77777777" w:rsidR="00710AB4" w:rsidRPr="006763C7" w:rsidRDefault="00710AB4" w:rsidP="00710AB4">
      <w:pPr>
        <w:pStyle w:val="Reference"/>
        <w:rPr>
          <w:rFonts w:eastAsia="SimSun"/>
          <w:lang w:eastAsia="zh-CN"/>
        </w:rPr>
      </w:pPr>
      <w:r>
        <w:rPr>
          <w:rFonts w:eastAsia="SimSun" w:hint="eastAsia"/>
          <w:bCs/>
          <w:lang w:eastAsia="zh-CN"/>
        </w:rPr>
        <w:t>[1]</w:t>
      </w:r>
      <w:r>
        <w:rPr>
          <w:rFonts w:eastAsia="SimSun" w:hint="eastAsia"/>
          <w:bCs/>
          <w:lang w:eastAsia="zh-CN"/>
        </w:rPr>
        <w:tab/>
      </w:r>
      <w:r>
        <w:rPr>
          <w:rFonts w:eastAsia="SimSun"/>
          <w:bCs/>
          <w:lang w:eastAsia="zh-CN"/>
        </w:rPr>
        <w:t xml:space="preserve">R3-214683/R2-2108914 </w:t>
      </w:r>
      <w:r w:rsidRPr="00D80F19">
        <w:t>"</w:t>
      </w:r>
      <w:r>
        <w:rPr>
          <w:rFonts w:cs="Arial"/>
        </w:rPr>
        <w:t>LS on the MBS broadcast service continuity and MBS session identification</w:t>
      </w:r>
      <w:r w:rsidRPr="00D80F19">
        <w:t>"</w:t>
      </w:r>
      <w:r>
        <w:t xml:space="preserve"> LS in to RAN3#114-e from RAN2</w:t>
      </w:r>
    </w:p>
    <w:p w14:paraId="1621B1C5" w14:textId="5BBE2A80" w:rsidR="00CD7395" w:rsidRPr="00710AB4" w:rsidRDefault="00710AB4" w:rsidP="00710AB4">
      <w:pPr>
        <w:pStyle w:val="Reference"/>
      </w:pPr>
      <w:r>
        <w:rPr>
          <w:rFonts w:eastAsia="SimSun"/>
          <w:lang w:eastAsia="zh-CN"/>
        </w:rPr>
        <w:lastRenderedPageBreak/>
        <w:t>[2]</w:t>
      </w:r>
      <w:r>
        <w:rPr>
          <w:rFonts w:eastAsia="SimSun"/>
          <w:lang w:eastAsia="zh-CN"/>
        </w:rPr>
        <w:tab/>
        <w:t>R3-</w:t>
      </w:r>
      <w:r w:rsidRPr="00710AB4">
        <w:t>21</w:t>
      </w:r>
      <w:r w:rsidR="00741F4F">
        <w:t>5194</w:t>
      </w:r>
      <w:r w:rsidRPr="00710AB4">
        <w:t xml:space="preserve"> </w:t>
      </w:r>
      <w:r w:rsidRPr="00D80F19">
        <w:t>"</w:t>
      </w:r>
      <w:r w:rsidRPr="00710AB4">
        <w:t>Discussion on RAN2 LS on the MBS broadcast service continuity and MBS session identification</w:t>
      </w:r>
      <w:r w:rsidRPr="00D80F19">
        <w:t>"</w:t>
      </w:r>
      <w:r>
        <w:t xml:space="preserve">, input paper to RAN3#114-e </w:t>
      </w:r>
    </w:p>
    <w:sectPr w:rsidR="00CD7395" w:rsidRPr="00710AB4"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4F4C5E"/>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5F4642"/>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0AB4"/>
    <w:rsid w:val="007159BF"/>
    <w:rsid w:val="0073451F"/>
    <w:rsid w:val="00741F4F"/>
    <w:rsid w:val="007433DE"/>
    <w:rsid w:val="007466BD"/>
    <w:rsid w:val="0079087F"/>
    <w:rsid w:val="0079764C"/>
    <w:rsid w:val="007B42A3"/>
    <w:rsid w:val="007D41E9"/>
    <w:rsid w:val="007F669C"/>
    <w:rsid w:val="00805AD4"/>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3F8C"/>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EF7C4B"/>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4AA91-F668-4638-B767-0A3E2C940093}">
  <ds:schemaRefs>
    <ds:schemaRef ds:uri="http://schemas.microsoft.com/sharepoint/v3/contenttype/forms"/>
  </ds:schemaRefs>
</ds:datastoreItem>
</file>

<file path=customXml/itemProps2.xml><?xml version="1.0" encoding="utf-8"?>
<ds:datastoreItem xmlns:ds="http://schemas.openxmlformats.org/officeDocument/2006/customXml" ds:itemID="{E3D122F7-A37A-4B68-920E-58E31B714579}">
  <ds:schemaRefs>
    <ds:schemaRef ds:uri="http://schemas.microsoft.com/office/2006/documentManagement/types"/>
    <ds:schemaRef ds:uri="9b239327-9e80-40e4-b1b7-4394fed77a33"/>
    <ds:schemaRef ds:uri="http://schemas.microsoft.com/sharepoint/v3"/>
    <ds:schemaRef ds:uri="http://schemas.microsoft.com/office/infopath/2007/PartnerControls"/>
    <ds:schemaRef ds:uri="http://schemas.openxmlformats.org/package/2006/metadata/core-properties"/>
    <ds:schemaRef ds:uri="http://purl.org/dc/elements/1.1/"/>
    <ds:schemaRef ds:uri="http://purl.org/dc/dcmitype/"/>
    <ds:schemaRef ds:uri="http://purl.org/dc/term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FBDD4540-6A67-4E25-B4CB-F292EAD15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736</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3</cp:revision>
  <dcterms:created xsi:type="dcterms:W3CDTF">2021-10-21T17:50:00Z</dcterms:created>
  <dcterms:modified xsi:type="dcterms:W3CDTF">2021-10-21T17:50:00Z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