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3FA3296A"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644A5">
        <w:rPr>
          <w:rFonts w:cs="Arial"/>
          <w:bCs/>
          <w:noProof w:val="0"/>
          <w:sz w:val="24"/>
          <w:lang w:val="en-GB"/>
        </w:rPr>
        <w:t>1</w:t>
      </w:r>
      <w:r w:rsidR="001746AD">
        <w:rPr>
          <w:rFonts w:cs="Arial"/>
          <w:bCs/>
          <w:noProof w:val="0"/>
          <w:sz w:val="24"/>
          <w:lang w:val="en-GB"/>
        </w:rPr>
        <w:t>e</w:t>
      </w:r>
      <w:r>
        <w:rPr>
          <w:rFonts w:cs="Arial"/>
          <w:bCs/>
          <w:noProof w:val="0"/>
          <w:sz w:val="24"/>
          <w:lang w:val="en-GB"/>
        </w:rPr>
        <w:tab/>
      </w:r>
      <w:r w:rsidR="0050255F" w:rsidRPr="0050255F">
        <w:rPr>
          <w:rFonts w:cs="Arial"/>
          <w:bCs/>
          <w:noProof w:val="0"/>
          <w:sz w:val="24"/>
          <w:lang w:val="en-GB" w:eastAsia="ja-JP"/>
        </w:rPr>
        <w:t>R3-21087</w:t>
      </w:r>
      <w:r w:rsidR="0050255F">
        <w:rPr>
          <w:rFonts w:cs="Arial"/>
          <w:bCs/>
          <w:noProof w:val="0"/>
          <w:sz w:val="24"/>
          <w:lang w:val="en-GB" w:eastAsia="ja-JP"/>
        </w:rPr>
        <w:t>6</w:t>
      </w:r>
    </w:p>
    <w:bookmarkEnd w:id="0"/>
    <w:p w14:paraId="67B66C06" w14:textId="575FD597" w:rsidR="001746AD" w:rsidRPr="00246CDD" w:rsidRDefault="00362D02" w:rsidP="004B1370">
      <w:pPr>
        <w:pStyle w:val="CRCoverPage"/>
        <w:outlineLvl w:val="0"/>
        <w:rPr>
          <w:b/>
          <w:noProof/>
          <w:sz w:val="24"/>
        </w:rPr>
      </w:pPr>
      <w:r>
        <w:rPr>
          <w:b/>
          <w:noProof/>
          <w:sz w:val="24"/>
        </w:rPr>
        <w:t xml:space="preserve">Online Meeting, </w:t>
      </w:r>
      <w:r w:rsidR="004644A5">
        <w:rPr>
          <w:b/>
          <w:noProof/>
          <w:sz w:val="24"/>
        </w:rPr>
        <w:t>25</w:t>
      </w:r>
      <w:r w:rsidR="004644A5">
        <w:rPr>
          <w:b/>
          <w:noProof/>
          <w:sz w:val="24"/>
          <w:vertAlign w:val="superscript"/>
        </w:rPr>
        <w:t xml:space="preserve">th </w:t>
      </w:r>
      <w:r w:rsidR="004644A5">
        <w:rPr>
          <w:b/>
          <w:noProof/>
          <w:sz w:val="24"/>
        </w:rPr>
        <w:t>January</w:t>
      </w:r>
      <w:r w:rsidR="004B1370">
        <w:rPr>
          <w:b/>
          <w:noProof/>
          <w:sz w:val="24"/>
        </w:rPr>
        <w:t xml:space="preserve"> – </w:t>
      </w:r>
      <w:r w:rsidR="004644A5">
        <w:rPr>
          <w:b/>
          <w:noProof/>
          <w:sz w:val="24"/>
        </w:rPr>
        <w:t>5</w:t>
      </w:r>
      <w:r w:rsidR="00B433C6">
        <w:rPr>
          <w:b/>
          <w:noProof/>
          <w:sz w:val="24"/>
          <w:vertAlign w:val="superscript"/>
        </w:rPr>
        <w:t>th</w:t>
      </w:r>
      <w:r w:rsidR="004B1370">
        <w:rPr>
          <w:b/>
          <w:noProof/>
          <w:sz w:val="24"/>
        </w:rPr>
        <w:t xml:space="preserve"> </w:t>
      </w:r>
      <w:r w:rsidR="004644A5">
        <w:rPr>
          <w:b/>
          <w:noProof/>
          <w:sz w:val="24"/>
        </w:rPr>
        <w:t xml:space="preserve">February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30E1951A"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w:t>
      </w:r>
      <w:r w:rsidR="008D6FAF">
        <w:rPr>
          <w:rFonts w:cs="Arial"/>
          <w:b/>
          <w:bCs/>
          <w:sz w:val="24"/>
          <w:szCs w:val="24"/>
          <w:lang w:val="en-US"/>
        </w:rPr>
        <w:t>3</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5C4906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NR-IIoT</w:t>
      </w:r>
      <w:r w:rsidR="00A34621">
        <w:rPr>
          <w:rFonts w:cs="Arial"/>
          <w:b/>
          <w:bCs/>
          <w:color w:val="000000"/>
          <w:sz w:val="24"/>
          <w:szCs w:val="24"/>
        </w:rPr>
        <w:t>: QoS parameters related</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 xml:space="preserve">Identify potential enhancements to ensure Release 16 feature compatibility with unlicensed band URLLC/IIoT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22254C" w:rsidRDefault="00A903A4" w:rsidP="00DB006E">
            <w:pPr>
              <w:numPr>
                <w:ilvl w:val="0"/>
                <w:numId w:val="39"/>
              </w:numPr>
              <w:spacing w:after="0"/>
              <w:textAlignment w:val="auto"/>
              <w:rPr>
                <w:bCs/>
              </w:rPr>
            </w:pPr>
            <w:r w:rsidRPr="0022254C">
              <w:rPr>
                <w:bCs/>
              </w:rPr>
              <w:t>Enhancements for support of time synchronization:</w:t>
            </w:r>
          </w:p>
          <w:p w14:paraId="3832A253" w14:textId="77777777" w:rsidR="00A903A4" w:rsidRPr="0022254C" w:rsidRDefault="00A903A4" w:rsidP="00DB006E">
            <w:pPr>
              <w:numPr>
                <w:ilvl w:val="0"/>
                <w:numId w:val="41"/>
              </w:numPr>
              <w:spacing w:after="0"/>
              <w:textAlignment w:val="auto"/>
              <w:rPr>
                <w:bCs/>
              </w:rPr>
            </w:pPr>
            <w:r w:rsidRPr="0022254C">
              <w:rPr>
                <w:lang w:val="en-US"/>
              </w:rPr>
              <w:t>RAN impacts of SA2 work on uplink time synchronization for TSN, if any.</w:t>
            </w:r>
            <w:r w:rsidRPr="0022254C">
              <w:rPr>
                <w:bCs/>
              </w:rPr>
              <w:t xml:space="preserve"> [RAN2]</w:t>
            </w:r>
          </w:p>
          <w:p w14:paraId="098A20D9" w14:textId="77777777" w:rsidR="00A903A4" w:rsidRPr="0022254C" w:rsidRDefault="00A903A4" w:rsidP="00DB006E">
            <w:pPr>
              <w:numPr>
                <w:ilvl w:val="0"/>
                <w:numId w:val="41"/>
              </w:numPr>
              <w:spacing w:after="0"/>
              <w:textAlignment w:val="auto"/>
              <w:rPr>
                <w:bCs/>
              </w:rPr>
            </w:pPr>
            <w:r w:rsidRPr="0022254C">
              <w:rPr>
                <w:bCs/>
              </w:rPr>
              <w:t>Propagation delay compensation enhancements (including mobility issues, if any). [RAN2, RAN1, RAN3, RAN4]</w:t>
            </w:r>
          </w:p>
          <w:p w14:paraId="131ADE61" w14:textId="77777777" w:rsidR="00A903A4" w:rsidRPr="00A903A4" w:rsidRDefault="00A903A4" w:rsidP="00DB006E">
            <w:pPr>
              <w:numPr>
                <w:ilvl w:val="0"/>
                <w:numId w:val="39"/>
              </w:numPr>
              <w:spacing w:after="0"/>
              <w:textAlignment w:val="auto"/>
              <w:rPr>
                <w:bCs/>
                <w:highlight w:val="yellow"/>
              </w:rPr>
            </w:pPr>
            <w:r w:rsidRPr="00A903A4">
              <w:rPr>
                <w:bCs/>
                <w:highlight w:val="yellow"/>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01555D2" w:rsidR="002F0B97" w:rsidRDefault="002F0B97" w:rsidP="00BF3777">
      <w:pPr>
        <w:rPr>
          <w:lang w:eastAsia="zh-CN"/>
        </w:rPr>
      </w:pPr>
      <w:r>
        <w:rPr>
          <w:lang w:eastAsia="zh-CN"/>
        </w:rPr>
        <w:t>Objectives 5 related</w:t>
      </w:r>
      <w:r w:rsidR="0022254C">
        <w:rPr>
          <w:lang w:eastAsia="zh-CN"/>
        </w:rPr>
        <w:t xml:space="preserve"> to QoS parameters may impact</w:t>
      </w:r>
      <w:r>
        <w:rPr>
          <w:lang w:eastAsia="zh-CN"/>
        </w:rPr>
        <w:t xml:space="preserve"> </w:t>
      </w:r>
      <w:r w:rsidR="0022254C">
        <w:rPr>
          <w:lang w:eastAsia="zh-CN"/>
        </w:rPr>
        <w:t xml:space="preserve">on </w:t>
      </w:r>
      <w:r>
        <w:rPr>
          <w:lang w:eastAsia="zh-CN"/>
        </w:rPr>
        <w:t>RAN3</w:t>
      </w:r>
      <w:r w:rsidR="0022254C">
        <w:rPr>
          <w:lang w:eastAsia="zh-CN"/>
        </w:rPr>
        <w:t xml:space="preserve"> and</w:t>
      </w:r>
      <w:r>
        <w:rPr>
          <w:lang w:eastAsia="zh-CN"/>
        </w:rPr>
        <w:t xml:space="preserve"> we should </w:t>
      </w:r>
      <w:r w:rsidR="006868A8">
        <w:rPr>
          <w:lang w:eastAsia="zh-CN"/>
        </w:rPr>
        <w:t>discuss.</w:t>
      </w:r>
    </w:p>
    <w:p w14:paraId="7EB9A949" w14:textId="0A3A90B6" w:rsidR="0028383C" w:rsidRDefault="006E5ECE" w:rsidP="008D6FAF">
      <w:pPr>
        <w:pStyle w:val="Heading1"/>
        <w:ind w:left="0" w:firstLine="0"/>
      </w:pPr>
      <w:r>
        <w:rPr>
          <w:lang w:eastAsia="zh-CN"/>
        </w:rPr>
        <w:t>2</w:t>
      </w:r>
      <w:r>
        <w:rPr>
          <w:lang w:eastAsia="zh-CN"/>
        </w:rPr>
        <w:tab/>
        <w:t>Discussion</w:t>
      </w:r>
    </w:p>
    <w:p w14:paraId="58FC9799" w14:textId="21B5458E" w:rsidR="00701C80" w:rsidRDefault="00E92303" w:rsidP="00E92303">
      <w:pPr>
        <w:rPr>
          <w:rFonts w:ascii="Arial" w:hAnsi="Arial"/>
          <w:sz w:val="28"/>
          <w:szCs w:val="28"/>
          <w:lang w:eastAsia="zh-CN"/>
        </w:rPr>
      </w:pPr>
      <w:r>
        <w:rPr>
          <w:rFonts w:ascii="Arial" w:hAnsi="Arial"/>
          <w:sz w:val="28"/>
          <w:szCs w:val="28"/>
          <w:lang w:eastAsia="zh-CN"/>
        </w:rPr>
        <w:t>New QoS related parameters, e.g. survival time</w:t>
      </w:r>
    </w:p>
    <w:p w14:paraId="43EC27D2" w14:textId="4370E862" w:rsidR="007A63F3" w:rsidRDefault="007A63F3" w:rsidP="004D6076">
      <w:pPr>
        <w:rPr>
          <w:lang w:eastAsia="zh-CN"/>
        </w:rPr>
      </w:pPr>
      <w:r>
        <w:rPr>
          <w:lang w:eastAsia="zh-CN"/>
        </w:rPr>
        <w:t xml:space="preserve">In [2], SA2 </w:t>
      </w:r>
      <w:r w:rsidR="00BE7026">
        <w:rPr>
          <w:lang w:eastAsia="zh-CN"/>
        </w:rPr>
        <w:t xml:space="preserve">stated that they </w:t>
      </w:r>
      <w:r w:rsidR="00BE7026" w:rsidRPr="00BE7026">
        <w:rPr>
          <w:lang w:eastAsia="zh-CN"/>
        </w:rPr>
        <w:t>ha</w:t>
      </w:r>
      <w:r w:rsidR="00BE7026">
        <w:rPr>
          <w:lang w:eastAsia="zh-CN"/>
        </w:rPr>
        <w:t>ve</w:t>
      </w:r>
      <w:r w:rsidR="00BE7026" w:rsidRPr="00BE7026">
        <w:rPr>
          <w:lang w:eastAsia="zh-CN"/>
        </w:rPr>
        <w:t xml:space="preserve"> studied a key issue for introducing “Use of Survival Time for Deterministic Applications in 5GS” and selected the solutions as the basis for normative work. One of the basic principles of the agreed conclusions is that SMF determines TSCAI Survival Time and sends it to the NG-RAN.</w:t>
      </w:r>
      <w:r w:rsidR="004D6076">
        <w:rPr>
          <w:lang w:eastAsia="zh-CN"/>
        </w:rPr>
        <w:t xml:space="preserve"> SA WG2 kindly requests 3GPP RAN2/RAN3 to provide their feedback on the preference of Survival Time definition and to inform SA2 whether receiving survival time is sufficient for NG-RAN to address the performance targets.</w:t>
      </w:r>
    </w:p>
    <w:p w14:paraId="5D8FDA21" w14:textId="1EA3EE45" w:rsidR="004D6076" w:rsidRDefault="004D6076" w:rsidP="004D6076">
      <w:pPr>
        <w:rPr>
          <w:lang w:eastAsia="zh-CN"/>
        </w:rPr>
      </w:pPr>
      <w:r>
        <w:rPr>
          <w:lang w:eastAsia="zh-CN"/>
        </w:rPr>
        <w:t>At the last meeting RAN3 replied</w:t>
      </w:r>
      <w:r w:rsidR="0010745B">
        <w:rPr>
          <w:lang w:eastAsia="zh-CN"/>
        </w:rPr>
        <w:t xml:space="preserve"> SA2</w:t>
      </w:r>
      <w:r>
        <w:rPr>
          <w:lang w:eastAsia="zh-CN"/>
        </w:rPr>
        <w:t xml:space="preserve"> in [3] that:</w:t>
      </w:r>
    </w:p>
    <w:tbl>
      <w:tblPr>
        <w:tblStyle w:val="TableGrid"/>
        <w:tblW w:w="0" w:type="auto"/>
        <w:tblLook w:val="04A0" w:firstRow="1" w:lastRow="0" w:firstColumn="1" w:lastColumn="0" w:noHBand="0" w:noVBand="1"/>
      </w:tblPr>
      <w:tblGrid>
        <w:gridCol w:w="9348"/>
      </w:tblGrid>
      <w:tr w:rsidR="004D6076" w14:paraId="62ED841F" w14:textId="77777777" w:rsidTr="004D6076">
        <w:tc>
          <w:tcPr>
            <w:tcW w:w="9348" w:type="dxa"/>
          </w:tcPr>
          <w:p w14:paraId="0E330AAE" w14:textId="05F60404" w:rsidR="00A23E06" w:rsidRDefault="00A23E06" w:rsidP="00A23E06">
            <w:pPr>
              <w:rPr>
                <w:lang w:eastAsia="zh-CN"/>
              </w:rPr>
            </w:pPr>
            <w:r>
              <w:rPr>
                <w:lang w:eastAsia="zh-CN"/>
              </w:rPr>
              <w:lastRenderedPageBreak/>
              <w:t>-</w:t>
            </w:r>
            <w:r>
              <w:rPr>
                <w:lang w:eastAsia="zh-CN"/>
              </w:rPr>
              <w:tab/>
              <w:t>Regarding RAN3 preference between Survival Time definition i) or ii) as defined in the SA2 LS, RAN3 intends to discuss this at RAN3#111-e (when the associated work item in RAN3 is initiated) and will take into account any preference expressed by RAN2.</w:t>
            </w:r>
          </w:p>
          <w:p w14:paraId="0344012B" w14:textId="572D7533" w:rsidR="004D6076" w:rsidRDefault="00A23E06" w:rsidP="00A23E06">
            <w:pPr>
              <w:rPr>
                <w:lang w:eastAsia="zh-CN"/>
              </w:rPr>
            </w:pPr>
            <w:r>
              <w:rPr>
                <w:lang w:eastAsia="zh-CN"/>
              </w:rPr>
              <w:t>-</w:t>
            </w:r>
            <w:r>
              <w:rPr>
                <w:lang w:eastAsia="zh-CN"/>
              </w:rPr>
              <w:tab/>
              <w:t>Regarding whether receiving survival time is sufficient for NG-RAN to address the performance targets (same Survival Time but different communication service availability for different services) laid out by SA1 in Table 5.2-1 in TS 22.104, RAN3 considers this to be RAN2 scope.</w:t>
            </w:r>
          </w:p>
        </w:tc>
      </w:tr>
    </w:tbl>
    <w:p w14:paraId="40597BB8" w14:textId="77777777" w:rsidR="007A63F3" w:rsidRDefault="007A63F3" w:rsidP="00934BAC">
      <w:pPr>
        <w:rPr>
          <w:lang w:eastAsia="zh-CN"/>
        </w:rPr>
      </w:pPr>
    </w:p>
    <w:p w14:paraId="19B6564D" w14:textId="00F6FF11" w:rsidR="00805D93" w:rsidRPr="00A42D54" w:rsidRDefault="00E92303" w:rsidP="00934BAC">
      <w:pPr>
        <w:rPr>
          <w:rFonts w:ascii="Arial" w:hAnsi="Arial"/>
          <w:sz w:val="28"/>
          <w:szCs w:val="28"/>
          <w:lang w:eastAsia="zh-CN"/>
        </w:rPr>
      </w:pPr>
      <w:r>
        <w:rPr>
          <w:lang w:eastAsia="zh-CN"/>
        </w:rPr>
        <w:t>In [</w:t>
      </w:r>
      <w:r w:rsidR="00701C80">
        <w:rPr>
          <w:lang w:eastAsia="zh-CN"/>
        </w:rPr>
        <w:t>4</w:t>
      </w:r>
      <w:r>
        <w:rPr>
          <w:lang w:eastAsia="zh-CN"/>
        </w:rPr>
        <w:t xml:space="preserve">], RAN2 </w:t>
      </w:r>
      <w:r w:rsidR="0010745B">
        <w:rPr>
          <w:lang w:eastAsia="zh-CN"/>
        </w:rPr>
        <w:t>replied SA2 that:</w:t>
      </w:r>
      <w:r>
        <w:rPr>
          <w:lang w:eastAsia="zh-CN"/>
        </w:rPr>
        <w:t xml:space="preserve"> </w:t>
      </w:r>
    </w:p>
    <w:tbl>
      <w:tblPr>
        <w:tblStyle w:val="TableGrid"/>
        <w:tblW w:w="0" w:type="auto"/>
        <w:tblLook w:val="04A0" w:firstRow="1" w:lastRow="0" w:firstColumn="1" w:lastColumn="0" w:noHBand="0" w:noVBand="1"/>
      </w:tblPr>
      <w:tblGrid>
        <w:gridCol w:w="9348"/>
      </w:tblGrid>
      <w:tr w:rsidR="00E92303" w14:paraId="6D328977" w14:textId="77777777" w:rsidTr="00E92303">
        <w:tc>
          <w:tcPr>
            <w:tcW w:w="9348" w:type="dxa"/>
          </w:tcPr>
          <w:p w14:paraId="5F429E3B" w14:textId="77777777" w:rsidR="0010745B" w:rsidRDefault="0010745B" w:rsidP="0010745B">
            <w:pPr>
              <w:numPr>
                <w:ilvl w:val="0"/>
                <w:numId w:val="42"/>
              </w:numPr>
              <w:overflowPunct/>
              <w:autoSpaceDE/>
              <w:autoSpaceDN/>
              <w:adjustRightInd/>
              <w:spacing w:after="0"/>
              <w:jc w:val="both"/>
              <w:textAlignment w:val="auto"/>
              <w:rPr>
                <w:rFonts w:ascii="Arial" w:hAnsi="Arial" w:cs="Arial"/>
              </w:rPr>
            </w:pPr>
            <w:r>
              <w:rPr>
                <w:rFonts w:ascii="Arial" w:hAnsi="Arial" w:cs="Arial"/>
              </w:rPr>
              <w:t xml:space="preserve">On the issue of choosing whether Survival Time should be expressed as i) </w:t>
            </w:r>
            <w:r w:rsidRPr="008464C3">
              <w:rPr>
                <w:rFonts w:ascii="Arial" w:hAnsi="Arial" w:cs="Arial"/>
              </w:rPr>
              <w:t>a maximum time in units of “time” where each unit corresponds to the data burst periodicity defined in TSCAI in Rel-16</w:t>
            </w:r>
            <w:r>
              <w:rPr>
                <w:rFonts w:ascii="Arial" w:hAnsi="Arial" w:cs="Arial"/>
              </w:rPr>
              <w:t xml:space="preserve">, or </w:t>
            </w:r>
            <w:r w:rsidRPr="008464C3">
              <w:rPr>
                <w:rFonts w:ascii="Arial" w:hAnsi="Arial" w:cs="Arial"/>
              </w:rPr>
              <w:t>ii)</w:t>
            </w:r>
            <w:r w:rsidRPr="008464C3">
              <w:rPr>
                <w:rFonts w:ascii="Arial" w:hAnsi="Arial" w:cs="Arial"/>
              </w:rPr>
              <w:tab/>
              <w:t>a maximum number of consecutive data burst transmission failures, where a data burst corresponds to a single application message</w:t>
            </w:r>
            <w:r>
              <w:rPr>
                <w:rFonts w:ascii="Arial" w:hAnsi="Arial" w:cs="Arial"/>
              </w:rPr>
              <w:t>, RAN2 prefers option i) – to express Survival time in units of “time”. The exact wording of the relevant RAN2 agreement reached at the ongoing meeting is provided here for your convenience:</w:t>
            </w:r>
          </w:p>
          <w:p w14:paraId="19BD353F" w14:textId="77777777" w:rsidR="0010745B" w:rsidRDefault="0010745B" w:rsidP="0010745B">
            <w:pPr>
              <w:spacing w:after="0"/>
              <w:ind w:left="360"/>
              <w:jc w:val="both"/>
              <w:rPr>
                <w:rFonts w:ascii="Arial" w:hAnsi="Arial" w:cs="Arial"/>
              </w:rPr>
            </w:pPr>
          </w:p>
          <w:p w14:paraId="0AB07660" w14:textId="77777777" w:rsidR="0010745B" w:rsidRPr="00BE704D" w:rsidRDefault="0010745B" w:rsidP="0010745B">
            <w:pPr>
              <w:pStyle w:val="Doc-text2"/>
              <w:pBdr>
                <w:top w:val="single" w:sz="4" w:space="1" w:color="auto"/>
                <w:left w:val="single" w:sz="4" w:space="4" w:color="auto"/>
                <w:bottom w:val="single" w:sz="4" w:space="1" w:color="auto"/>
                <w:right w:val="single" w:sz="4" w:space="4" w:color="auto"/>
              </w:pBdr>
              <w:rPr>
                <w:b/>
                <w:bCs/>
              </w:rPr>
            </w:pPr>
            <w:r w:rsidRPr="00BE704D">
              <w:rPr>
                <w:b/>
                <w:bCs/>
              </w:rPr>
              <w:t xml:space="preserve">Agreements </w:t>
            </w:r>
          </w:p>
          <w:p w14:paraId="2EB9F51A" w14:textId="77777777" w:rsidR="0010745B" w:rsidRDefault="0010745B" w:rsidP="0010745B">
            <w:pPr>
              <w:pStyle w:val="Doc-text2"/>
              <w:pBdr>
                <w:top w:val="single" w:sz="4" w:space="1" w:color="auto"/>
                <w:left w:val="single" w:sz="4" w:space="4" w:color="auto"/>
                <w:bottom w:val="single" w:sz="4" w:space="1" w:color="auto"/>
                <w:right w:val="single" w:sz="4" w:space="4" w:color="auto"/>
              </w:pBdr>
            </w:pPr>
            <w:r>
              <w:t>=&gt;</w:t>
            </w:r>
            <w:r>
              <w:tab/>
            </w:r>
            <w:r w:rsidRPr="00C30EDE">
              <w:rPr>
                <w:highlight w:val="yellow"/>
              </w:rPr>
              <w:t xml:space="preserve">Time period during which “message loss” can be tolerated is adopted as the preferred format for Survival time.  </w:t>
            </w:r>
            <w:r w:rsidRPr="00C30EDE">
              <w:rPr>
                <w:b/>
                <w:bCs/>
                <w:highlight w:val="yellow"/>
              </w:rPr>
              <w:t>FFS</w:t>
            </w:r>
            <w:r w:rsidRPr="00C30EDE">
              <w:rPr>
                <w:highlight w:val="yellow"/>
              </w:rPr>
              <w:t xml:space="preserve"> how this will be achieved and what message loss means in RAN2</w:t>
            </w:r>
          </w:p>
          <w:p w14:paraId="2EFCB113" w14:textId="77777777" w:rsidR="0010745B" w:rsidRDefault="0010745B" w:rsidP="0010745B">
            <w:pPr>
              <w:spacing w:after="0"/>
              <w:ind w:left="360"/>
              <w:jc w:val="both"/>
              <w:rPr>
                <w:rFonts w:ascii="Arial" w:hAnsi="Arial" w:cs="Arial"/>
              </w:rPr>
            </w:pPr>
          </w:p>
          <w:p w14:paraId="17171FFA" w14:textId="069817CB" w:rsidR="00E92303" w:rsidRPr="00430B5E" w:rsidRDefault="0010745B" w:rsidP="00E92303">
            <w:pPr>
              <w:numPr>
                <w:ilvl w:val="0"/>
                <w:numId w:val="42"/>
              </w:numPr>
              <w:overflowPunct/>
              <w:autoSpaceDE/>
              <w:autoSpaceDN/>
              <w:adjustRightInd/>
              <w:spacing w:after="0"/>
              <w:jc w:val="both"/>
              <w:textAlignment w:val="auto"/>
              <w:rPr>
                <w:rFonts w:ascii="Arial" w:hAnsi="Arial" w:cs="Arial"/>
              </w:rPr>
            </w:pPr>
            <w:r>
              <w:rPr>
                <w:rFonts w:ascii="Arial" w:hAnsi="Arial" w:cs="Arial"/>
              </w:rPr>
              <w:t xml:space="preserve">On the issue of </w:t>
            </w:r>
            <w:r w:rsidRPr="008464C3">
              <w:rPr>
                <w:rFonts w:ascii="Arial" w:hAnsi="Arial" w:cs="Arial"/>
              </w:rPr>
              <w:t>whether receiving survival time is sufficient for NG-RAN to address the performance targets (same Survival Time but different communication service availability for different services) laid out by SA1 in Table 5.2-1 in TS 22.104</w:t>
            </w:r>
            <w:r>
              <w:rPr>
                <w:rFonts w:ascii="Arial" w:hAnsi="Arial" w:cs="Arial"/>
              </w:rPr>
              <w:t xml:space="preserve">, RAN2 acknowledges this question </w:t>
            </w:r>
            <w:r w:rsidRPr="00430B5E">
              <w:rPr>
                <w:rFonts w:ascii="Arial" w:hAnsi="Arial" w:cs="Arial"/>
                <w:b/>
                <w:bCs/>
                <w:highlight w:val="yellow"/>
              </w:rPr>
              <w:t>but is not able to provide a reply at this stage, as more discussion and analysis is needed on this issue within RAN2</w:t>
            </w:r>
            <w:r>
              <w:rPr>
                <w:rFonts w:ascii="Arial" w:hAnsi="Arial" w:cs="Arial"/>
              </w:rPr>
              <w:t xml:space="preserve">. We will aim to update you as soon as a common understanding of the issue is reached.  </w:t>
            </w:r>
          </w:p>
        </w:tc>
      </w:tr>
    </w:tbl>
    <w:p w14:paraId="0D354405" w14:textId="77777777" w:rsidR="00F62CEB" w:rsidRDefault="00F62CEB" w:rsidP="00934BAC">
      <w:pPr>
        <w:rPr>
          <w:lang w:val="en-US" w:eastAsia="zh-CN"/>
        </w:rPr>
      </w:pPr>
    </w:p>
    <w:p w14:paraId="03E3727C" w14:textId="462B1BBD" w:rsidR="00E92303" w:rsidRDefault="00F62CEB" w:rsidP="00E92303">
      <w:pPr>
        <w:rPr>
          <w:lang w:eastAsia="zh-CN"/>
        </w:rPr>
      </w:pPr>
      <w:r>
        <w:rPr>
          <w:lang w:val="en-US" w:eastAsia="zh-CN"/>
        </w:rPr>
        <w:t xml:space="preserve">There is a clear dependency on RAN2 and SA2 agreement before </w:t>
      </w:r>
      <w:r w:rsidR="00E92303">
        <w:rPr>
          <w:lang w:eastAsia="zh-CN"/>
        </w:rPr>
        <w:t xml:space="preserve">RAN3 </w:t>
      </w:r>
      <w:r>
        <w:rPr>
          <w:lang w:eastAsia="zh-CN"/>
        </w:rPr>
        <w:t>could</w:t>
      </w:r>
      <w:r w:rsidR="00E92303">
        <w:rPr>
          <w:lang w:eastAsia="zh-CN"/>
        </w:rPr>
        <w:t xml:space="preserve"> start the work in </w:t>
      </w:r>
      <w:r>
        <w:rPr>
          <w:lang w:eastAsia="zh-CN"/>
        </w:rPr>
        <w:t>the QoS parameters, and we could see that RAN2 would need more time to discuss.</w:t>
      </w:r>
    </w:p>
    <w:p w14:paraId="7B4A8EC4" w14:textId="11C92A5A" w:rsidR="00425B9A" w:rsidRPr="00E61327" w:rsidRDefault="00934BAC" w:rsidP="00425B9A">
      <w:pPr>
        <w:rPr>
          <w:b/>
          <w:bCs/>
          <w:lang w:eastAsia="zh-CN"/>
        </w:rPr>
      </w:pPr>
      <w:r>
        <w:rPr>
          <w:b/>
          <w:bCs/>
          <w:lang w:eastAsia="zh-CN"/>
        </w:rPr>
        <w:t xml:space="preserve">Proposal </w:t>
      </w:r>
      <w:r w:rsidR="008D6FAF">
        <w:rPr>
          <w:b/>
          <w:bCs/>
          <w:lang w:eastAsia="zh-CN"/>
        </w:rPr>
        <w:t>1</w:t>
      </w:r>
      <w:r>
        <w:rPr>
          <w:b/>
          <w:bCs/>
          <w:lang w:eastAsia="zh-CN"/>
        </w:rPr>
        <w:t xml:space="preserve">: RAN3 </w:t>
      </w:r>
      <w:r w:rsidR="00A74701">
        <w:rPr>
          <w:b/>
          <w:bCs/>
          <w:lang w:eastAsia="zh-CN"/>
        </w:rPr>
        <w:t xml:space="preserve">needs </w:t>
      </w:r>
      <w:r>
        <w:rPr>
          <w:b/>
          <w:bCs/>
          <w:lang w:eastAsia="zh-CN"/>
        </w:rPr>
        <w:t>to</w:t>
      </w:r>
      <w:r w:rsidR="00E92303">
        <w:rPr>
          <w:b/>
          <w:bCs/>
          <w:lang w:eastAsia="zh-CN"/>
        </w:rPr>
        <w:t xml:space="preserve"> wait for</w:t>
      </w:r>
      <w:r w:rsidR="00A74701">
        <w:rPr>
          <w:b/>
          <w:bCs/>
          <w:lang w:eastAsia="zh-CN"/>
        </w:rPr>
        <w:t xml:space="preserve"> the</w:t>
      </w:r>
      <w:r w:rsidR="00E92303">
        <w:rPr>
          <w:b/>
          <w:bCs/>
          <w:lang w:eastAsia="zh-CN"/>
        </w:rPr>
        <w:t xml:space="preserve"> </w:t>
      </w:r>
      <w:r w:rsidR="00F62CEB">
        <w:rPr>
          <w:b/>
          <w:bCs/>
          <w:lang w:eastAsia="zh-CN"/>
        </w:rPr>
        <w:t>progress</w:t>
      </w:r>
      <w:r w:rsidR="00E92303">
        <w:rPr>
          <w:b/>
          <w:bCs/>
          <w:lang w:eastAsia="zh-CN"/>
        </w:rPr>
        <w:t xml:space="preserve"> on the Survival Time from SA2 and RAN2.</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7F079031" w14:textId="6FC1B8BE" w:rsidR="00F62CEB" w:rsidRPr="00E61327" w:rsidRDefault="00F62CEB" w:rsidP="00F62CEB">
      <w:pPr>
        <w:rPr>
          <w:b/>
          <w:bCs/>
          <w:lang w:eastAsia="zh-CN"/>
        </w:rPr>
      </w:pPr>
      <w:r>
        <w:rPr>
          <w:b/>
          <w:bCs/>
          <w:lang w:eastAsia="zh-CN"/>
        </w:rPr>
        <w:t xml:space="preserve">Proposal 1: RAN3 </w:t>
      </w:r>
      <w:r w:rsidR="00A74701">
        <w:rPr>
          <w:b/>
          <w:bCs/>
          <w:lang w:eastAsia="zh-CN"/>
        </w:rPr>
        <w:t xml:space="preserve">needs </w:t>
      </w:r>
      <w:r>
        <w:rPr>
          <w:b/>
          <w:bCs/>
          <w:lang w:eastAsia="zh-CN"/>
        </w:rPr>
        <w:t>to wait for</w:t>
      </w:r>
      <w:r w:rsidR="00A74701">
        <w:rPr>
          <w:b/>
          <w:bCs/>
          <w:lang w:eastAsia="zh-CN"/>
        </w:rPr>
        <w:t xml:space="preserve"> the</w:t>
      </w:r>
      <w:bookmarkStart w:id="2" w:name="_GoBack"/>
      <w:bookmarkEnd w:id="2"/>
      <w:r>
        <w:rPr>
          <w:b/>
          <w:bCs/>
          <w:lang w:eastAsia="zh-CN"/>
        </w:rPr>
        <w:t xml:space="preserve"> progress on the Survival Time from SA2 and RAN2.</w:t>
      </w:r>
    </w:p>
    <w:p w14:paraId="2F49737E" w14:textId="2FE0762D" w:rsidR="00BF3777" w:rsidRDefault="00BF3777" w:rsidP="00191FC3">
      <w:pPr>
        <w:rPr>
          <w:snapToGrid w:val="0"/>
        </w:rPr>
      </w:pP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5A92F27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26BE757" w14:textId="64C99626" w:rsidR="002B0F0F" w:rsidRDefault="002B0F0F" w:rsidP="00242685">
      <w:pPr>
        <w:rPr>
          <w:lang w:eastAsia="zh-CN"/>
        </w:rPr>
      </w:pPr>
      <w:r>
        <w:rPr>
          <w:lang w:eastAsia="zh-CN"/>
        </w:rPr>
        <w:t>[2]</w:t>
      </w:r>
      <w:r>
        <w:rPr>
          <w:lang w:eastAsia="zh-CN"/>
        </w:rPr>
        <w:tab/>
      </w:r>
      <w:r w:rsidR="008B7B17" w:rsidRPr="008B7B17">
        <w:rPr>
          <w:lang w:eastAsia="zh-CN"/>
        </w:rPr>
        <w:t>R3-206839</w:t>
      </w:r>
      <w:r>
        <w:rPr>
          <w:lang w:eastAsia="zh-CN"/>
        </w:rPr>
        <w:tab/>
      </w:r>
      <w:r w:rsidRPr="002B0F0F">
        <w:rPr>
          <w:lang w:eastAsia="zh-CN"/>
        </w:rPr>
        <w:t>LS on Use of Survival Time for Deterministic Applications in 5GS</w:t>
      </w:r>
      <w:r>
        <w:rPr>
          <w:lang w:eastAsia="zh-CN"/>
        </w:rPr>
        <w:t xml:space="preserve">, </w:t>
      </w:r>
      <w:r w:rsidRPr="002B0F0F">
        <w:rPr>
          <w:lang w:eastAsia="zh-CN"/>
        </w:rPr>
        <w:t>SA2</w:t>
      </w:r>
    </w:p>
    <w:p w14:paraId="2492248C" w14:textId="081D96F4" w:rsidR="00701C80" w:rsidRPr="00701C80" w:rsidRDefault="00701C80" w:rsidP="00242685">
      <w:pPr>
        <w:rPr>
          <w:snapToGrid w:val="0"/>
        </w:rPr>
      </w:pPr>
      <w:r>
        <w:rPr>
          <w:lang w:eastAsia="zh-CN"/>
        </w:rPr>
        <w:t>[3]</w:t>
      </w:r>
      <w:r>
        <w:rPr>
          <w:lang w:eastAsia="zh-CN"/>
        </w:rPr>
        <w:tab/>
      </w:r>
      <w:r w:rsidRPr="00D1592F">
        <w:rPr>
          <w:lang w:eastAsia="zh-CN"/>
        </w:rPr>
        <w:t>R3-207211</w:t>
      </w:r>
      <w:r>
        <w:rPr>
          <w:lang w:eastAsia="zh-CN"/>
        </w:rPr>
        <w:tab/>
      </w:r>
      <w:r w:rsidRPr="002D60A1">
        <w:rPr>
          <w:lang w:eastAsia="zh-CN"/>
        </w:rPr>
        <w:t>Reply LS on Use of Survival Time for Deterministic Applications in 5GS</w:t>
      </w:r>
      <w:r>
        <w:rPr>
          <w:lang w:eastAsia="zh-CN"/>
        </w:rPr>
        <w:t>, RAN3</w:t>
      </w:r>
    </w:p>
    <w:p w14:paraId="5BDFC94C" w14:textId="6D07CA91" w:rsidR="00E92303" w:rsidRDefault="00E92303" w:rsidP="00242685">
      <w:pPr>
        <w:rPr>
          <w:lang w:eastAsia="zh-CN"/>
        </w:rPr>
      </w:pPr>
      <w:r>
        <w:rPr>
          <w:lang w:eastAsia="zh-CN"/>
        </w:rPr>
        <w:t>[</w:t>
      </w:r>
      <w:r w:rsidR="00701C80">
        <w:rPr>
          <w:lang w:eastAsia="zh-CN"/>
        </w:rPr>
        <w:t>4</w:t>
      </w:r>
      <w:r>
        <w:rPr>
          <w:lang w:eastAsia="zh-CN"/>
        </w:rPr>
        <w:t>]</w:t>
      </w:r>
      <w:r>
        <w:rPr>
          <w:lang w:eastAsia="zh-CN"/>
        </w:rPr>
        <w:tab/>
      </w:r>
      <w:r w:rsidRPr="00E92303">
        <w:rPr>
          <w:lang w:eastAsia="zh-CN"/>
        </w:rPr>
        <w:t xml:space="preserve">R2-2010838 </w:t>
      </w:r>
      <w:r>
        <w:rPr>
          <w:lang w:eastAsia="zh-CN"/>
        </w:rPr>
        <w:tab/>
      </w:r>
      <w:r w:rsidRPr="00E92303">
        <w:rPr>
          <w:lang w:eastAsia="zh-CN"/>
        </w:rPr>
        <w:t>Reply LS on Use of Survival Time for Deterministic Applications in 5GS</w:t>
      </w:r>
      <w:r w:rsidR="002D60A1">
        <w:rPr>
          <w:lang w:eastAsia="zh-CN"/>
        </w:rPr>
        <w:t>, RAN2</w:t>
      </w:r>
    </w:p>
    <w:p w14:paraId="00AD711B" w14:textId="77777777" w:rsidR="00845B50" w:rsidRPr="00242685" w:rsidRDefault="00845B50" w:rsidP="00242685">
      <w:pPr>
        <w:rPr>
          <w:snapToGrid w:val="0"/>
        </w:rPr>
      </w:pPr>
    </w:p>
    <w:sectPr w:rsidR="00845B50"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80ACB" w14:textId="77777777" w:rsidR="002C027D" w:rsidRDefault="002C027D">
      <w:pPr>
        <w:spacing w:after="0"/>
      </w:pPr>
      <w:r>
        <w:separator/>
      </w:r>
    </w:p>
  </w:endnote>
  <w:endnote w:type="continuationSeparator" w:id="0">
    <w:p w14:paraId="0596C2F4" w14:textId="77777777" w:rsidR="002C027D" w:rsidRDefault="002C0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B90EB" w14:textId="77777777" w:rsidR="002C027D" w:rsidRDefault="002C027D">
      <w:pPr>
        <w:spacing w:after="0"/>
      </w:pPr>
      <w:r>
        <w:separator/>
      </w:r>
    </w:p>
  </w:footnote>
  <w:footnote w:type="continuationSeparator" w:id="0">
    <w:p w14:paraId="5E0DFE03" w14:textId="77777777" w:rsidR="002C027D" w:rsidRDefault="002C0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3"/>
  </w:num>
  <w:num w:numId="3">
    <w:abstractNumId w:val="19"/>
  </w:num>
  <w:num w:numId="4">
    <w:abstractNumId w:val="7"/>
  </w:num>
  <w:num w:numId="5">
    <w:abstractNumId w:val="4"/>
  </w:num>
  <w:num w:numId="6">
    <w:abstractNumId w:val="29"/>
  </w:num>
  <w:num w:numId="7">
    <w:abstractNumId w:val="5"/>
  </w:num>
  <w:num w:numId="8">
    <w:abstractNumId w:val="16"/>
  </w:num>
  <w:num w:numId="9">
    <w:abstractNumId w:val="14"/>
  </w:num>
  <w:num w:numId="10">
    <w:abstractNumId w:val="28"/>
  </w:num>
  <w:num w:numId="11">
    <w:abstractNumId w:val="21"/>
  </w:num>
  <w:num w:numId="12">
    <w:abstractNumId w:val="0"/>
  </w:num>
  <w:num w:numId="13">
    <w:abstractNumId w:val="30"/>
  </w:num>
  <w:num w:numId="14">
    <w:abstractNumId w:val="41"/>
  </w:num>
  <w:num w:numId="15">
    <w:abstractNumId w:val="36"/>
  </w:num>
  <w:num w:numId="16">
    <w:abstractNumId w:val="25"/>
  </w:num>
  <w:num w:numId="17">
    <w:abstractNumId w:val="6"/>
  </w:num>
  <w:num w:numId="18">
    <w:abstractNumId w:val="8"/>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39"/>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4C"/>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0745B"/>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1FC3"/>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254C"/>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0F0F"/>
    <w:rsid w:val="002B79A6"/>
    <w:rsid w:val="002C027D"/>
    <w:rsid w:val="002C4CD3"/>
    <w:rsid w:val="002C722B"/>
    <w:rsid w:val="002C7721"/>
    <w:rsid w:val="002D0506"/>
    <w:rsid w:val="002D1332"/>
    <w:rsid w:val="002D1FBB"/>
    <w:rsid w:val="002D2189"/>
    <w:rsid w:val="002D3106"/>
    <w:rsid w:val="002D5C17"/>
    <w:rsid w:val="002D60A1"/>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0B5E"/>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076"/>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255F"/>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678E2"/>
    <w:rsid w:val="00670633"/>
    <w:rsid w:val="00670696"/>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C80"/>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A63F3"/>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B50"/>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B7B17"/>
    <w:rsid w:val="008C1EE7"/>
    <w:rsid w:val="008C3488"/>
    <w:rsid w:val="008C3F15"/>
    <w:rsid w:val="008C49E9"/>
    <w:rsid w:val="008C5330"/>
    <w:rsid w:val="008C5F57"/>
    <w:rsid w:val="008D2023"/>
    <w:rsid w:val="008D3FFE"/>
    <w:rsid w:val="008D47CC"/>
    <w:rsid w:val="008D4A93"/>
    <w:rsid w:val="008D4FCC"/>
    <w:rsid w:val="008D650D"/>
    <w:rsid w:val="008D6FAF"/>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3E06"/>
    <w:rsid w:val="00A25CBD"/>
    <w:rsid w:val="00A276BB"/>
    <w:rsid w:val="00A27733"/>
    <w:rsid w:val="00A27984"/>
    <w:rsid w:val="00A30AEF"/>
    <w:rsid w:val="00A311D5"/>
    <w:rsid w:val="00A31D5B"/>
    <w:rsid w:val="00A31F9F"/>
    <w:rsid w:val="00A33459"/>
    <w:rsid w:val="00A339D0"/>
    <w:rsid w:val="00A33BB9"/>
    <w:rsid w:val="00A34621"/>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701"/>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E7026"/>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30EDE"/>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92F"/>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29D4"/>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CEB"/>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A95C261F-3781-46A2-801D-EC0126626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757</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2021-01-15T06:40:00Z</dcterms:created>
  <dcterms:modified xsi:type="dcterms:W3CDTF">2021-01-15T06:41:00Z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