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50B22" w14:textId="660F8DAC" w:rsidR="00E90E49" w:rsidRPr="00CE0424" w:rsidRDefault="00E90E49" w:rsidP="00E35559">
      <w:pPr>
        <w:pStyle w:val="3GPPHeader"/>
        <w:spacing w:after="60"/>
        <w:rPr>
          <w:sz w:val="32"/>
          <w:szCs w:val="32"/>
          <w:highlight w:val="yellow"/>
        </w:rPr>
      </w:pPr>
      <w:r w:rsidRPr="00CE0424">
        <w:t>3GPP TSG-RAN WG</w:t>
      </w:r>
      <w:r w:rsidR="00D5675D">
        <w:t>3</w:t>
      </w:r>
      <w:r w:rsidRPr="00CE0424">
        <w:t xml:space="preserve"> #</w:t>
      </w:r>
      <w:r w:rsidR="00F20F5C">
        <w:t>1</w:t>
      </w:r>
      <w:r w:rsidR="00C268E6">
        <w:t>1</w:t>
      </w:r>
      <w:r w:rsidR="00541EC0">
        <w:t>1</w:t>
      </w:r>
      <w:r w:rsidR="00D12DFA">
        <w:t>-</w:t>
      </w:r>
      <w:r w:rsidR="00F20F5C">
        <w:t>e</w:t>
      </w:r>
      <w:r w:rsidRPr="00CE0424">
        <w:tab/>
      </w:r>
      <w:r w:rsidR="008748CF" w:rsidRPr="008748CF">
        <w:rPr>
          <w:sz w:val="32"/>
          <w:szCs w:val="32"/>
        </w:rPr>
        <w:t>R</w:t>
      </w:r>
      <w:r w:rsidR="00541EC0">
        <w:rPr>
          <w:sz w:val="32"/>
          <w:szCs w:val="32"/>
        </w:rPr>
        <w:t>3</w:t>
      </w:r>
      <w:r w:rsidR="008748CF" w:rsidRPr="008748CF">
        <w:rPr>
          <w:sz w:val="32"/>
          <w:szCs w:val="32"/>
        </w:rPr>
        <w:t>-21</w:t>
      </w:r>
      <w:r w:rsidR="00D12DFA">
        <w:rPr>
          <w:sz w:val="32"/>
          <w:szCs w:val="32"/>
        </w:rPr>
        <w:t>0637</w:t>
      </w:r>
    </w:p>
    <w:p w14:paraId="26490652" w14:textId="271197DE" w:rsidR="00E90E49" w:rsidRPr="00CE0424" w:rsidRDefault="00541EC0" w:rsidP="00311702">
      <w:pPr>
        <w:pStyle w:val="3GPPHeader"/>
      </w:pPr>
      <w:r>
        <w:t xml:space="preserve">Online, </w:t>
      </w:r>
      <w:r w:rsidR="007609F7">
        <w:t>25</w:t>
      </w:r>
      <w:r w:rsidR="007609F7" w:rsidRPr="00946451">
        <w:rPr>
          <w:vertAlign w:val="superscript"/>
        </w:rPr>
        <w:t>th</w:t>
      </w:r>
      <w:r w:rsidR="007609F7">
        <w:t xml:space="preserve"> Jan – 5</w:t>
      </w:r>
      <w:r w:rsidR="007609F7" w:rsidRPr="00946451">
        <w:rPr>
          <w:vertAlign w:val="superscript"/>
        </w:rPr>
        <w:t>th</w:t>
      </w:r>
      <w:r w:rsidR="007609F7">
        <w:t xml:space="preserve"> </w:t>
      </w:r>
      <w:proofErr w:type="gramStart"/>
      <w:r w:rsidR="007609F7">
        <w:t>Feb,</w:t>
      </w:r>
      <w:proofErr w:type="gramEnd"/>
      <w:r w:rsidR="007609F7">
        <w:t xml:space="preserve"> 2021</w:t>
      </w:r>
    </w:p>
    <w:p w14:paraId="516494EB" w14:textId="77777777" w:rsidR="00902A3A" w:rsidRDefault="00902A3A" w:rsidP="00311702">
      <w:pPr>
        <w:pStyle w:val="3GPPHeader"/>
      </w:pPr>
    </w:p>
    <w:p w14:paraId="214ABE84" w14:textId="1E21F9CD"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506DEB">
        <w:rPr>
          <w:sz w:val="22"/>
          <w:szCs w:val="22"/>
          <w:lang w:val="en-US"/>
        </w:rPr>
        <w:t>16</w:t>
      </w:r>
      <w:r w:rsidR="00311702" w:rsidRPr="00506DEB">
        <w:rPr>
          <w:sz w:val="22"/>
          <w:szCs w:val="22"/>
          <w:lang w:val="en-US"/>
        </w:rPr>
        <w:t>.</w:t>
      </w:r>
      <w:r w:rsidR="00E46394" w:rsidRPr="00506DEB">
        <w:rPr>
          <w:sz w:val="22"/>
          <w:szCs w:val="22"/>
          <w:lang w:val="en-US"/>
        </w:rPr>
        <w:t>2</w:t>
      </w:r>
      <w:r w:rsidR="00541EC0">
        <w:rPr>
          <w:sz w:val="22"/>
          <w:szCs w:val="22"/>
          <w:lang w:val="en-US"/>
        </w:rPr>
        <w:t>.2</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BBDD546"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1423077"/>
      <w:r w:rsidR="00081212">
        <w:rPr>
          <w:sz w:val="22"/>
          <w:szCs w:val="22"/>
        </w:rPr>
        <w:t xml:space="preserve">SNPN </w:t>
      </w:r>
      <w:r w:rsidR="00057E5F">
        <w:rPr>
          <w:sz w:val="22"/>
          <w:szCs w:val="22"/>
        </w:rPr>
        <w:t xml:space="preserve">and </w:t>
      </w:r>
      <w:r w:rsidR="001A1CC0">
        <w:rPr>
          <w:sz w:val="22"/>
          <w:szCs w:val="22"/>
        </w:rPr>
        <w:t>Service Provider (SP)</w:t>
      </w:r>
      <w:r w:rsidR="00057E5F">
        <w:rPr>
          <w:sz w:val="22"/>
          <w:szCs w:val="22"/>
        </w:rPr>
        <w:t xml:space="preserve"> separation</w:t>
      </w:r>
      <w:bookmarkEnd w:id="0"/>
    </w:p>
    <w:p w14:paraId="5BACC70C" w14:textId="5456C431" w:rsidR="00D0651C" w:rsidRDefault="00E90E49" w:rsidP="00D0651C">
      <w:pPr>
        <w:pStyle w:val="3GPPHeader"/>
        <w:rPr>
          <w:sz w:val="22"/>
          <w:szCs w:val="22"/>
        </w:rP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CE0424">
      <w:pPr>
        <w:pStyle w:val="Heading1"/>
      </w:pPr>
      <w:r>
        <w:t>1</w:t>
      </w:r>
      <w:r>
        <w:tab/>
      </w:r>
      <w:r w:rsidR="00E90E49" w:rsidRPr="00CE0424">
        <w:t>Introduction</w:t>
      </w:r>
    </w:p>
    <w:p w14:paraId="34DE1216" w14:textId="25F5BFC5" w:rsidR="003156E5" w:rsidRDefault="009C68E1" w:rsidP="003156E5">
      <w:pPr>
        <w:pStyle w:val="BodyText"/>
      </w:pPr>
      <w:bookmarkStart w:id="1" w:name="_Ref178064866"/>
      <w:r>
        <w:t xml:space="preserve">The </w:t>
      </w:r>
      <w:r w:rsidR="00633517">
        <w:t xml:space="preserve">Rel-16 Private Network (PRN) work item (WI) [1] gives </w:t>
      </w:r>
      <w:r w:rsidR="00813F3F">
        <w:t xml:space="preserve">basic functionality support for </w:t>
      </w:r>
      <w:r w:rsidR="00AF697A">
        <w:t>N</w:t>
      </w:r>
      <w:r w:rsidR="00813F3F">
        <w:t>on-</w:t>
      </w:r>
      <w:r w:rsidR="00AF697A">
        <w:t>P</w:t>
      </w:r>
      <w:r w:rsidR="00813F3F">
        <w:t xml:space="preserve">ublic </w:t>
      </w:r>
      <w:r w:rsidR="00AF697A">
        <w:t>N</w:t>
      </w:r>
      <w:r w:rsidR="00813F3F">
        <w:t xml:space="preserve">etworks (NPNs). </w:t>
      </w:r>
      <w:r w:rsidR="00390DD3">
        <w:t xml:space="preserve">In this regard, </w:t>
      </w:r>
      <w:r w:rsidR="00813F3F">
        <w:t>SA2 started a Study Item (SI), to enhance NPN</w:t>
      </w:r>
      <w:r w:rsidR="00FA6364">
        <w:t xml:space="preserve"> resulting in TR 23.700-07</w:t>
      </w:r>
      <w:r w:rsidR="00813F3F">
        <w:t xml:space="preserve"> [2]. As the SA2 </w:t>
      </w:r>
      <w:proofErr w:type="spellStart"/>
      <w:r w:rsidR="00813F3F">
        <w:t>eNPN</w:t>
      </w:r>
      <w:proofErr w:type="spellEnd"/>
      <w:r w:rsidR="00813F3F">
        <w:t xml:space="preserve"> work causes impact on RAN, the Rel-17 </w:t>
      </w:r>
      <w:proofErr w:type="spellStart"/>
      <w:r w:rsidR="00813F3F">
        <w:t>ePRN</w:t>
      </w:r>
      <w:proofErr w:type="spellEnd"/>
      <w:r w:rsidR="00813F3F">
        <w:t xml:space="preserve"> WID, </w:t>
      </w:r>
      <w:hyperlink r:id="rId11" w:history="1">
        <w:r w:rsidR="00D30931" w:rsidRPr="00C852EA">
          <w:rPr>
            <w:rStyle w:val="Hyperlink"/>
          </w:rPr>
          <w:t>RP-202363</w:t>
        </w:r>
      </w:hyperlink>
      <w:r w:rsidR="00813F3F">
        <w:t xml:space="preserve"> [3], was approved at RAN#90e in Dec</w:t>
      </w:r>
      <w:r w:rsidR="003846C3">
        <w:t>ember</w:t>
      </w:r>
      <w:r w:rsidR="00813F3F">
        <w:t xml:space="preserve"> 2020</w:t>
      </w:r>
      <w:r w:rsidR="00426707" w:rsidRPr="00426707">
        <w:t xml:space="preserve"> </w:t>
      </w:r>
      <w:r w:rsidR="00426707">
        <w:t xml:space="preserve">addressing three different objectives. </w:t>
      </w:r>
      <w:r w:rsidR="00813F3F">
        <w:t xml:space="preserve"> </w:t>
      </w:r>
    </w:p>
    <w:p w14:paraId="0893CBE7" w14:textId="57030CD2" w:rsidR="003156E5" w:rsidRPr="00500B73" w:rsidRDefault="003156E5" w:rsidP="003156E5">
      <w:pPr>
        <w:pStyle w:val="BodyText"/>
      </w:pPr>
      <w:r>
        <w:rPr>
          <w:noProof/>
        </w:rPr>
        <mc:AlternateContent>
          <mc:Choice Requires="wps">
            <w:drawing>
              <wp:anchor distT="45720" distB="45720" distL="114300" distR="114300" simplePos="0" relativeHeight="251658240" behindDoc="0" locked="0" layoutInCell="1" allowOverlap="1" wp14:anchorId="733B06CA" wp14:editId="6AC4F5AB">
                <wp:simplePos x="0" y="0"/>
                <wp:positionH relativeFrom="margin">
                  <wp:posOffset>26670</wp:posOffset>
                </wp:positionH>
                <wp:positionV relativeFrom="paragraph">
                  <wp:posOffset>207010</wp:posOffset>
                </wp:positionV>
                <wp:extent cx="6101715" cy="1264920"/>
                <wp:effectExtent l="0" t="0" r="1333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264920"/>
                        </a:xfrm>
                        <a:prstGeom prst="rect">
                          <a:avLst/>
                        </a:prstGeom>
                        <a:solidFill>
                          <a:srgbClr val="FFFFFF"/>
                        </a:solidFill>
                        <a:ln w="9525">
                          <a:solidFill>
                            <a:srgbClr val="000000"/>
                          </a:solidFill>
                          <a:miter lim="800000"/>
                          <a:headEnd/>
                          <a:tailEnd/>
                        </a:ln>
                      </wps:spPr>
                      <wps:txbx>
                        <w:txbxContent>
                          <w:p w14:paraId="19DE85EA" w14:textId="77777777" w:rsidR="00464CE2" w:rsidRDefault="00464CE2" w:rsidP="003156E5">
                            <w:pPr>
                              <w:numPr>
                                <w:ilvl w:val="0"/>
                                <w:numId w:val="23"/>
                              </w:numPr>
                              <w:overflowPunct/>
                              <w:autoSpaceDE/>
                              <w:autoSpaceDN/>
                              <w:adjustRightInd/>
                              <w:spacing w:after="160" w:line="256" w:lineRule="auto"/>
                              <w:ind w:right="-99"/>
                              <w:textAlignment w:val="auto"/>
                              <w:rPr>
                                <w:lang w:eastAsia="zh-CN"/>
                              </w:rPr>
                            </w:pPr>
                            <w:r>
                              <w:rPr>
                                <w:lang w:eastAsia="zh-CN"/>
                              </w:rPr>
                              <w:t>Support SNPN along with subscription / credentials owned by an entity separate from the SNPN including:</w:t>
                            </w:r>
                          </w:p>
                          <w:p w14:paraId="08C431F6" w14:textId="77777777"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eastAsia="zh-CN"/>
                              </w:rPr>
                              <w:t>The broadcasting of information to enable SNPN selection for UEs with subscription/credentials owned by an entity separate from the SNPN [RAN2]</w:t>
                            </w:r>
                          </w:p>
                          <w:p w14:paraId="3DBF7C71" w14:textId="4114316B"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eastAsia="zh-CN"/>
                              </w:rPr>
                              <w:t>The associated cell selection/reselection and connected mode mobility support</w:t>
                            </w:r>
                            <w:r>
                              <w:rPr>
                                <w:color w:val="FF0000"/>
                                <w:lang w:eastAsia="zh-CN"/>
                              </w:rPr>
                              <w:t xml:space="preserve"> </w:t>
                            </w:r>
                            <w:r>
                              <w:rPr>
                                <w:lang w:eastAsia="zh-CN"/>
                              </w:rPr>
                              <w:t>[RAN2/RAN3]</w:t>
                            </w:r>
                          </w:p>
                          <w:p w14:paraId="3EB8BA6D" w14:textId="0A3E3D04"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val="en-US" w:eastAsia="zh-CN"/>
                              </w:rPr>
                              <w:t>T</w:t>
                            </w:r>
                            <w:r>
                              <w:rPr>
                                <w:rFonts w:hint="eastAsia"/>
                                <w:lang w:val="en-US" w:eastAsia="zh-CN"/>
                              </w:rPr>
                              <w:t>he</w:t>
                            </w:r>
                            <w:r>
                              <w:rPr>
                                <w:lang w:val="en-US" w:eastAsia="zh-CN"/>
                              </w:rPr>
                              <w:t xml:space="preserve"> </w:t>
                            </w:r>
                            <w:r w:rsidRPr="002D24A8">
                              <w:rPr>
                                <w:lang w:val="en-US" w:eastAsia="zh-CN"/>
                              </w:rPr>
                              <w:t xml:space="preserve">necessary modifications </w:t>
                            </w:r>
                            <w:r>
                              <w:rPr>
                                <w:lang w:val="en-US" w:eastAsia="zh-CN"/>
                              </w:rPr>
                              <w:t>over network</w:t>
                            </w:r>
                            <w:r w:rsidRPr="002D24A8">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D24A8">
                              <w:rPr>
                                <w:lang w:val="en-US" w:eastAsia="zh-CN"/>
                              </w:rPr>
                              <w:t xml:space="preserve"> [RAN3]</w:t>
                            </w:r>
                          </w:p>
                          <w:p w14:paraId="4DFEBFE2" w14:textId="77777777" w:rsidR="00464CE2" w:rsidRDefault="00464CE2" w:rsidP="00541EC0">
                            <w:pPr>
                              <w:numPr>
                                <w:ilvl w:val="0"/>
                                <w:numId w:val="23"/>
                              </w:numPr>
                              <w:overflowPunct/>
                              <w:autoSpaceDE/>
                              <w:autoSpaceDN/>
                              <w:adjustRightInd/>
                              <w:spacing w:after="160" w:line="256" w:lineRule="auto"/>
                              <w:ind w:right="-99"/>
                              <w:textAlignment w:val="auto"/>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B06CA" id="_x0000_t202" coordsize="21600,21600" o:spt="202" path="m,l,21600r21600,l21600,xe">
                <v:stroke joinstyle="miter"/>
                <v:path gradientshapeok="t" o:connecttype="rect"/>
              </v:shapetype>
              <v:shape id="_x0000_s1026" type="#_x0000_t202" style="position:absolute;left:0;text-align:left;margin-left:2.1pt;margin-top:16.3pt;width:480.45pt;height:99.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nqJQ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">
                <v:textbox>
                  <w:txbxContent>
                    <w:p w14:paraId="19DE85EA" w14:textId="77777777" w:rsidR="00464CE2" w:rsidRDefault="00464CE2" w:rsidP="003156E5">
                      <w:pPr>
                        <w:numPr>
                          <w:ilvl w:val="0"/>
                          <w:numId w:val="23"/>
                        </w:numPr>
                        <w:overflowPunct/>
                        <w:autoSpaceDE/>
                        <w:autoSpaceDN/>
                        <w:adjustRightInd/>
                        <w:spacing w:after="160" w:line="256" w:lineRule="auto"/>
                        <w:ind w:right="-99"/>
                        <w:textAlignment w:val="auto"/>
                        <w:rPr>
                          <w:lang w:eastAsia="zh-CN"/>
                        </w:rPr>
                      </w:pPr>
                      <w:r>
                        <w:rPr>
                          <w:lang w:eastAsia="zh-CN"/>
                        </w:rPr>
                        <w:t>Support SNPN along with subscription / credentials owned by an entity separate from the SNPN including:</w:t>
                      </w:r>
                    </w:p>
                    <w:p w14:paraId="08C431F6" w14:textId="77777777"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eastAsia="zh-CN"/>
                        </w:rPr>
                        <w:t>The broadcasting of information to enable SNPN selection for UEs with subscription/credentials owned by an entity separate from the SNPN [RAN2]</w:t>
                      </w:r>
                    </w:p>
                    <w:p w14:paraId="3DBF7C71" w14:textId="4114316B"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eastAsia="zh-CN"/>
                        </w:rPr>
                        <w:t>The associated cell selection/reselection and connected mode mobility support</w:t>
                      </w:r>
                      <w:r>
                        <w:rPr>
                          <w:color w:val="FF0000"/>
                          <w:lang w:eastAsia="zh-CN"/>
                        </w:rPr>
                        <w:t xml:space="preserve"> </w:t>
                      </w:r>
                      <w:r>
                        <w:rPr>
                          <w:lang w:eastAsia="zh-CN"/>
                        </w:rPr>
                        <w:t>[RAN2/RAN3]</w:t>
                      </w:r>
                    </w:p>
                    <w:p w14:paraId="3EB8BA6D" w14:textId="0A3E3D04" w:rsidR="00464CE2" w:rsidRDefault="00464CE2" w:rsidP="003156E5">
                      <w:pPr>
                        <w:numPr>
                          <w:ilvl w:val="1"/>
                          <w:numId w:val="23"/>
                        </w:numPr>
                        <w:overflowPunct/>
                        <w:autoSpaceDE/>
                        <w:autoSpaceDN/>
                        <w:adjustRightInd/>
                        <w:spacing w:after="160" w:line="256" w:lineRule="auto"/>
                        <w:ind w:right="-99"/>
                        <w:textAlignment w:val="auto"/>
                        <w:rPr>
                          <w:lang w:eastAsia="zh-CN"/>
                        </w:rPr>
                      </w:pPr>
                      <w:r>
                        <w:rPr>
                          <w:lang w:val="en-US" w:eastAsia="zh-CN"/>
                        </w:rPr>
                        <w:t>T</w:t>
                      </w:r>
                      <w:r>
                        <w:rPr>
                          <w:rFonts w:hint="eastAsia"/>
                          <w:lang w:val="en-US" w:eastAsia="zh-CN"/>
                        </w:rPr>
                        <w:t>he</w:t>
                      </w:r>
                      <w:r>
                        <w:rPr>
                          <w:lang w:val="en-US" w:eastAsia="zh-CN"/>
                        </w:rPr>
                        <w:t xml:space="preserve"> </w:t>
                      </w:r>
                      <w:r w:rsidRPr="002D24A8">
                        <w:rPr>
                          <w:lang w:val="en-US" w:eastAsia="zh-CN"/>
                        </w:rPr>
                        <w:t xml:space="preserve">necessary modifications </w:t>
                      </w:r>
                      <w:r>
                        <w:rPr>
                          <w:lang w:val="en-US" w:eastAsia="zh-CN"/>
                        </w:rPr>
                        <w:t>over network</w:t>
                      </w:r>
                      <w:r w:rsidRPr="002D24A8">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D24A8">
                        <w:rPr>
                          <w:lang w:val="en-US" w:eastAsia="zh-CN"/>
                        </w:rPr>
                        <w:t xml:space="preserve"> [RAN3]</w:t>
                      </w:r>
                    </w:p>
                    <w:p w14:paraId="4DFEBFE2" w14:textId="77777777" w:rsidR="00464CE2" w:rsidRDefault="00464CE2" w:rsidP="00541EC0">
                      <w:pPr>
                        <w:numPr>
                          <w:ilvl w:val="0"/>
                          <w:numId w:val="23"/>
                        </w:numPr>
                        <w:overflowPunct/>
                        <w:autoSpaceDE/>
                        <w:autoSpaceDN/>
                        <w:adjustRightInd/>
                        <w:spacing w:after="160" w:line="256" w:lineRule="auto"/>
                        <w:ind w:right="-99"/>
                        <w:textAlignment w:val="auto"/>
                        <w:rPr>
                          <w:lang w:eastAsia="zh-CN"/>
                        </w:rPr>
                      </w:pPr>
                    </w:p>
                  </w:txbxContent>
                </v:textbox>
                <w10:wrap type="topAndBottom" anchorx="margin"/>
              </v:shape>
            </w:pict>
          </mc:Fallback>
        </mc:AlternateContent>
      </w:r>
      <w:r>
        <w:t>In this paper, we focus on the following objective as copied from the WID</w:t>
      </w:r>
      <w:r>
        <w:rPr>
          <w:rStyle w:val="CommentReference"/>
          <w:rFonts w:ascii="Times New Roman" w:hAnsi="Times New Roman"/>
          <w:lang w:eastAsia="ja-JP"/>
        </w:rPr>
        <w:annotationRef/>
      </w:r>
      <w:r>
        <w:t>:</w:t>
      </w:r>
    </w:p>
    <w:p w14:paraId="3C25E641" w14:textId="0824C57E" w:rsidR="00426707" w:rsidRDefault="00426707" w:rsidP="001568D1">
      <w:pPr>
        <w:pStyle w:val="BodyText"/>
      </w:pPr>
    </w:p>
    <w:p w14:paraId="563EBB50" w14:textId="2B36E3D9" w:rsidR="003156E5" w:rsidRPr="00204174" w:rsidRDefault="003156E5" w:rsidP="00252843">
      <w:pPr>
        <w:pStyle w:val="BodyText"/>
      </w:pPr>
      <w:r>
        <w:rPr>
          <w:noProof/>
        </w:rPr>
        <mc:AlternateContent>
          <mc:Choice Requires="wps">
            <w:drawing>
              <wp:anchor distT="45720" distB="45720" distL="114300" distR="114300" simplePos="0" relativeHeight="251658241" behindDoc="0" locked="0" layoutInCell="1" allowOverlap="1" wp14:anchorId="71E76EB6" wp14:editId="0706D987">
                <wp:simplePos x="0" y="0"/>
                <wp:positionH relativeFrom="margin">
                  <wp:align>right</wp:align>
                </wp:positionH>
                <wp:positionV relativeFrom="paragraph">
                  <wp:posOffset>242277</wp:posOffset>
                </wp:positionV>
                <wp:extent cx="6101715" cy="468630"/>
                <wp:effectExtent l="0" t="0" r="1333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468923"/>
                        </a:xfrm>
                        <a:prstGeom prst="rect">
                          <a:avLst/>
                        </a:prstGeom>
                        <a:solidFill>
                          <a:srgbClr val="FFFFFF"/>
                        </a:solidFill>
                        <a:ln w="9525">
                          <a:solidFill>
                            <a:srgbClr val="000000"/>
                          </a:solidFill>
                          <a:miter lim="800000"/>
                          <a:headEnd/>
                          <a:tailEnd/>
                        </a:ln>
                      </wps:spPr>
                      <wps:txbx>
                        <w:txbxContent>
                          <w:p w14:paraId="40933D5E" w14:textId="79C68112" w:rsidR="00464CE2" w:rsidRDefault="00464CE2" w:rsidP="003156E5">
                            <w:pPr>
                              <w:pStyle w:val="B1"/>
                              <w:rPr>
                                <w:lang w:eastAsia="ja-JP"/>
                              </w:rPr>
                            </w:pPr>
                            <w:r>
                              <w:t>-</w:t>
                            </w:r>
                            <w:r>
                              <w:tab/>
                              <w:t>How to identify the separate entity providing the subscription;</w:t>
                            </w:r>
                          </w:p>
                          <w:p w14:paraId="6BA617B6" w14:textId="77777777" w:rsidR="00464CE2" w:rsidRDefault="00464CE2" w:rsidP="003156E5">
                            <w:pPr>
                              <w:pStyle w:val="B1"/>
                            </w:pPr>
                            <w:r>
                              <w:t>-</w:t>
                            </w:r>
                            <w:r>
                              <w:tab/>
                              <w:t>Network selection enhancements, including UEs with multiple subscriptions;</w:t>
                            </w:r>
                          </w:p>
                          <w:p w14:paraId="2FEE9E54" w14:textId="2E687E6A" w:rsidR="00464CE2" w:rsidRPr="00D82E14" w:rsidRDefault="00464CE2" w:rsidP="00D82E14">
                            <w:pPr>
                              <w:pStyle w:val="B1"/>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76EB6" id="_x0000_s1027" type="#_x0000_t202" style="position:absolute;left:0;text-align:left;margin-left:429.25pt;margin-top:19.1pt;width:480.45pt;height:36.9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">
                <v:textbox>
                  <w:txbxContent>
                    <w:p w14:paraId="40933D5E" w14:textId="79C68112" w:rsidR="00464CE2" w:rsidRDefault="00464CE2" w:rsidP="003156E5">
                      <w:pPr>
                        <w:pStyle w:val="B1"/>
                        <w:rPr>
                          <w:lang w:eastAsia="ja-JP"/>
                        </w:rPr>
                      </w:pPr>
                      <w:r>
                        <w:t>-</w:t>
                      </w:r>
                      <w:r>
                        <w:tab/>
                        <w:t>How to identify the separate entity providing the subscription;</w:t>
                      </w:r>
                    </w:p>
                    <w:p w14:paraId="6BA617B6" w14:textId="77777777" w:rsidR="00464CE2" w:rsidRDefault="00464CE2" w:rsidP="003156E5">
                      <w:pPr>
                        <w:pStyle w:val="B1"/>
                      </w:pPr>
                      <w:r>
                        <w:t>-</w:t>
                      </w:r>
                      <w:r>
                        <w:tab/>
                        <w:t>Network selection enhancements, including UEs with multiple subscriptions;</w:t>
                      </w:r>
                    </w:p>
                    <w:p w14:paraId="2FEE9E54" w14:textId="2E687E6A" w:rsidR="00464CE2" w:rsidRPr="00D82E14" w:rsidRDefault="00464CE2" w:rsidP="00D82E14">
                      <w:pPr>
                        <w:pStyle w:val="B1"/>
                        <w:rPr>
                          <w:lang w:val="en-US"/>
                        </w:rPr>
                      </w:pPr>
                    </w:p>
                  </w:txbxContent>
                </v:textbox>
                <w10:wrap type="topAndBottom" anchorx="margin"/>
              </v:shape>
            </w:pict>
          </mc:Fallback>
        </mc:AlternateContent>
      </w:r>
      <w:r w:rsidR="00252843">
        <w:t xml:space="preserve">The following aspects from TR 23.700-07 </w:t>
      </w:r>
      <w:r w:rsidR="00252843">
        <w:fldChar w:fldCharType="begin"/>
      </w:r>
      <w:r w:rsidR="00252843">
        <w:instrText xml:space="preserve"> REF _Ref59200586 \r \h </w:instrText>
      </w:r>
      <w:r w:rsidR="00252843">
        <w:fldChar w:fldCharType="separate"/>
      </w:r>
      <w:r w:rsidR="00252843">
        <w:t>[2]</w:t>
      </w:r>
      <w:r w:rsidR="00252843">
        <w:fldChar w:fldCharType="end"/>
      </w:r>
      <w:r w:rsidR="00252843">
        <w:t xml:space="preserve"> are addressed by the above objective:</w:t>
      </w:r>
    </w:p>
    <w:p w14:paraId="5BA4ABD1" w14:textId="48214ABD" w:rsidR="004000E8" w:rsidRDefault="00230D18" w:rsidP="00CE0424">
      <w:pPr>
        <w:pStyle w:val="Heading1"/>
      </w:pPr>
      <w:r>
        <w:t>2</w:t>
      </w:r>
      <w:r>
        <w:tab/>
      </w:r>
      <w:r w:rsidR="004000E8" w:rsidRPr="00CE0424">
        <w:t>Discussion</w:t>
      </w:r>
      <w:bookmarkEnd w:id="1"/>
    </w:p>
    <w:p w14:paraId="4BA54F92" w14:textId="7B7F5C51" w:rsidR="00252843" w:rsidRPr="00252843" w:rsidRDefault="00252843" w:rsidP="00252843">
      <w:pPr>
        <w:pStyle w:val="Heading2"/>
      </w:pPr>
      <w:r>
        <w:t>2.1</w:t>
      </w:r>
      <w:r>
        <w:tab/>
        <w:t>Use case description</w:t>
      </w:r>
    </w:p>
    <w:p w14:paraId="4B169727" w14:textId="662D3493" w:rsidR="00771A51" w:rsidRPr="00055E59" w:rsidRDefault="00CB2D03" w:rsidP="00D004C7">
      <w:pPr>
        <w:pStyle w:val="BodyText"/>
      </w:pPr>
      <w:r>
        <w:rPr>
          <w:lang w:val="en-US"/>
        </w:rPr>
        <w:t>W</w:t>
      </w:r>
      <w:r w:rsidR="00AF4966" w:rsidRPr="00A97959">
        <w:rPr>
          <w:lang w:val="en-US"/>
        </w:rPr>
        <w:t>ireless connectivity for industry, large residential buildings, campuses, malls, and merged SNPNs</w:t>
      </w:r>
      <w:r w:rsidR="00AF4966">
        <w:t xml:space="preserve"> </w:t>
      </w:r>
      <w:r>
        <w:t xml:space="preserve">are described </w:t>
      </w:r>
      <w:r w:rsidR="00AF4966">
        <w:t xml:space="preserve">as the main use cases </w:t>
      </w:r>
      <w:r w:rsidR="0006653D">
        <w:t xml:space="preserve">(see TR 23.700-07 [2]) </w:t>
      </w:r>
      <w:r w:rsidR="00AF4966">
        <w:t>requiring the support of “</w:t>
      </w:r>
      <w:r w:rsidR="00AF4966" w:rsidRPr="00A97959">
        <w:rPr>
          <w:lang w:val="en-US"/>
        </w:rPr>
        <w:t>credentials owned by an entity separate from the SNPN</w:t>
      </w:r>
      <w:r w:rsidR="00AF4966">
        <w:t xml:space="preserve">” </w:t>
      </w:r>
      <w:r w:rsidR="00F71E17">
        <w:t>(</w:t>
      </w:r>
      <w:r w:rsidR="00AF4966">
        <w:t>or “external entity”</w:t>
      </w:r>
      <w:r w:rsidR="00F71E17">
        <w:t>)</w:t>
      </w:r>
      <w:r w:rsidR="0006653D">
        <w:t xml:space="preserve">. </w:t>
      </w:r>
      <w:r w:rsidR="00AF4966">
        <w:t>This separate or external entity can be a PLMN or another SNPN</w:t>
      </w:r>
      <w:r w:rsidR="003231C2">
        <w:t xml:space="preserve"> and is also referred to as </w:t>
      </w:r>
      <w:r w:rsidR="001C1BE8">
        <w:t xml:space="preserve">(external) </w:t>
      </w:r>
      <w:r w:rsidR="003231C2">
        <w:t>“Service Provider” (</w:t>
      </w:r>
      <w:r w:rsidR="001C1BE8">
        <w:t>“</w:t>
      </w:r>
      <w:r w:rsidR="003231C2">
        <w:t>SP</w:t>
      </w:r>
      <w:r w:rsidR="001C1BE8">
        <w:t>”</w:t>
      </w:r>
      <w:r w:rsidR="003231C2">
        <w:t>)</w:t>
      </w:r>
      <w:r w:rsidR="001C1BE8">
        <w:t>, “Credential Owner” or “Subscription Owner” (“SO”)</w:t>
      </w:r>
      <w:r w:rsidR="003231C2">
        <w:t xml:space="preserve">. The hosting </w:t>
      </w:r>
      <w:r w:rsidR="00B069C8">
        <w:t>SNPN or</w:t>
      </w:r>
      <w:r w:rsidR="003231C2">
        <w:t xml:space="preserve"> visited SNPN (“V-SNPN”), can support one or multiple SPs, which are also referred to as Home-SPs as they own the UE’s credentials.</w:t>
      </w:r>
      <w:r w:rsidR="00055E59">
        <w:t xml:space="preserve"> </w:t>
      </w:r>
      <w:r w:rsidR="00055E59">
        <w:fldChar w:fldCharType="begin"/>
      </w:r>
      <w:r w:rsidR="00055E59">
        <w:instrText xml:space="preserve"> REF _Ref59438301 \h </w:instrText>
      </w:r>
      <w:r w:rsidR="00055E59">
        <w:fldChar w:fldCharType="separate"/>
      </w:r>
      <w:r w:rsidR="00055E59">
        <w:t xml:space="preserve">Figure </w:t>
      </w:r>
      <w:r w:rsidR="00055E59">
        <w:rPr>
          <w:noProof/>
        </w:rPr>
        <w:t>1</w:t>
      </w:r>
      <w:r w:rsidR="00055E59">
        <w:fldChar w:fldCharType="end"/>
      </w:r>
      <w:r w:rsidR="00055E59">
        <w:t xml:space="preserve"> shows an overview of the relation between V-SNPN and Home-SP(s).</w:t>
      </w:r>
    </w:p>
    <w:p w14:paraId="0CD5DAE5" w14:textId="77777777" w:rsidR="00204174" w:rsidRDefault="00204174" w:rsidP="00D004C7">
      <w:pPr>
        <w:pStyle w:val="BodyText"/>
      </w:pPr>
    </w:p>
    <w:p w14:paraId="7FD767DF" w14:textId="03904E52" w:rsidR="00695B0D" w:rsidRDefault="00923127" w:rsidP="00923127">
      <w:pPr>
        <w:pStyle w:val="TH"/>
      </w:pPr>
      <w:r>
        <w:rPr>
          <w:noProof/>
        </w:rPr>
        <w:lastRenderedPageBreak/>
        <w:drawing>
          <wp:inline distT="0" distB="0" distL="0" distR="0" wp14:anchorId="187946A2" wp14:editId="7F9763E7">
            <wp:extent cx="4491886" cy="2357510"/>
            <wp:effectExtent l="0" t="0" r="444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5365" cy="2364584"/>
                    </a:xfrm>
                    <a:prstGeom prst="rect">
                      <a:avLst/>
                    </a:prstGeom>
                    <a:noFill/>
                  </pic:spPr>
                </pic:pic>
              </a:graphicData>
            </a:graphic>
          </wp:inline>
        </w:drawing>
      </w:r>
    </w:p>
    <w:p w14:paraId="015E3699" w14:textId="52746410" w:rsidR="00561095" w:rsidRDefault="00695B0D" w:rsidP="002174A0">
      <w:pPr>
        <w:pStyle w:val="TF"/>
      </w:pPr>
      <w:bookmarkStart w:id="2" w:name="_Ref59438301"/>
      <w:r>
        <w:t xml:space="preserve">Figure </w:t>
      </w:r>
      <w:r w:rsidR="009B7F05">
        <w:fldChar w:fldCharType="begin"/>
      </w:r>
      <w:r w:rsidR="009B7F05">
        <w:instrText xml:space="preserve"> SEQ Figure \* ARABIC </w:instrText>
      </w:r>
      <w:r w:rsidR="009B7F05">
        <w:fldChar w:fldCharType="separate"/>
      </w:r>
      <w:r>
        <w:rPr>
          <w:noProof/>
        </w:rPr>
        <w:t>1</w:t>
      </w:r>
      <w:r w:rsidR="009B7F05">
        <w:rPr>
          <w:noProof/>
        </w:rPr>
        <w:fldChar w:fldCharType="end"/>
      </w:r>
      <w:bookmarkEnd w:id="2"/>
      <w:r>
        <w:t xml:space="preserve">. </w:t>
      </w:r>
      <w:r w:rsidR="00055E59" w:rsidRPr="0006653D">
        <w:t>Functional overview of the (V-)SNPN and (Home-)SP</w:t>
      </w:r>
      <w:r w:rsidRPr="0006653D">
        <w:t>.</w:t>
      </w:r>
    </w:p>
    <w:p w14:paraId="4E9C71EE" w14:textId="63248568" w:rsidR="00CA04AC" w:rsidRPr="00D91A7D" w:rsidRDefault="007F4920" w:rsidP="00D004C7">
      <w:pPr>
        <w:pStyle w:val="BodyText"/>
        <w:rPr>
          <w:b/>
          <w:bCs/>
        </w:rPr>
      </w:pPr>
      <w:r w:rsidRPr="00F94FCE">
        <w:t>In this</w:t>
      </w:r>
      <w:r>
        <w:t xml:space="preserve"> paper, we use the following</w:t>
      </w:r>
      <w:r>
        <w:rPr>
          <w:b/>
        </w:rPr>
        <w:t xml:space="preserve"> t</w:t>
      </w:r>
      <w:r w:rsidR="00CA04AC" w:rsidRPr="00D91A7D">
        <w:rPr>
          <w:b/>
        </w:rPr>
        <w:t>erminology</w:t>
      </w:r>
      <w:r w:rsidR="001C1BE8">
        <w:rPr>
          <w:b/>
        </w:rPr>
        <w:t>*</w:t>
      </w:r>
      <w:r w:rsidR="00CA04AC" w:rsidRPr="00D91A7D">
        <w:rPr>
          <w:b/>
        </w:rPr>
        <w:t>:</w:t>
      </w:r>
    </w:p>
    <w:p w14:paraId="3F23B5D1" w14:textId="60288C57" w:rsidR="000B4B92" w:rsidRPr="00F94FCE" w:rsidRDefault="00CA04AC" w:rsidP="00CA04AC">
      <w:pPr>
        <w:pStyle w:val="ListParagraph"/>
        <w:numPr>
          <w:ilvl w:val="0"/>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 xml:space="preserve">Home-SP = Home Service Provider </w:t>
      </w:r>
    </w:p>
    <w:p w14:paraId="20F80A6B" w14:textId="2058EB76" w:rsidR="00CA04AC" w:rsidRPr="007A304A" w:rsidRDefault="00CA04AC">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sidRPr="007A304A">
        <w:rPr>
          <w:rFonts w:ascii="Arial" w:hAnsi="Arial" w:cs="Arial"/>
          <w:sz w:val="20"/>
          <w:szCs w:val="20"/>
        </w:rPr>
        <w:t xml:space="preserve">Can either be a SNPN or PLMN. This is the </w:t>
      </w:r>
      <w:r w:rsidR="006C251A" w:rsidRPr="005A2863">
        <w:rPr>
          <w:rFonts w:ascii="Arial" w:hAnsi="Arial" w:cs="Arial"/>
          <w:sz w:val="20"/>
          <w:szCs w:val="20"/>
          <w:lang w:val="en-US"/>
        </w:rPr>
        <w:t>”</w:t>
      </w:r>
      <w:r w:rsidRPr="007A304A">
        <w:rPr>
          <w:rFonts w:ascii="Arial" w:hAnsi="Arial" w:cs="Arial"/>
          <w:sz w:val="20"/>
          <w:szCs w:val="20"/>
        </w:rPr>
        <w:t>separate entity”</w:t>
      </w:r>
      <w:r w:rsidR="007A304A" w:rsidRPr="007A304A">
        <w:rPr>
          <w:rFonts w:ascii="Arial" w:hAnsi="Arial" w:cs="Arial"/>
          <w:sz w:val="20"/>
          <w:szCs w:val="20"/>
        </w:rPr>
        <w:t xml:space="preserve"> or external </w:t>
      </w:r>
      <w:r w:rsidR="00984116" w:rsidRPr="007A304A">
        <w:rPr>
          <w:rFonts w:ascii="Arial" w:hAnsi="Arial" w:cs="Arial"/>
          <w:sz w:val="20"/>
          <w:szCs w:val="20"/>
        </w:rPr>
        <w:t>entity</w:t>
      </w:r>
    </w:p>
    <w:p w14:paraId="2562001D" w14:textId="2369963F" w:rsidR="00D91A7D" w:rsidRPr="00F94FCE" w:rsidRDefault="00D91A7D" w:rsidP="00D91A7D">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Can be shortened as “Service Provider” (SP)</w:t>
      </w:r>
    </w:p>
    <w:p w14:paraId="2EF354C1" w14:textId="3F8490A8" w:rsidR="000B4B92" w:rsidRPr="00F94FCE" w:rsidRDefault="000B4B92" w:rsidP="00D91A7D">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Owns the UE</w:t>
      </w:r>
      <w:r w:rsidR="001C1BE8">
        <w:rPr>
          <w:rFonts w:ascii="Arial" w:hAnsi="Arial" w:cs="Arial"/>
          <w:sz w:val="20"/>
          <w:szCs w:val="20"/>
          <w:lang w:val="en-US"/>
        </w:rPr>
        <w:t>’</w:t>
      </w:r>
      <w:r w:rsidRPr="00F94FCE">
        <w:rPr>
          <w:rFonts w:ascii="Arial" w:hAnsi="Arial" w:cs="Arial"/>
          <w:sz w:val="20"/>
          <w:szCs w:val="20"/>
        </w:rPr>
        <w:t>s credentials</w:t>
      </w:r>
      <w:r w:rsidR="007F6B8B">
        <w:rPr>
          <w:rFonts w:ascii="Arial" w:hAnsi="Arial" w:cs="Arial"/>
          <w:sz w:val="20"/>
          <w:szCs w:val="20"/>
          <w:lang w:val="en-US"/>
        </w:rPr>
        <w:t xml:space="preserve"> -&gt; external credential</w:t>
      </w:r>
      <w:r w:rsidR="009C0995">
        <w:rPr>
          <w:rFonts w:ascii="Arial" w:hAnsi="Arial" w:cs="Arial"/>
          <w:sz w:val="20"/>
          <w:szCs w:val="20"/>
          <w:lang w:val="en-US"/>
        </w:rPr>
        <w:t>s</w:t>
      </w:r>
      <w:r w:rsidR="007F6B8B">
        <w:rPr>
          <w:rFonts w:ascii="Arial" w:hAnsi="Arial" w:cs="Arial"/>
          <w:sz w:val="20"/>
          <w:szCs w:val="20"/>
          <w:lang w:val="en-US"/>
        </w:rPr>
        <w:t xml:space="preserve"> or subscription owner</w:t>
      </w:r>
    </w:p>
    <w:p w14:paraId="043C01A1" w14:textId="21712462" w:rsidR="000B4B92" w:rsidRPr="00F94FCE" w:rsidRDefault="00CA04AC" w:rsidP="00CA04AC">
      <w:pPr>
        <w:pStyle w:val="ListParagraph"/>
        <w:numPr>
          <w:ilvl w:val="0"/>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V-SNPN = Visited SNPN</w:t>
      </w:r>
      <w:r w:rsidR="00D91A7D" w:rsidRPr="00F94FCE">
        <w:rPr>
          <w:rFonts w:ascii="Arial" w:hAnsi="Arial" w:cs="Arial"/>
          <w:sz w:val="20"/>
          <w:szCs w:val="20"/>
        </w:rPr>
        <w:t xml:space="preserve"> </w:t>
      </w:r>
    </w:p>
    <w:p w14:paraId="4BB03D12" w14:textId="1D611525" w:rsidR="000B4B92" w:rsidRPr="00F94FCE" w:rsidRDefault="000B4B92" w:rsidP="000B4B92">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 xml:space="preserve">The UE is served by the </w:t>
      </w:r>
      <w:r w:rsidR="00F70880">
        <w:rPr>
          <w:rFonts w:ascii="Arial" w:hAnsi="Arial" w:cs="Arial"/>
          <w:sz w:val="20"/>
          <w:szCs w:val="20"/>
          <w:lang w:val="en-US"/>
        </w:rPr>
        <w:t>(</w:t>
      </w:r>
      <w:r w:rsidRPr="00F94FCE">
        <w:rPr>
          <w:rFonts w:ascii="Arial" w:hAnsi="Arial" w:cs="Arial"/>
          <w:sz w:val="20"/>
          <w:szCs w:val="20"/>
        </w:rPr>
        <w:t>V-</w:t>
      </w:r>
      <w:r w:rsidR="00F70880">
        <w:rPr>
          <w:rFonts w:ascii="Arial" w:hAnsi="Arial" w:cs="Arial"/>
          <w:sz w:val="20"/>
          <w:szCs w:val="20"/>
          <w:lang w:val="en-US"/>
        </w:rPr>
        <w:t>)</w:t>
      </w:r>
      <w:r w:rsidRPr="00F94FCE">
        <w:rPr>
          <w:rFonts w:ascii="Arial" w:hAnsi="Arial" w:cs="Arial"/>
          <w:sz w:val="20"/>
          <w:szCs w:val="20"/>
        </w:rPr>
        <w:t>SNPN.</w:t>
      </w:r>
    </w:p>
    <w:p w14:paraId="32CD7466" w14:textId="1AADD955" w:rsidR="00CA04AC" w:rsidRDefault="00D91A7D" w:rsidP="00F94FCE">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The</w:t>
      </w:r>
      <w:r w:rsidR="00CA04AC" w:rsidRPr="00F94FCE">
        <w:rPr>
          <w:rFonts w:ascii="Arial" w:hAnsi="Arial" w:cs="Arial"/>
          <w:sz w:val="20"/>
          <w:szCs w:val="20"/>
        </w:rPr>
        <w:t xml:space="preserve"> UE uses credentials from </w:t>
      </w:r>
      <w:r w:rsidR="000B6AD6">
        <w:rPr>
          <w:rFonts w:ascii="Arial" w:hAnsi="Arial" w:cs="Arial"/>
          <w:sz w:val="20"/>
          <w:szCs w:val="20"/>
        </w:rPr>
        <w:t>its</w:t>
      </w:r>
      <w:r w:rsidR="000B6AD6" w:rsidRPr="00F94FCE">
        <w:rPr>
          <w:rFonts w:ascii="Arial" w:hAnsi="Arial" w:cs="Arial"/>
          <w:sz w:val="20"/>
          <w:szCs w:val="20"/>
        </w:rPr>
        <w:t xml:space="preserve"> </w:t>
      </w:r>
      <w:r w:rsidR="00F70880">
        <w:rPr>
          <w:rFonts w:ascii="Arial" w:hAnsi="Arial" w:cs="Arial"/>
          <w:sz w:val="20"/>
          <w:szCs w:val="20"/>
          <w:lang w:val="en-US"/>
        </w:rPr>
        <w:t>(</w:t>
      </w:r>
      <w:r w:rsidR="00CA04AC" w:rsidRPr="00F94FCE">
        <w:rPr>
          <w:rFonts w:ascii="Arial" w:hAnsi="Arial" w:cs="Arial"/>
          <w:sz w:val="20"/>
          <w:szCs w:val="20"/>
        </w:rPr>
        <w:t>Home-</w:t>
      </w:r>
      <w:r w:rsidR="00F70880">
        <w:rPr>
          <w:rFonts w:ascii="Arial" w:hAnsi="Arial" w:cs="Arial"/>
          <w:sz w:val="20"/>
          <w:szCs w:val="20"/>
          <w:lang w:val="en-US"/>
        </w:rPr>
        <w:t>)</w:t>
      </w:r>
      <w:r w:rsidR="00CA04AC" w:rsidRPr="00F94FCE">
        <w:rPr>
          <w:rFonts w:ascii="Arial" w:hAnsi="Arial" w:cs="Arial"/>
          <w:sz w:val="20"/>
          <w:szCs w:val="20"/>
        </w:rPr>
        <w:t>SP</w:t>
      </w:r>
      <w:r w:rsidRPr="00F94FCE">
        <w:rPr>
          <w:rFonts w:ascii="Arial" w:hAnsi="Arial" w:cs="Arial"/>
          <w:sz w:val="20"/>
          <w:szCs w:val="20"/>
        </w:rPr>
        <w:t>.</w:t>
      </w:r>
    </w:p>
    <w:p w14:paraId="1FC658C5" w14:textId="67420475" w:rsidR="001572F2" w:rsidRPr="00904D7C" w:rsidRDefault="001572F2" w:rsidP="001572F2">
      <w:pPr>
        <w:pStyle w:val="ListParagraph"/>
        <w:numPr>
          <w:ilvl w:val="0"/>
          <w:numId w:val="26"/>
        </w:numPr>
        <w:overflowPunct/>
        <w:autoSpaceDE/>
        <w:autoSpaceDN/>
        <w:adjustRightInd/>
        <w:spacing w:line="259" w:lineRule="auto"/>
        <w:contextualSpacing/>
        <w:textAlignment w:val="auto"/>
        <w:rPr>
          <w:rFonts w:ascii="Arial" w:hAnsi="Arial" w:cs="Arial"/>
          <w:sz w:val="20"/>
          <w:szCs w:val="20"/>
        </w:rPr>
      </w:pPr>
      <w:r>
        <w:rPr>
          <w:rFonts w:ascii="Arial" w:hAnsi="Arial" w:cs="Arial"/>
          <w:sz w:val="20"/>
          <w:szCs w:val="20"/>
          <w:lang w:val="en-US"/>
        </w:rPr>
        <w:t>SP-GID = (Home-)SP Group ID</w:t>
      </w:r>
    </w:p>
    <w:p w14:paraId="6AB1F357" w14:textId="64246452" w:rsidR="001572F2" w:rsidRPr="00F94FCE" w:rsidRDefault="001572F2" w:rsidP="001572F2">
      <w:pPr>
        <w:pStyle w:val="ListParagraph"/>
        <w:numPr>
          <w:ilvl w:val="1"/>
          <w:numId w:val="26"/>
        </w:numPr>
        <w:overflowPunct/>
        <w:autoSpaceDE/>
        <w:autoSpaceDN/>
        <w:adjustRightInd/>
        <w:spacing w:line="259" w:lineRule="auto"/>
        <w:contextualSpacing/>
        <w:textAlignment w:val="auto"/>
        <w:rPr>
          <w:rFonts w:ascii="Arial" w:hAnsi="Arial" w:cs="Arial"/>
          <w:sz w:val="20"/>
          <w:szCs w:val="20"/>
        </w:rPr>
      </w:pPr>
      <w:r>
        <w:rPr>
          <w:rFonts w:ascii="Arial" w:hAnsi="Arial" w:cs="Arial"/>
          <w:sz w:val="20"/>
          <w:szCs w:val="20"/>
          <w:lang w:val="en-US"/>
        </w:rPr>
        <w:t xml:space="preserve">Uses a specific SP ID </w:t>
      </w:r>
      <w:r w:rsidR="00A52F45">
        <w:rPr>
          <w:rFonts w:ascii="Arial" w:hAnsi="Arial" w:cs="Arial"/>
          <w:sz w:val="20"/>
          <w:szCs w:val="20"/>
          <w:lang w:val="en-US"/>
        </w:rPr>
        <w:t xml:space="preserve">to </w:t>
      </w:r>
      <w:r w:rsidR="001E51FC">
        <w:rPr>
          <w:rFonts w:ascii="Arial" w:hAnsi="Arial" w:cs="Arial"/>
          <w:sz w:val="20"/>
          <w:szCs w:val="20"/>
          <w:lang w:val="en-US"/>
        </w:rPr>
        <w:t xml:space="preserve">cover multiple </w:t>
      </w:r>
      <w:r w:rsidR="004D1C4D">
        <w:rPr>
          <w:rFonts w:ascii="Arial" w:hAnsi="Arial" w:cs="Arial"/>
          <w:sz w:val="20"/>
          <w:szCs w:val="20"/>
          <w:lang w:val="en-US"/>
        </w:rPr>
        <w:t>(Home-)</w:t>
      </w:r>
      <w:r w:rsidR="001E51FC">
        <w:rPr>
          <w:rFonts w:ascii="Arial" w:hAnsi="Arial" w:cs="Arial"/>
          <w:sz w:val="20"/>
          <w:szCs w:val="20"/>
          <w:lang w:val="en-US"/>
        </w:rPr>
        <w:t>SPs</w:t>
      </w:r>
    </w:p>
    <w:p w14:paraId="38835246" w14:textId="7BDBDB5F" w:rsidR="00CA04AC" w:rsidRDefault="00CA04AC" w:rsidP="00F37004">
      <w:pPr>
        <w:pStyle w:val="BodyText"/>
        <w:spacing w:after="0"/>
      </w:pPr>
    </w:p>
    <w:p w14:paraId="3C7BB8FC" w14:textId="76461CEB" w:rsidR="001C1BE8" w:rsidRPr="00F37004" w:rsidRDefault="001C1BE8" w:rsidP="00D004C7">
      <w:pPr>
        <w:pStyle w:val="BodyText"/>
        <w:rPr>
          <w:sz w:val="18"/>
          <w:szCs w:val="18"/>
        </w:rPr>
      </w:pPr>
      <w:r w:rsidRPr="00F37004">
        <w:rPr>
          <w:sz w:val="18"/>
          <w:szCs w:val="18"/>
        </w:rPr>
        <w:t>* The final names depend on SA2 decision and should be aligned between the SA/RAN/CT specifications.</w:t>
      </w:r>
    </w:p>
    <w:p w14:paraId="682D233D" w14:textId="77777777" w:rsidR="00904D7C" w:rsidRDefault="00904D7C" w:rsidP="000D0E64">
      <w:pPr>
        <w:pStyle w:val="BodyText"/>
      </w:pPr>
    </w:p>
    <w:p w14:paraId="3C6D50B3" w14:textId="7BDCFEEF" w:rsidR="00A450BB" w:rsidRDefault="00A450BB" w:rsidP="000D0E64">
      <w:pPr>
        <w:pStyle w:val="BodyText"/>
      </w:pPr>
      <w:r>
        <w:t xml:space="preserve">There are two types of selection </w:t>
      </w:r>
      <w:r w:rsidR="00423B3F">
        <w:t xml:space="preserve">defined in TR 23.700-07 [2], similar </w:t>
      </w:r>
      <w:r>
        <w:t xml:space="preserve">as in Rel-16: </w:t>
      </w:r>
      <w:r w:rsidR="00423B3F">
        <w:t xml:space="preserve">automatic and manual selection, where the procedures </w:t>
      </w:r>
      <w:r w:rsidR="001C1BE8">
        <w:t xml:space="preserve">we further discuss </w:t>
      </w:r>
      <w:r w:rsidR="00423B3F">
        <w:t>below address automatic selection.</w:t>
      </w:r>
      <w:r w:rsidR="000D0E64" w:rsidDel="000D0E64">
        <w:rPr>
          <w:rStyle w:val="CommentReference"/>
          <w:rFonts w:ascii="Times New Roman" w:hAnsi="Times New Roman"/>
          <w:lang w:eastAsia="ja-JP"/>
        </w:rPr>
        <w:t xml:space="preserve"> </w:t>
      </w:r>
    </w:p>
    <w:p w14:paraId="75E803F0" w14:textId="32A87F93" w:rsidR="00E92117" w:rsidRDefault="002E1577" w:rsidP="00D004C7">
      <w:pPr>
        <w:pStyle w:val="BodyText"/>
      </w:pPr>
      <w:r>
        <w:t xml:space="preserve">When a UE enters a coverage area of an SNPN </w:t>
      </w:r>
      <w:r w:rsidR="00322734">
        <w:t xml:space="preserve">to which it </w:t>
      </w:r>
      <w:r>
        <w:t xml:space="preserve">does not have a subscription, but </w:t>
      </w:r>
      <w:r w:rsidR="00182246">
        <w:t>does have</w:t>
      </w:r>
      <w:r w:rsidR="001E51FC">
        <w:t xml:space="preserve"> a subscription</w:t>
      </w:r>
      <w:r w:rsidR="00182246">
        <w:t xml:space="preserve"> </w:t>
      </w:r>
      <w:r>
        <w:t xml:space="preserve">to an external service provider supported by this SNPN, the UE </w:t>
      </w:r>
      <w:r w:rsidR="009C0995">
        <w:t xml:space="preserve">should be enabled to </w:t>
      </w:r>
      <w:r>
        <w:t xml:space="preserve">register at its </w:t>
      </w:r>
      <w:r w:rsidR="001C1BE8">
        <w:t>H</w:t>
      </w:r>
      <w:r>
        <w:t xml:space="preserve">ome-SP and then access the SNPN. </w:t>
      </w:r>
      <w:r w:rsidR="00F94FCE">
        <w:t xml:space="preserve">In general, such </w:t>
      </w:r>
      <w:r w:rsidR="00DF4651">
        <w:t xml:space="preserve">initial </w:t>
      </w:r>
      <w:r w:rsidR="00F94FCE">
        <w:t xml:space="preserve">registration procedures are </w:t>
      </w:r>
      <w:r w:rsidR="000235A1">
        <w:t>categorized as delay-tolerant, i.e. they are not time-critical.</w:t>
      </w:r>
    </w:p>
    <w:p w14:paraId="35176B34" w14:textId="3ECC0E40" w:rsidR="000235A1" w:rsidRDefault="000235A1" w:rsidP="00BD289F">
      <w:pPr>
        <w:pStyle w:val="Observation"/>
      </w:pPr>
      <w:bookmarkStart w:id="3" w:name="_Toc61555160"/>
      <w:r>
        <w:t>The registration procedure to an external service provider is delay-tolerant.</w:t>
      </w:r>
      <w:bookmarkEnd w:id="3"/>
    </w:p>
    <w:p w14:paraId="6E7C3C07" w14:textId="77777777" w:rsidR="008F2D3A" w:rsidRDefault="008F2D3A" w:rsidP="00DC778B">
      <w:pPr>
        <w:pStyle w:val="BodyText"/>
      </w:pPr>
    </w:p>
    <w:p w14:paraId="1712F894" w14:textId="7CC3E21C" w:rsidR="00C35F80" w:rsidRDefault="006B2031" w:rsidP="006B2031">
      <w:pPr>
        <w:pStyle w:val="Heading2"/>
      </w:pPr>
      <w:r>
        <w:t>2.</w:t>
      </w:r>
      <w:r w:rsidR="00561095">
        <w:t>2</w:t>
      </w:r>
      <w:r>
        <w:tab/>
      </w:r>
      <w:r w:rsidR="001C1BE8">
        <w:t>General concept</w:t>
      </w:r>
    </w:p>
    <w:p w14:paraId="17EDE9F9" w14:textId="799D5931" w:rsidR="0031469C" w:rsidRDefault="00667905" w:rsidP="0031469C">
      <w:pPr>
        <w:pStyle w:val="BodyText"/>
        <w:keepNext/>
        <w:keepLines/>
        <w:rPr>
          <w:rFonts w:eastAsia="Malgun Gothic"/>
          <w:lang w:val="en-US"/>
        </w:rPr>
      </w:pPr>
      <w:r>
        <w:t>In the conclusions of TR 23.700-07</w:t>
      </w:r>
      <w:r w:rsidR="008D2EBF">
        <w:t xml:space="preserve"> [2]</w:t>
      </w:r>
      <w:r w:rsidR="00EC48B1">
        <w:t xml:space="preserve"> clause 8.1.4</w:t>
      </w:r>
      <w:r>
        <w:t>, the following SIB impacts were concluded:</w:t>
      </w:r>
      <w:r w:rsidR="0031469C" w:rsidRPr="0031469C">
        <w:rPr>
          <w:rFonts w:eastAsia="Malgun Gothic"/>
          <w:lang w:val="en-US"/>
        </w:rPr>
        <w:t xml:space="preserve"> </w:t>
      </w:r>
    </w:p>
    <w:p w14:paraId="2497DDC3" w14:textId="5E74CF8C" w:rsidR="0031469C" w:rsidRPr="0031469C" w:rsidRDefault="0031469C" w:rsidP="0031469C">
      <w:pPr>
        <w:keepLines/>
        <w:spacing w:after="120" w:line="360" w:lineRule="auto"/>
        <w:rPr>
          <w:rFonts w:eastAsia="Malgun Gothic"/>
          <w:color w:val="000000"/>
        </w:rPr>
      </w:pPr>
      <w:r w:rsidRPr="0031469C">
        <w:rPr>
          <w:rFonts w:eastAsia="Malgun Gothic"/>
          <w:noProof/>
          <w:lang w:val="en-US"/>
        </w:rPr>
        <mc:AlternateContent>
          <mc:Choice Requires="wps">
            <w:drawing>
              <wp:inline distT="0" distB="0" distL="0" distR="0" wp14:anchorId="424B1B08" wp14:editId="147B5782">
                <wp:extent cx="6120765" cy="1107831"/>
                <wp:effectExtent l="0" t="0" r="13335" b="1651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07831"/>
                        </a:xfrm>
                        <a:prstGeom prst="rect">
                          <a:avLst/>
                        </a:prstGeom>
                        <a:solidFill>
                          <a:srgbClr val="FFFFFF"/>
                        </a:solidFill>
                        <a:ln w="9525">
                          <a:solidFill>
                            <a:srgbClr val="000000"/>
                          </a:solidFill>
                          <a:miter lim="800000"/>
                          <a:headEnd/>
                          <a:tailEnd/>
                        </a:ln>
                      </wps:spPr>
                      <wps:txbx>
                        <w:txbxContent>
                          <w:p w14:paraId="1FE5B8A1" w14:textId="77777777" w:rsidR="00464CE2" w:rsidRPr="00D65A9C" w:rsidRDefault="00464CE2" w:rsidP="0031469C">
                            <w:pPr>
                              <w:pStyle w:val="B1"/>
                            </w:pPr>
                            <w:r>
                              <w:t>-</w:t>
                            </w:r>
                            <w:r>
                              <w:tab/>
                            </w:r>
                            <w:r w:rsidRPr="00D65A9C">
                              <w:t>SIB</w:t>
                            </w:r>
                            <w:r>
                              <w:t xml:space="preserve"> will be enhanced as follows</w:t>
                            </w:r>
                            <w:r w:rsidRPr="001851F2">
                              <w:t>, for SNPN only:</w:t>
                            </w:r>
                          </w:p>
                          <w:p w14:paraId="4AE8B149" w14:textId="77777777" w:rsidR="00464CE2" w:rsidRPr="00D65A9C" w:rsidRDefault="00464CE2" w:rsidP="0031469C">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5BE60B38" w14:textId="77777777" w:rsidR="00464CE2" w:rsidRDefault="00464CE2" w:rsidP="0031469C">
                            <w:pPr>
                              <w:pStyle w:val="B2"/>
                            </w:pPr>
                            <w:r>
                              <w:t>-</w:t>
                            </w:r>
                            <w:r>
                              <w:tab/>
                              <w:t>Optionally, s</w:t>
                            </w:r>
                            <w:r w:rsidRPr="00D65A9C">
                              <w:t>upported Group IDs (GIDs)</w:t>
                            </w:r>
                          </w:p>
                          <w:p w14:paraId="23494B0C" w14:textId="77777777" w:rsidR="00464CE2" w:rsidRDefault="00464CE2" w:rsidP="0031469C">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DD0CDD2" w14:textId="77777777" w:rsidR="00464CE2" w:rsidRDefault="00464CE2" w:rsidP="0031469C"/>
                        </w:txbxContent>
                      </wps:txbx>
                      <wps:bodyPr rot="0" vert="horz" wrap="square" lIns="91440" tIns="45720" rIns="91440" bIns="45720" anchor="t" anchorCtr="0">
                        <a:noAutofit/>
                      </wps:bodyPr>
                    </wps:wsp>
                  </a:graphicData>
                </a:graphic>
              </wp:inline>
            </w:drawing>
          </mc:Choice>
          <mc:Fallback>
            <w:pict>
              <v:shape w14:anchorId="424B1B08" id="Text Box 2" o:spid="_x0000_s1028" type="#_x0000_t202" style="width:481.95pt;height:8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">
                <v:textbox>
                  <w:txbxContent>
                    <w:p w14:paraId="1FE5B8A1" w14:textId="77777777" w:rsidR="00464CE2" w:rsidRPr="00D65A9C" w:rsidRDefault="00464CE2" w:rsidP="0031469C">
                      <w:pPr>
                        <w:pStyle w:val="B1"/>
                      </w:pPr>
                      <w:r>
                        <w:t>-</w:t>
                      </w:r>
                      <w:r>
                        <w:tab/>
                      </w:r>
                      <w:r w:rsidRPr="00D65A9C">
                        <w:t>SIB</w:t>
                      </w:r>
                      <w:r>
                        <w:t xml:space="preserve"> will be enhanced as follows</w:t>
                      </w:r>
                      <w:r w:rsidRPr="001851F2">
                        <w:t>, for SNPN only:</w:t>
                      </w:r>
                    </w:p>
                    <w:p w14:paraId="4AE8B149" w14:textId="77777777" w:rsidR="00464CE2" w:rsidRPr="00D65A9C" w:rsidRDefault="00464CE2" w:rsidP="0031469C">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5BE60B38" w14:textId="77777777" w:rsidR="00464CE2" w:rsidRDefault="00464CE2" w:rsidP="0031469C">
                      <w:pPr>
                        <w:pStyle w:val="B2"/>
                      </w:pPr>
                      <w:r>
                        <w:t>-</w:t>
                      </w:r>
                      <w:r>
                        <w:tab/>
                        <w:t>Optionally, s</w:t>
                      </w:r>
                      <w:r w:rsidRPr="00D65A9C">
                        <w:t>upported Group IDs (GIDs)</w:t>
                      </w:r>
                    </w:p>
                    <w:p w14:paraId="23494B0C" w14:textId="77777777" w:rsidR="00464CE2" w:rsidRDefault="00464CE2" w:rsidP="0031469C">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DD0CDD2" w14:textId="77777777" w:rsidR="00464CE2" w:rsidRDefault="00464CE2" w:rsidP="0031469C"/>
                  </w:txbxContent>
                </v:textbox>
                <w10:anchorlock/>
              </v:shape>
            </w:pict>
          </mc:Fallback>
        </mc:AlternateContent>
      </w:r>
    </w:p>
    <w:p w14:paraId="254873A7" w14:textId="4BFBE87D" w:rsidR="0031469C" w:rsidRPr="00E0535B" w:rsidRDefault="0031469C" w:rsidP="0031469C">
      <w:pPr>
        <w:pStyle w:val="BodyText"/>
        <w:keepNext/>
        <w:keepLines/>
        <w:rPr>
          <w:rFonts w:eastAsia="Malgun Gothic"/>
          <w:lang w:val="en-US"/>
        </w:rPr>
      </w:pPr>
      <w:r>
        <w:rPr>
          <w:rFonts w:eastAsia="Malgun Gothic"/>
          <w:lang w:val="en-US"/>
        </w:rPr>
        <w:lastRenderedPageBreak/>
        <w:t>The corresponding UE pre-configuration on NAS level is captured as follows</w:t>
      </w:r>
      <w:r w:rsidRPr="004B01D7">
        <w:t xml:space="preserve"> </w:t>
      </w:r>
      <w:r>
        <w:t>in TR 23.700-07 [2]</w:t>
      </w:r>
      <w:r>
        <w:rPr>
          <w:rFonts w:eastAsia="Malgun Gothic"/>
          <w:lang w:val="en-US"/>
        </w:rPr>
        <w:t>:</w:t>
      </w:r>
    </w:p>
    <w:p w14:paraId="319CFD42" w14:textId="052B1648" w:rsidR="0031469C" w:rsidRPr="00651E99" w:rsidRDefault="0031469C" w:rsidP="0031469C">
      <w:pPr>
        <w:keepNext/>
        <w:keepLines/>
        <w:pBdr>
          <w:top w:val="single" w:sz="4" w:space="1" w:color="auto"/>
          <w:left w:val="single" w:sz="4" w:space="4" w:color="auto"/>
          <w:bottom w:val="single" w:sz="4" w:space="1" w:color="auto"/>
          <w:right w:val="single" w:sz="4" w:space="4" w:color="auto"/>
        </w:pBdr>
        <w:spacing w:after="120" w:line="360" w:lineRule="auto"/>
        <w:ind w:left="547" w:hanging="360"/>
        <w:rPr>
          <w:rFonts w:eastAsia="Malgun Gothic"/>
          <w:color w:val="000000"/>
        </w:rPr>
      </w:pPr>
      <w:r w:rsidRPr="00651E99">
        <w:rPr>
          <w:rFonts w:eastAsia="Malgun Gothic"/>
          <w:color w:val="000000"/>
        </w:rPr>
        <w:t>-</w:t>
      </w:r>
      <w:r w:rsidRPr="00651E99">
        <w:rPr>
          <w:rFonts w:eastAsia="Malgun Gothic"/>
          <w:color w:val="000000"/>
        </w:rPr>
        <w:tab/>
        <w:t>UE configuration</w:t>
      </w:r>
      <w:r>
        <w:rPr>
          <w:rFonts w:eastAsia="Malgun Gothic"/>
          <w:color w:val="000000"/>
        </w:rPr>
        <w:br/>
      </w:r>
      <w:r w:rsidRPr="0031469C">
        <w:rPr>
          <w:rFonts w:eastAsia="Malgun Gothic"/>
          <w:color w:val="000000"/>
        </w:rPr>
        <w:t>-</w:t>
      </w:r>
      <w:r w:rsidRPr="0031469C">
        <w:rPr>
          <w:rFonts w:eastAsia="Malgun Gothic"/>
          <w:color w:val="000000"/>
        </w:rPr>
        <w:tab/>
        <w:t>User-controlled prioritized list of preferred SNPNs</w:t>
      </w:r>
      <w:r>
        <w:rPr>
          <w:rFonts w:eastAsia="Malgun Gothic"/>
          <w:color w:val="000000"/>
        </w:rPr>
        <w:t xml:space="preserve"> </w:t>
      </w:r>
      <w:r>
        <w:rPr>
          <w:rFonts w:eastAsia="Malgun Gothic"/>
          <w:color w:val="000000"/>
        </w:rPr>
        <w:br/>
      </w:r>
      <w:r w:rsidRPr="0031469C">
        <w:rPr>
          <w:rFonts w:eastAsia="Malgun Gothic"/>
          <w:color w:val="000000"/>
        </w:rPr>
        <w:t>-</w:t>
      </w:r>
      <w:r w:rsidRPr="0031469C">
        <w:rPr>
          <w:rFonts w:eastAsia="Malgun Gothic"/>
          <w:color w:val="000000"/>
        </w:rPr>
        <w:tab/>
        <w:t>Separate entity controlled prioritized list of preferred SNPNs</w:t>
      </w:r>
      <w:r>
        <w:rPr>
          <w:rFonts w:eastAsia="Malgun Gothic"/>
          <w:color w:val="000000"/>
        </w:rPr>
        <w:br/>
      </w:r>
      <w:r w:rsidRPr="0031469C">
        <w:rPr>
          <w:rFonts w:eastAsia="Malgun Gothic"/>
          <w:color w:val="000000"/>
        </w:rPr>
        <w:t>-</w:t>
      </w:r>
      <w:r w:rsidRPr="0031469C">
        <w:rPr>
          <w:rFonts w:eastAsia="Malgun Gothic"/>
          <w:color w:val="000000"/>
        </w:rPr>
        <w:tab/>
        <w:t>Separate entity-controlled prioritized list of Group IDs (GIDs)</w:t>
      </w:r>
    </w:p>
    <w:p w14:paraId="4F35B699" w14:textId="0B9A9025" w:rsidR="00E92117" w:rsidRDefault="00840ACE" w:rsidP="00E92117">
      <w:pPr>
        <w:pStyle w:val="BodyText"/>
        <w:rPr>
          <w:rFonts w:eastAsia="Malgun Gothic"/>
        </w:rPr>
      </w:pPr>
      <w:r>
        <w:rPr>
          <w:rFonts w:eastAsia="Malgun Gothic"/>
        </w:rPr>
        <w:t>In the below sub-sections, we explain the purpose of the above parameters.</w:t>
      </w:r>
    </w:p>
    <w:p w14:paraId="7E7CF57A" w14:textId="5D4546A5" w:rsidR="00667905" w:rsidRDefault="00667905" w:rsidP="00DF4651">
      <w:pPr>
        <w:pStyle w:val="Heading3"/>
      </w:pPr>
      <w:r>
        <w:rPr>
          <w:rFonts w:eastAsia="Malgun Gothic"/>
        </w:rPr>
        <w:t xml:space="preserve">2.2.1 </w:t>
      </w:r>
      <w:r>
        <w:rPr>
          <w:rFonts w:eastAsia="Malgun Gothic"/>
        </w:rPr>
        <w:tab/>
      </w:r>
      <w:r w:rsidR="004335F8">
        <w:rPr>
          <w:rFonts w:eastAsia="Malgun Gothic"/>
        </w:rPr>
        <w:t xml:space="preserve">Solution 1: NAS List </w:t>
      </w:r>
      <w:r w:rsidR="001A321B">
        <w:rPr>
          <w:rFonts w:eastAsia="Malgun Gothic"/>
        </w:rPr>
        <w:t xml:space="preserve">of SNPN IDs </w:t>
      </w:r>
      <w:r w:rsidR="004335F8">
        <w:rPr>
          <w:rFonts w:eastAsia="Malgun Gothic"/>
        </w:rPr>
        <w:t xml:space="preserve">and </w:t>
      </w:r>
      <w:r w:rsidR="001A321B">
        <w:rPr>
          <w:rFonts w:eastAsia="Malgun Gothic"/>
        </w:rPr>
        <w:t>i</w:t>
      </w:r>
      <w:r w:rsidRPr="005A160D">
        <w:rPr>
          <w:rFonts w:eastAsia="Malgun Gothic"/>
        </w:rPr>
        <w:t>ndication that "access using credentials from a separate entity is supported"</w:t>
      </w:r>
    </w:p>
    <w:p w14:paraId="48D81289" w14:textId="2B6E29B9" w:rsidR="007F6B8B" w:rsidRDefault="00667905" w:rsidP="00667905">
      <w:pPr>
        <w:pStyle w:val="BodyText"/>
      </w:pPr>
      <w:r>
        <w:t>Rel-16 specification</w:t>
      </w:r>
      <w:r w:rsidR="00E92117">
        <w:t>s</w:t>
      </w:r>
      <w:r>
        <w:t xml:space="preserve"> allow </w:t>
      </w:r>
      <w:r w:rsidR="00873D97">
        <w:t>the UE</w:t>
      </w:r>
      <w:r>
        <w:t xml:space="preserve"> to discover and select SNPNs </w:t>
      </w:r>
      <w:r w:rsidR="00873D97">
        <w:t>for</w:t>
      </w:r>
      <w:r>
        <w:t xml:space="preserve"> which </w:t>
      </w:r>
      <w:r w:rsidR="00873D97">
        <w:t>it</w:t>
      </w:r>
      <w:r>
        <w:t xml:space="preserve"> </w:t>
      </w:r>
      <w:r w:rsidR="00BA7213">
        <w:t>has</w:t>
      </w:r>
      <w:r>
        <w:t xml:space="preserve"> network credentials. </w:t>
      </w:r>
      <w:r w:rsidR="00873D97">
        <w:t>Thus, the UE can</w:t>
      </w:r>
      <w:r>
        <w:t xml:space="preserve"> easily discover and select the appropriate network within its coverage. </w:t>
      </w:r>
    </w:p>
    <w:p w14:paraId="139D8080" w14:textId="1A9554E1" w:rsidR="00667905" w:rsidRPr="00E92117" w:rsidRDefault="007F6B8B" w:rsidP="00667905">
      <w:pPr>
        <w:pStyle w:val="BodyText"/>
      </w:pPr>
      <w:r>
        <w:t xml:space="preserve">For Rel-17, SA2 has agreed to introduce a new NAS list pointing to SNPNs which support access using credentials for a certain SP. </w:t>
      </w:r>
      <w:r w:rsidR="00E92117">
        <w:t>In other words, an SP is associated with a list of SNPNs, which have an agreement with this SP.</w:t>
      </w:r>
    </w:p>
    <w:p w14:paraId="144030D2" w14:textId="325AEC40" w:rsidR="00E92117" w:rsidRPr="00DD6C8E" w:rsidRDefault="00667905" w:rsidP="00667905">
      <w:pPr>
        <w:pStyle w:val="BodyText"/>
      </w:pPr>
      <w:r>
        <w:t>However</w:t>
      </w:r>
      <w:r w:rsidRPr="00667905">
        <w:t>,</w:t>
      </w:r>
      <w:r>
        <w:t xml:space="preserve"> </w:t>
      </w:r>
      <w:r w:rsidR="00873D97">
        <w:t xml:space="preserve">the following issue has been identified </w:t>
      </w:r>
      <w:r w:rsidR="00E92117">
        <w:t xml:space="preserve">if there are legacy Rel-16 SNPNs or Rel-17 SNPNs which do not </w:t>
      </w:r>
      <w:r w:rsidR="00873D97">
        <w:t xml:space="preserve">support external </w:t>
      </w:r>
      <w:r w:rsidR="00E92117">
        <w:t>SPs</w:t>
      </w:r>
      <w:r w:rsidR="00873D97">
        <w:t>.</w:t>
      </w:r>
      <w:r w:rsidR="005D44A5">
        <w:t xml:space="preserve"> </w:t>
      </w:r>
      <w:r w:rsidR="00E92117">
        <w:t xml:space="preserve">These </w:t>
      </w:r>
      <w:r w:rsidR="005D44A5">
        <w:t>SNPN</w:t>
      </w:r>
      <w:r w:rsidR="00C41428">
        <w:t>s</w:t>
      </w:r>
      <w:r w:rsidR="005D44A5">
        <w:t xml:space="preserve"> </w:t>
      </w:r>
      <w:r w:rsidR="00E92117">
        <w:t>could broadcast the SNPN</w:t>
      </w:r>
      <w:r w:rsidR="005D44A5">
        <w:t xml:space="preserve"> ID</w:t>
      </w:r>
      <w:r w:rsidR="00E92117">
        <w:t xml:space="preserve"> which is pre-configured in the UE</w:t>
      </w:r>
      <w:r w:rsidR="00E969CC">
        <w:t>.</w:t>
      </w:r>
      <w:r>
        <w:t xml:space="preserve"> </w:t>
      </w:r>
      <w:r w:rsidR="00B77860">
        <w:rPr>
          <w:rFonts w:eastAsia="Malgun Gothic"/>
        </w:rPr>
        <w:t>I</w:t>
      </w:r>
      <w:r w:rsidR="00D35301">
        <w:rPr>
          <w:rFonts w:eastAsia="Malgun Gothic"/>
        </w:rPr>
        <w:t xml:space="preserve">n order to </w:t>
      </w:r>
      <w:r w:rsidR="00D35301" w:rsidRPr="0097211D">
        <w:rPr>
          <w:rFonts w:eastAsia="Malgun Gothic"/>
        </w:rPr>
        <w:t>inform the UE</w:t>
      </w:r>
      <w:r w:rsidRPr="0097211D">
        <w:t xml:space="preserve"> whether </w:t>
      </w:r>
      <w:r w:rsidR="00D35301" w:rsidRPr="0097211D">
        <w:t>it can start the registrat</w:t>
      </w:r>
      <w:r w:rsidR="00D35301" w:rsidRPr="00E10778">
        <w:t xml:space="preserve">ion procedure towards </w:t>
      </w:r>
      <w:r w:rsidR="00D35301" w:rsidRPr="003966BF">
        <w:t xml:space="preserve">its </w:t>
      </w:r>
      <w:r w:rsidR="00E92117" w:rsidRPr="00DD6C8E">
        <w:t>Home</w:t>
      </w:r>
      <w:r w:rsidR="00D35301" w:rsidRPr="00DD6C8E">
        <w:t>-SP</w:t>
      </w:r>
      <w:r w:rsidR="00B77860">
        <w:t xml:space="preserve">, the </w:t>
      </w:r>
      <w:r w:rsidR="00B77860">
        <w:rPr>
          <w:rFonts w:eastAsia="Malgun Gothic"/>
        </w:rPr>
        <w:t xml:space="preserve">indication </w:t>
      </w:r>
      <w:r w:rsidR="00B77860" w:rsidRPr="005A160D">
        <w:rPr>
          <w:rFonts w:eastAsia="Malgun Gothic"/>
        </w:rPr>
        <w:t>that "access using credentials from a separate entity is supported"</w:t>
      </w:r>
      <w:r w:rsidR="00B77860">
        <w:rPr>
          <w:rFonts w:eastAsia="Malgun Gothic"/>
        </w:rPr>
        <w:t xml:space="preserve"> is needed</w:t>
      </w:r>
      <w:r w:rsidRPr="00DD6C8E">
        <w:t>.</w:t>
      </w:r>
    </w:p>
    <w:p w14:paraId="1C5764D3" w14:textId="364BD0EE" w:rsidR="00667905" w:rsidRPr="00DD6C8E" w:rsidRDefault="00E92117" w:rsidP="00667905">
      <w:pPr>
        <w:pStyle w:val="BodyText"/>
        <w:rPr>
          <w:lang w:val="en-US"/>
        </w:rPr>
      </w:pPr>
      <w:r w:rsidRPr="00DD6C8E">
        <w:t xml:space="preserve">For convenience, </w:t>
      </w:r>
      <w:r w:rsidR="006D632C" w:rsidRPr="00DD6C8E">
        <w:rPr>
          <w:lang w:val="en-US"/>
        </w:rPr>
        <w:t>a shortened name could be introduced for this indication, e.g.</w:t>
      </w:r>
    </w:p>
    <w:p w14:paraId="451AA426" w14:textId="2E7BA065" w:rsidR="003D5181" w:rsidRPr="005E203D" w:rsidRDefault="003D5181" w:rsidP="005E203D">
      <w:pPr>
        <w:pStyle w:val="ListParagraph"/>
        <w:numPr>
          <w:ilvl w:val="0"/>
          <w:numId w:val="42"/>
        </w:numPr>
        <w:overflowPunct/>
        <w:autoSpaceDE/>
        <w:autoSpaceDN/>
        <w:adjustRightInd/>
        <w:spacing w:line="259" w:lineRule="auto"/>
        <w:ind w:left="720"/>
        <w:contextualSpacing/>
        <w:textAlignment w:val="auto"/>
        <w:rPr>
          <w:rFonts w:ascii="Arial" w:hAnsi="Arial" w:cs="Arial"/>
          <w:sz w:val="20"/>
          <w:szCs w:val="20"/>
          <w:lang w:val="en-US" w:eastAsia="ja-JP"/>
        </w:rPr>
      </w:pPr>
      <w:bookmarkStart w:id="4" w:name="_Hlk59456058"/>
      <w:r w:rsidRPr="005E203D">
        <w:rPr>
          <w:rFonts w:ascii="Arial" w:hAnsi="Arial" w:cs="Arial"/>
          <w:b/>
          <w:bCs/>
          <w:i/>
          <w:sz w:val="20"/>
          <w:szCs w:val="20"/>
          <w:lang w:eastAsia="ja-JP"/>
        </w:rPr>
        <w:t>serviceProviderCredentialsSupport</w:t>
      </w:r>
      <w:r w:rsidR="00AB5018" w:rsidRPr="005E203D">
        <w:rPr>
          <w:rFonts w:ascii="Arial" w:hAnsi="Arial" w:cs="Arial"/>
          <w:b/>
          <w:bCs/>
          <w:i/>
          <w:sz w:val="20"/>
          <w:szCs w:val="20"/>
          <w:lang w:eastAsia="ja-JP"/>
        </w:rPr>
        <w:t xml:space="preserve"> </w:t>
      </w:r>
      <w:r w:rsidR="00AB5018" w:rsidRPr="005E203D">
        <w:rPr>
          <w:rFonts w:ascii="Arial" w:hAnsi="Arial" w:cs="Arial"/>
          <w:i/>
          <w:sz w:val="20"/>
          <w:szCs w:val="20"/>
          <w:lang w:eastAsia="ja-JP"/>
        </w:rPr>
        <w:t>(pending SA2 decision)</w:t>
      </w:r>
    </w:p>
    <w:bookmarkEnd w:id="4"/>
    <w:p w14:paraId="7B0D3797" w14:textId="77777777" w:rsidR="003D5181" w:rsidRDefault="003D5181" w:rsidP="00667905">
      <w:pPr>
        <w:pStyle w:val="BodyText"/>
      </w:pPr>
    </w:p>
    <w:p w14:paraId="571454A0" w14:textId="4BD5D905" w:rsidR="003D5181" w:rsidRDefault="003D5181" w:rsidP="003D5181">
      <w:pPr>
        <w:pStyle w:val="Heading3"/>
        <w:rPr>
          <w:rFonts w:eastAsia="Malgun Gothic"/>
          <w:color w:val="000000"/>
        </w:rPr>
      </w:pPr>
      <w:bookmarkStart w:id="5" w:name="_Ref59476819"/>
      <w:r>
        <w:rPr>
          <w:rFonts w:eastAsia="Malgun Gothic"/>
        </w:rPr>
        <w:t xml:space="preserve">2.2.2 </w:t>
      </w:r>
      <w:r>
        <w:rPr>
          <w:rFonts w:eastAsia="Malgun Gothic"/>
        </w:rPr>
        <w:tab/>
      </w:r>
      <w:r w:rsidR="004335F8">
        <w:rPr>
          <w:rFonts w:eastAsia="Malgun Gothic"/>
        </w:rPr>
        <w:t xml:space="preserve">Solution 2: </w:t>
      </w:r>
      <w:r w:rsidR="001A321B">
        <w:rPr>
          <w:rFonts w:eastAsia="Malgun Gothic"/>
        </w:rPr>
        <w:t>NAS list and b</w:t>
      </w:r>
      <w:r w:rsidR="004335F8">
        <w:rPr>
          <w:rFonts w:eastAsia="Malgun Gothic"/>
        </w:rPr>
        <w:t xml:space="preserve">roadcast </w:t>
      </w:r>
      <w:r w:rsidR="001A321B">
        <w:rPr>
          <w:rFonts w:eastAsia="Malgun Gothic"/>
        </w:rPr>
        <w:t xml:space="preserve">of </w:t>
      </w:r>
      <w:r>
        <w:rPr>
          <w:rFonts w:eastAsia="Malgun Gothic"/>
          <w:color w:val="000000"/>
        </w:rPr>
        <w:t>Supported</w:t>
      </w:r>
      <w:r w:rsidRPr="005A160D">
        <w:rPr>
          <w:rFonts w:eastAsia="Malgun Gothic"/>
          <w:color w:val="000000"/>
        </w:rPr>
        <w:t xml:space="preserve"> </w:t>
      </w:r>
      <w:r w:rsidR="00C2380B">
        <w:rPr>
          <w:rFonts w:eastAsia="Malgun Gothic"/>
          <w:color w:val="000000"/>
        </w:rPr>
        <w:t xml:space="preserve">Service Provider </w:t>
      </w:r>
      <w:r w:rsidRPr="005A160D">
        <w:rPr>
          <w:rFonts w:eastAsia="Malgun Gothic"/>
          <w:color w:val="000000"/>
        </w:rPr>
        <w:t>Group IDs (</w:t>
      </w:r>
      <w:r w:rsidR="001E51FC">
        <w:rPr>
          <w:rFonts w:eastAsia="Malgun Gothic"/>
          <w:color w:val="000000"/>
        </w:rPr>
        <w:t>SP-</w:t>
      </w:r>
      <w:r w:rsidRPr="005A160D">
        <w:rPr>
          <w:rFonts w:eastAsia="Malgun Gothic"/>
          <w:color w:val="000000"/>
        </w:rPr>
        <w:t>GIDs)</w:t>
      </w:r>
      <w:bookmarkEnd w:id="5"/>
    </w:p>
    <w:p w14:paraId="37BAFB15" w14:textId="72CA8B5C" w:rsidR="00F5132B" w:rsidRPr="005008AF" w:rsidRDefault="00F5132B" w:rsidP="00F871B4">
      <w:pPr>
        <w:pStyle w:val="BodyText"/>
      </w:pPr>
      <w:r w:rsidRPr="005008AF">
        <w:t xml:space="preserve">An alternative solution that was discussed in SA2 does not rely on the pre-configured </w:t>
      </w:r>
      <w:r w:rsidR="0081270A">
        <w:t>SNPN</w:t>
      </w:r>
      <w:r w:rsidR="00D5675D">
        <w:t xml:space="preserve"> </w:t>
      </w:r>
      <w:r w:rsidRPr="005008AF">
        <w:t xml:space="preserve">list </w:t>
      </w:r>
      <w:r w:rsidR="00D5675D">
        <w:t>in the UE:</w:t>
      </w:r>
    </w:p>
    <w:p w14:paraId="7E5529CA" w14:textId="1EF1B5A7" w:rsidR="00F5132B" w:rsidRPr="005008AF" w:rsidRDefault="00F5132B" w:rsidP="005008AF">
      <w:pPr>
        <w:pStyle w:val="BodyText"/>
      </w:pPr>
      <w:r w:rsidRPr="005008AF">
        <w:t xml:space="preserve">Instead, </w:t>
      </w:r>
      <w:r w:rsidR="0081270A">
        <w:t xml:space="preserve">the UE is pre-configured with a list of SP-GIDs and </w:t>
      </w:r>
      <w:r w:rsidRPr="005008AF">
        <w:t xml:space="preserve">the V-SNPN broadcasts </w:t>
      </w:r>
      <w:r w:rsidR="00C06D28" w:rsidRPr="005008AF">
        <w:t>the list of SP</w:t>
      </w:r>
      <w:r w:rsidR="0081270A">
        <w:t>-GID</w:t>
      </w:r>
      <w:r w:rsidR="00C06D28" w:rsidRPr="005008AF">
        <w:t xml:space="preserve">s for which it supports access using the credentials from </w:t>
      </w:r>
      <w:r w:rsidR="0081270A">
        <w:t>the</w:t>
      </w:r>
      <w:r w:rsidR="0081270A" w:rsidRPr="005008AF">
        <w:t xml:space="preserve"> </w:t>
      </w:r>
      <w:r w:rsidR="00C06D28" w:rsidRPr="005008AF">
        <w:t>SPs</w:t>
      </w:r>
      <w:r w:rsidR="0081270A">
        <w:t xml:space="preserve"> belonging to the SP Group</w:t>
      </w:r>
      <w:r w:rsidR="00C06D28" w:rsidRPr="005008AF">
        <w:t xml:space="preserve">. </w:t>
      </w:r>
      <w:r w:rsidR="009065BF">
        <w:t>I</w:t>
      </w:r>
      <w:r w:rsidR="00C06D28" w:rsidRPr="005008AF">
        <w:t>f the UE has a subscription to one of those SPs</w:t>
      </w:r>
      <w:r w:rsidR="002E1577" w:rsidRPr="005008AF">
        <w:t xml:space="preserve"> and </w:t>
      </w:r>
      <w:r w:rsidR="0081270A">
        <w:t>finds a match of the SP-GID</w:t>
      </w:r>
      <w:r w:rsidR="002E1577" w:rsidRPr="005008AF">
        <w:t xml:space="preserve"> in its pre-configuration</w:t>
      </w:r>
      <w:r w:rsidR="00C06D28" w:rsidRPr="005008AF">
        <w:t>, it knows that it can start the registration procedure to that SP</w:t>
      </w:r>
      <w:r w:rsidR="00D5675D">
        <w:t xml:space="preserve"> via the V-SNPN</w:t>
      </w:r>
      <w:r w:rsidR="00C06D28" w:rsidRPr="005008AF">
        <w:t>.</w:t>
      </w:r>
      <w:r w:rsidR="002E1577" w:rsidRPr="005008AF">
        <w:t xml:space="preserve"> </w:t>
      </w:r>
    </w:p>
    <w:p w14:paraId="66A7D4F8" w14:textId="6F6BE76D" w:rsidR="00321B24" w:rsidRDefault="00321B24" w:rsidP="00D12DFA">
      <w:pPr>
        <w:pStyle w:val="Caption"/>
      </w:pPr>
      <w:r>
        <w:t>Background on the introduction of SP-GIDs to cover individual (Home-)SP-IDs</w:t>
      </w:r>
    </w:p>
    <w:p w14:paraId="0592B9B7" w14:textId="39D29D50" w:rsidR="001E16C8" w:rsidRPr="00744EAB" w:rsidRDefault="00F871B4" w:rsidP="005008AF">
      <w:pPr>
        <w:pStyle w:val="BodyText"/>
      </w:pPr>
      <w:r>
        <w:t xml:space="preserve">If </w:t>
      </w:r>
      <w:r w:rsidR="009E5898">
        <w:t>the</w:t>
      </w:r>
      <w:r>
        <w:t xml:space="preserve"> </w:t>
      </w:r>
      <w:r w:rsidR="009E5898">
        <w:t>V-</w:t>
      </w:r>
      <w:r>
        <w:t xml:space="preserve">SNPN operator has an agreement with many service providers, </w:t>
      </w:r>
      <w:r w:rsidR="00AC42C4">
        <w:t xml:space="preserve">the </w:t>
      </w:r>
      <w:r w:rsidR="009065BF">
        <w:t>number</w:t>
      </w:r>
      <w:r w:rsidR="00AA1463">
        <w:t xml:space="preserve"> of </w:t>
      </w:r>
      <w:r w:rsidR="00F76A2F">
        <w:t>supported</w:t>
      </w:r>
      <w:r w:rsidR="00863C6D">
        <w:t xml:space="preserve"> </w:t>
      </w:r>
      <w:r w:rsidR="00193FEB">
        <w:t>SPs</w:t>
      </w:r>
      <w:r w:rsidR="00896298">
        <w:t xml:space="preserve"> can be large</w:t>
      </w:r>
      <w:r w:rsidR="00510AF9">
        <w:t>. As a result,</w:t>
      </w:r>
      <w:r>
        <w:t xml:space="preserve"> the list of broadcasted </w:t>
      </w:r>
      <w:proofErr w:type="gramStart"/>
      <w:r>
        <w:t>SP</w:t>
      </w:r>
      <w:proofErr w:type="gramEnd"/>
      <w:r>
        <w:t xml:space="preserve"> IDs would become very long, resulting in </w:t>
      </w:r>
      <w:r w:rsidR="005008AF">
        <w:t>huge broadcasting overhead for delay-tolerant broadcast information</w:t>
      </w:r>
      <w:r w:rsidR="00896298">
        <w:t xml:space="preserve">. </w:t>
      </w:r>
      <w:r w:rsidR="005008AF">
        <w:t xml:space="preserve">Therefore, TR 23.700-07 </w:t>
      </w:r>
      <w:r w:rsidR="00510AF9">
        <w:t xml:space="preserve">[2] </w:t>
      </w:r>
      <w:r w:rsidR="005008AF">
        <w:t xml:space="preserve">proposes the use of </w:t>
      </w:r>
      <w:r w:rsidR="000E357F">
        <w:t xml:space="preserve">supported </w:t>
      </w:r>
      <w:r w:rsidR="005008AF">
        <w:t>Group IDs</w:t>
      </w:r>
      <w:r w:rsidR="002B47CD">
        <w:t xml:space="preserve"> (GIDs)</w:t>
      </w:r>
      <w:r w:rsidR="005008AF">
        <w:t>,</w:t>
      </w:r>
      <w:r w:rsidR="00763B0C">
        <w:t xml:space="preserve"> </w:t>
      </w:r>
      <w:r w:rsidR="002B47CD">
        <w:t xml:space="preserve">also referred to as </w:t>
      </w:r>
      <w:r w:rsidR="00416D18">
        <w:t xml:space="preserve">Home-SP </w:t>
      </w:r>
      <w:r w:rsidR="002B47CD">
        <w:t>G</w:t>
      </w:r>
      <w:r w:rsidR="00416D18">
        <w:t>IDs</w:t>
      </w:r>
      <w:r w:rsidR="002B47CD">
        <w:t>, or SP</w:t>
      </w:r>
      <w:r w:rsidR="00E02214">
        <w:t>-</w:t>
      </w:r>
      <w:r w:rsidR="002B47CD">
        <w:t>GIDs,</w:t>
      </w:r>
      <w:r w:rsidR="00416D18">
        <w:t xml:space="preserve"> </w:t>
      </w:r>
      <w:r w:rsidR="00A807DF">
        <w:t xml:space="preserve">that </w:t>
      </w:r>
      <w:r w:rsidR="00C84879">
        <w:t>cover</w:t>
      </w:r>
      <w:r w:rsidR="00A807DF">
        <w:t xml:space="preserve"> </w:t>
      </w:r>
      <w:r w:rsidR="00C64ACB">
        <w:t>related</w:t>
      </w:r>
      <w:r w:rsidR="00A807DF">
        <w:t xml:space="preserve"> </w:t>
      </w:r>
      <w:r w:rsidR="00C64ACB">
        <w:t>SPs</w:t>
      </w:r>
      <w:r w:rsidR="00673D05">
        <w:t xml:space="preserve"> belong</w:t>
      </w:r>
      <w:r w:rsidR="007D4381">
        <w:t>ing</w:t>
      </w:r>
      <w:r w:rsidR="00673D05">
        <w:t xml:space="preserve"> to the same Home SP group,</w:t>
      </w:r>
      <w:r w:rsidR="0009041B">
        <w:t xml:space="preserve"> to reduce the overhead.</w:t>
      </w:r>
      <w:r w:rsidR="001C0DC8">
        <w:t xml:space="preserve"> </w:t>
      </w:r>
      <w:r w:rsidR="00744EAB">
        <w:t xml:space="preserve">Such a grouping is also illustrated in </w:t>
      </w:r>
      <w:r w:rsidR="00744EAB">
        <w:fldChar w:fldCharType="begin"/>
      </w:r>
      <w:r w:rsidR="00744EAB">
        <w:instrText xml:space="preserve"> REF _Ref59438301 \h </w:instrText>
      </w:r>
      <w:r w:rsidR="00744EAB">
        <w:fldChar w:fldCharType="separate"/>
      </w:r>
      <w:r w:rsidR="00744EAB">
        <w:t xml:space="preserve">Figure </w:t>
      </w:r>
      <w:r w:rsidR="00744EAB">
        <w:rPr>
          <w:noProof/>
        </w:rPr>
        <w:t>1</w:t>
      </w:r>
      <w:r w:rsidR="00744EAB">
        <w:fldChar w:fldCharType="end"/>
      </w:r>
      <w:r w:rsidR="00744EAB">
        <w:t xml:space="preserve">, where SP-B and SP-C are grouped </w:t>
      </w:r>
      <w:r w:rsidR="00B60D35">
        <w:t>within</w:t>
      </w:r>
      <w:r w:rsidR="00744EAB">
        <w:t xml:space="preserve"> </w:t>
      </w:r>
      <w:r w:rsidR="00F70880">
        <w:t xml:space="preserve">the </w:t>
      </w:r>
      <w:r w:rsidR="00744EAB">
        <w:t>SP-GID-Z.</w:t>
      </w:r>
    </w:p>
    <w:p w14:paraId="5F55F517" w14:textId="7D8CA91D" w:rsidR="00E02214" w:rsidRPr="004B01D7" w:rsidRDefault="00E02214" w:rsidP="00F41CC9">
      <w:pPr>
        <w:pStyle w:val="BodyText"/>
        <w:rPr>
          <w:lang w:eastAsia="ja-JP"/>
        </w:rPr>
      </w:pPr>
      <w:r>
        <w:rPr>
          <w:rFonts w:eastAsia="PMingLiU"/>
        </w:rPr>
        <w:t>The SP-GID would reuse the</w:t>
      </w:r>
      <w:r w:rsidRPr="000168B8">
        <w:rPr>
          <w:rFonts w:ascii="Times New Roman" w:eastAsia="PMingLiU" w:hAnsi="Times New Roman"/>
          <w:lang w:val="en-US" w:eastAsia="zh-TW"/>
        </w:rPr>
        <w:t xml:space="preserve"> </w:t>
      </w:r>
      <w:r w:rsidRPr="000168B8">
        <w:rPr>
          <w:rFonts w:eastAsia="PMingLiU" w:cs="Arial"/>
          <w:lang w:eastAsia="zh-TW"/>
        </w:rPr>
        <w:t xml:space="preserve">SNPN ID </w:t>
      </w:r>
      <w:r w:rsidRPr="000168B8">
        <w:rPr>
          <w:rFonts w:eastAsia="PMingLiU" w:cs="Arial"/>
        </w:rPr>
        <w:t>e</w:t>
      </w:r>
      <w:r w:rsidRPr="000168B8">
        <w:rPr>
          <w:rFonts w:eastAsia="PMingLiU"/>
        </w:rPr>
        <w:t>ncoding</w:t>
      </w:r>
      <w:r>
        <w:rPr>
          <w:rFonts w:eastAsia="PMingLiU"/>
        </w:rPr>
        <w:t xml:space="preserve"> </w:t>
      </w:r>
      <w:r>
        <w:rPr>
          <w:lang w:val="en-US" w:eastAsia="ja-JP"/>
        </w:rPr>
        <w:t xml:space="preserve">as concluded in </w:t>
      </w:r>
      <w:r w:rsidRPr="001E16C8">
        <w:rPr>
          <w:lang w:val="en-US" w:eastAsia="ja-JP"/>
        </w:rPr>
        <w:t>8.1.4</w:t>
      </w:r>
      <w:r>
        <w:rPr>
          <w:lang w:eastAsia="ja-JP"/>
        </w:rPr>
        <w:t xml:space="preserve"> in </w:t>
      </w:r>
      <w:r>
        <w:t>TR 23.700-07 [2].</w:t>
      </w:r>
    </w:p>
    <w:p w14:paraId="77648A31" w14:textId="5FE9D124" w:rsidR="00BA7BDB" w:rsidRDefault="0009041B" w:rsidP="005008AF">
      <w:pPr>
        <w:pStyle w:val="BodyText"/>
      </w:pPr>
      <w:r>
        <w:t xml:space="preserve">Examples </w:t>
      </w:r>
      <w:r w:rsidR="00476AB6">
        <w:t xml:space="preserve">for grouping the SPs </w:t>
      </w:r>
      <w:r>
        <w:t>are mentioned in</w:t>
      </w:r>
      <w:r w:rsidR="00244273">
        <w:t xml:space="preserve"> [2]</w:t>
      </w:r>
      <w:r w:rsidR="00C64ACB">
        <w:t xml:space="preserve"> </w:t>
      </w:r>
      <w:r>
        <w:t>include</w:t>
      </w:r>
      <w:r w:rsidR="00E2532B">
        <w:t xml:space="preserve"> </w:t>
      </w:r>
      <w:r w:rsidR="00C64ACB">
        <w:t xml:space="preserve">e.g. </w:t>
      </w:r>
    </w:p>
    <w:p w14:paraId="6E522108" w14:textId="6A7A4776" w:rsidR="00BA7BDB" w:rsidRDefault="00143718" w:rsidP="004B01D7">
      <w:pPr>
        <w:pStyle w:val="BodyText"/>
        <w:numPr>
          <w:ilvl w:val="0"/>
          <w:numId w:val="31"/>
        </w:numPr>
      </w:pPr>
      <w:r>
        <w:t xml:space="preserve">national </w:t>
      </w:r>
      <w:r w:rsidR="00244273">
        <w:t>operating companies of a multi-national operator</w:t>
      </w:r>
      <w:r w:rsidR="00931C17">
        <w:t xml:space="preserve"> or </w:t>
      </w:r>
    </w:p>
    <w:p w14:paraId="4FC32D65" w14:textId="657A1FDE" w:rsidR="00EF0FD6" w:rsidRPr="004B01D7" w:rsidRDefault="00931C17" w:rsidP="004B01D7">
      <w:pPr>
        <w:pStyle w:val="BodyText"/>
        <w:numPr>
          <w:ilvl w:val="0"/>
          <w:numId w:val="31"/>
        </w:numPr>
        <w:rPr>
          <w:lang w:val="en-US"/>
        </w:rPr>
      </w:pPr>
      <w:r>
        <w:t xml:space="preserve">Home SPs that are connected to an interconnection provider. </w:t>
      </w:r>
      <w:r w:rsidR="00BA7BDB">
        <w:br/>
        <w:t xml:space="preserve">Mobile operators typically only have direct agreements with larger partner networks and use the service of an entity providing interconnection to smaller networks to avoid the need for bilateral agreements with </w:t>
      </w:r>
      <w:proofErr w:type="gramStart"/>
      <w:r w:rsidR="00BA7BDB">
        <w:t>a large number of</w:t>
      </w:r>
      <w:proofErr w:type="gramEnd"/>
      <w:r w:rsidR="00BA7BDB">
        <w:t xml:space="preserve"> small networks.</w:t>
      </w:r>
    </w:p>
    <w:p w14:paraId="55F588DC" w14:textId="28A1416D" w:rsidR="00FD5181" w:rsidRDefault="000960CD" w:rsidP="00A80671">
      <w:pPr>
        <w:pStyle w:val="BodyText"/>
      </w:pPr>
      <w:bookmarkStart w:id="6" w:name="_Hlk61423046"/>
      <w:bookmarkStart w:id="7" w:name="_Hlk61423691"/>
      <w:r w:rsidRPr="00E2451C">
        <w:t xml:space="preserve">The mobile operator </w:t>
      </w:r>
      <w:r w:rsidR="009E5898">
        <w:t xml:space="preserve">providing access via an SNPN </w:t>
      </w:r>
      <w:r w:rsidRPr="00E2451C">
        <w:t>may therefore only maintain the SP</w:t>
      </w:r>
      <w:r w:rsidR="00E93090">
        <w:t>-G</w:t>
      </w:r>
      <w:r w:rsidRPr="00E2451C">
        <w:t xml:space="preserve">ID of the interconnection </w:t>
      </w:r>
      <w:r w:rsidR="001F1FCC" w:rsidRPr="00E2451C">
        <w:t>provider but</w:t>
      </w:r>
      <w:r w:rsidRPr="00E2451C">
        <w:t xml:space="preserve"> </w:t>
      </w:r>
      <w:r w:rsidR="00934CC9">
        <w:t xml:space="preserve">would then </w:t>
      </w:r>
      <w:r w:rsidRPr="00E2451C">
        <w:t xml:space="preserve">not </w:t>
      </w:r>
      <w:r w:rsidR="009E5898">
        <w:t>maintain a potentially large number of</w:t>
      </w:r>
      <w:r w:rsidRPr="00E2451C">
        <w:t xml:space="preserve"> SNPN IDs of small partner networks </w:t>
      </w:r>
      <w:r w:rsidR="009E5898">
        <w:t>(</w:t>
      </w:r>
      <w:r w:rsidRPr="00E2451C">
        <w:t xml:space="preserve">which are </w:t>
      </w:r>
      <w:r w:rsidR="009E5898">
        <w:t xml:space="preserve">instead </w:t>
      </w:r>
      <w:r w:rsidRPr="00E2451C">
        <w:t>connected to the interconnection provider</w:t>
      </w:r>
      <w:r w:rsidR="009E5898">
        <w:t>)</w:t>
      </w:r>
      <w:r w:rsidRPr="00E2451C">
        <w:t>.</w:t>
      </w:r>
      <w:r w:rsidR="001E16C8" w:rsidRPr="00E2451C">
        <w:t xml:space="preserve"> As a consequence, the UEs which hold a subscription to the mobile operator would not be configured </w:t>
      </w:r>
      <w:proofErr w:type="gramStart"/>
      <w:r w:rsidR="001E16C8" w:rsidRPr="00E2451C">
        <w:t>with  SNPN</w:t>
      </w:r>
      <w:proofErr w:type="gramEnd"/>
      <w:r w:rsidR="001E16C8" w:rsidRPr="00E2451C">
        <w:t xml:space="preserve"> ID</w:t>
      </w:r>
      <w:r w:rsidR="009E5898">
        <w:t>(</w:t>
      </w:r>
      <w:r w:rsidR="00487BAB">
        <w:t>s</w:t>
      </w:r>
      <w:r w:rsidR="009E5898">
        <w:t>)</w:t>
      </w:r>
      <w:r w:rsidR="001E16C8" w:rsidRPr="00E2451C">
        <w:t xml:space="preserve">  but only with the</w:t>
      </w:r>
      <w:r w:rsidR="008F1C2B">
        <w:t xml:space="preserve"> SP-GID</w:t>
      </w:r>
      <w:r w:rsidR="001E16C8" w:rsidRPr="00E2451C">
        <w:t xml:space="preserve"> of the interconnection provider.</w:t>
      </w:r>
      <w:bookmarkEnd w:id="6"/>
    </w:p>
    <w:bookmarkEnd w:id="7"/>
    <w:p w14:paraId="0FC3A57D" w14:textId="6D5F23A6" w:rsidR="00495368" w:rsidRDefault="0031469C" w:rsidP="00495368">
      <w:pPr>
        <w:pStyle w:val="BodyText"/>
      </w:pPr>
      <w:r>
        <w:rPr>
          <w:noProof/>
        </w:rPr>
        <w:lastRenderedPageBreak/>
        <mc:AlternateContent>
          <mc:Choice Requires="wps">
            <w:drawing>
              <wp:anchor distT="45720" distB="45720" distL="114300" distR="114300" simplePos="0" relativeHeight="251658242" behindDoc="0" locked="0" layoutInCell="1" allowOverlap="1" wp14:anchorId="38680EB0" wp14:editId="61E30B4C">
                <wp:simplePos x="0" y="0"/>
                <wp:positionH relativeFrom="margin">
                  <wp:align>right</wp:align>
                </wp:positionH>
                <wp:positionV relativeFrom="paragraph">
                  <wp:posOffset>665480</wp:posOffset>
                </wp:positionV>
                <wp:extent cx="6101715" cy="1165860"/>
                <wp:effectExtent l="0" t="0" r="1333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166446"/>
                        </a:xfrm>
                        <a:prstGeom prst="rect">
                          <a:avLst/>
                        </a:prstGeom>
                        <a:solidFill>
                          <a:srgbClr val="FFFFFF"/>
                        </a:solidFill>
                        <a:ln w="9525">
                          <a:solidFill>
                            <a:srgbClr val="000000"/>
                          </a:solidFill>
                          <a:miter lim="800000"/>
                          <a:headEnd/>
                          <a:tailEnd/>
                        </a:ln>
                      </wps:spPr>
                      <wps:txbx>
                        <w:txbxContent>
                          <w:p w14:paraId="3D5A5643" w14:textId="77777777" w:rsidR="00464CE2" w:rsidRDefault="00464CE2" w:rsidP="0031469C">
                            <w:pPr>
                              <w:numPr>
                                <w:ilvl w:val="0"/>
                                <w:numId w:val="45"/>
                              </w:numPr>
                              <w:spacing w:afterLines="50" w:after="120"/>
                              <w:jc w:val="both"/>
                              <w:rPr>
                                <w:lang w:eastAsia="zh-CN"/>
                              </w:rPr>
                            </w:pPr>
                            <w:r>
                              <w:t>S</w:t>
                            </w:r>
                            <w:r w:rsidRPr="001636D0">
                              <w:t xml:space="preserve">tudy use cases </w:t>
                            </w:r>
                            <w:r>
                              <w:t>for enhanced 5G system support of</w:t>
                            </w:r>
                            <w:r w:rsidRPr="000C6F7C">
                              <w:t xml:space="preserve"> a </w:t>
                            </w:r>
                            <w:r>
                              <w:t>hosting</w:t>
                            </w:r>
                            <w:r w:rsidRPr="000C6F7C">
                              <w:t xml:space="preserve"> network </w:t>
                            </w:r>
                            <w:r w:rsidRPr="005F144D">
                              <w:t>provid</w:t>
                            </w:r>
                            <w:r>
                              <w:t>ing</w:t>
                            </w:r>
                            <w:r w:rsidRPr="005F144D">
                              <w:t xml:space="preserve"> users/devices access to specific</w:t>
                            </w:r>
                            <w:r>
                              <w:t xml:space="preserve"> </w:t>
                            </w:r>
                            <w:r w:rsidRPr="000C6F7C">
                              <w:t>services</w:t>
                            </w:r>
                            <w:r>
                              <w:t xml:space="preserve">, offered by the hosting network operator, other mobile </w:t>
                            </w:r>
                            <w:r w:rsidRPr="000C6F7C">
                              <w:t>operator</w:t>
                            </w:r>
                            <w:r>
                              <w:t>(s) or 3</w:t>
                            </w:r>
                            <w:r w:rsidRPr="00893CCC">
                              <w:rPr>
                                <w:vertAlign w:val="superscript"/>
                              </w:rPr>
                              <w:t>rd</w:t>
                            </w:r>
                            <w:r>
                              <w:t xml:space="preserve"> party </w:t>
                            </w:r>
                            <w:r w:rsidRPr="000C6F7C">
                              <w:t>provider</w:t>
                            </w:r>
                            <w:r>
                              <w:t>(s). Including scenarios where:</w:t>
                            </w:r>
                          </w:p>
                          <w:p w14:paraId="4DAC18F6" w14:textId="77777777" w:rsidR="00464CE2" w:rsidRDefault="00464CE2" w:rsidP="0031469C">
                            <w:pPr>
                              <w:numPr>
                                <w:ilvl w:val="1"/>
                                <w:numId w:val="45"/>
                              </w:numPr>
                              <w:spacing w:afterLines="50" w:after="120"/>
                              <w:jc w:val="both"/>
                              <w:rPr>
                                <w:lang w:eastAsia="zh-CN"/>
                              </w:rPr>
                            </w:pPr>
                            <w:r>
                              <w:rPr>
                                <w:lang w:eastAsia="zh-CN"/>
                              </w:rPr>
                              <w:t>[…]</w:t>
                            </w:r>
                          </w:p>
                          <w:p w14:paraId="5E46804A" w14:textId="77777777" w:rsidR="00464CE2" w:rsidRDefault="00464CE2" w:rsidP="0031469C">
                            <w:pPr>
                              <w:numPr>
                                <w:ilvl w:val="1"/>
                                <w:numId w:val="45"/>
                              </w:numPr>
                              <w:spacing w:afterLines="50" w:after="120"/>
                              <w:jc w:val="both"/>
                              <w:rPr>
                                <w:lang w:eastAsia="zh-CN"/>
                              </w:rPr>
                            </w:pPr>
                            <w:r w:rsidRPr="00211FD0">
                              <w:t xml:space="preserve">The </w:t>
                            </w:r>
                            <w:r>
                              <w:t>operator of the hosting</w:t>
                            </w:r>
                            <w:r w:rsidRPr="00211FD0">
                              <w:t xml:space="preserve"> network</w:t>
                            </w:r>
                            <w:r>
                              <w:t>, or other mobile operator offering services to users, can be</w:t>
                            </w:r>
                            <w:r w:rsidRPr="00211FD0">
                              <w:t xml:space="preserve"> a PLMN or </w:t>
                            </w:r>
                            <w:r w:rsidRPr="001F1FCC">
                              <w:t>NPN operator</w:t>
                            </w:r>
                            <w:r>
                              <w:t>;</w:t>
                            </w:r>
                          </w:p>
                          <w:p w14:paraId="50F02692" w14:textId="2B32224B" w:rsidR="00464CE2" w:rsidRDefault="00464C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80EB0" id="_x0000_s1029" type="#_x0000_t202" style="position:absolute;left:0;text-align:left;margin-left:429.25pt;margin-top:52.4pt;width:480.45pt;height:91.8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">
                <v:textbox>
                  <w:txbxContent>
                    <w:p w14:paraId="3D5A5643" w14:textId="77777777" w:rsidR="00464CE2" w:rsidRDefault="00464CE2" w:rsidP="0031469C">
                      <w:pPr>
                        <w:numPr>
                          <w:ilvl w:val="0"/>
                          <w:numId w:val="45"/>
                        </w:numPr>
                        <w:spacing w:afterLines="50" w:after="120"/>
                        <w:jc w:val="both"/>
                        <w:rPr>
                          <w:lang w:eastAsia="zh-CN"/>
                        </w:rPr>
                      </w:pPr>
                      <w:r>
                        <w:t>S</w:t>
                      </w:r>
                      <w:r w:rsidRPr="001636D0">
                        <w:t xml:space="preserve">tudy use cases </w:t>
                      </w:r>
                      <w:r>
                        <w:t>for enhanced 5G system support of</w:t>
                      </w:r>
                      <w:r w:rsidRPr="000C6F7C">
                        <w:t xml:space="preserve"> a </w:t>
                      </w:r>
                      <w:r>
                        <w:t>hosting</w:t>
                      </w:r>
                      <w:r w:rsidRPr="000C6F7C">
                        <w:t xml:space="preserve"> network </w:t>
                      </w:r>
                      <w:r w:rsidRPr="005F144D">
                        <w:t>provid</w:t>
                      </w:r>
                      <w:r>
                        <w:t>ing</w:t>
                      </w:r>
                      <w:r w:rsidRPr="005F144D">
                        <w:t xml:space="preserve"> users/devices access to specific</w:t>
                      </w:r>
                      <w:r>
                        <w:t xml:space="preserve"> </w:t>
                      </w:r>
                      <w:r w:rsidRPr="000C6F7C">
                        <w:t>services</w:t>
                      </w:r>
                      <w:r>
                        <w:t xml:space="preserve">, offered by the hosting network operator, other mobile </w:t>
                      </w:r>
                      <w:r w:rsidRPr="000C6F7C">
                        <w:t>operator</w:t>
                      </w:r>
                      <w:r>
                        <w:t>(s) or 3</w:t>
                      </w:r>
                      <w:r w:rsidRPr="00893CCC">
                        <w:rPr>
                          <w:vertAlign w:val="superscript"/>
                        </w:rPr>
                        <w:t>rd</w:t>
                      </w:r>
                      <w:r>
                        <w:t xml:space="preserve"> party </w:t>
                      </w:r>
                      <w:r w:rsidRPr="000C6F7C">
                        <w:t>provider</w:t>
                      </w:r>
                      <w:r>
                        <w:t>(s). Including scenarios where:</w:t>
                      </w:r>
                    </w:p>
                    <w:p w14:paraId="4DAC18F6" w14:textId="77777777" w:rsidR="00464CE2" w:rsidRDefault="00464CE2" w:rsidP="0031469C">
                      <w:pPr>
                        <w:numPr>
                          <w:ilvl w:val="1"/>
                          <w:numId w:val="45"/>
                        </w:numPr>
                        <w:spacing w:afterLines="50" w:after="120"/>
                        <w:jc w:val="both"/>
                        <w:rPr>
                          <w:lang w:eastAsia="zh-CN"/>
                        </w:rPr>
                      </w:pPr>
                      <w:r>
                        <w:rPr>
                          <w:lang w:eastAsia="zh-CN"/>
                        </w:rPr>
                        <w:t>[…]</w:t>
                      </w:r>
                    </w:p>
                    <w:p w14:paraId="5E46804A" w14:textId="77777777" w:rsidR="00464CE2" w:rsidRDefault="00464CE2" w:rsidP="0031469C">
                      <w:pPr>
                        <w:numPr>
                          <w:ilvl w:val="1"/>
                          <w:numId w:val="45"/>
                        </w:numPr>
                        <w:spacing w:afterLines="50" w:after="120"/>
                        <w:jc w:val="both"/>
                        <w:rPr>
                          <w:lang w:eastAsia="zh-CN"/>
                        </w:rPr>
                      </w:pPr>
                      <w:r w:rsidRPr="00211FD0">
                        <w:t xml:space="preserve">The </w:t>
                      </w:r>
                      <w:r>
                        <w:t>operator of the hosting</w:t>
                      </w:r>
                      <w:r w:rsidRPr="00211FD0">
                        <w:t xml:space="preserve"> network</w:t>
                      </w:r>
                      <w:r>
                        <w:t>, or other mobile operator offering services to users, can be</w:t>
                      </w:r>
                      <w:r w:rsidRPr="00211FD0">
                        <w:t xml:space="preserve"> a PLMN or </w:t>
                      </w:r>
                      <w:r w:rsidRPr="001F1FCC">
                        <w:t>NPN operator</w:t>
                      </w:r>
                      <w:r>
                        <w:t>;</w:t>
                      </w:r>
                    </w:p>
                    <w:p w14:paraId="50F02692" w14:textId="2B32224B" w:rsidR="00464CE2" w:rsidRDefault="00464CE2"/>
                  </w:txbxContent>
                </v:textbox>
                <w10:wrap type="square" anchorx="margin"/>
              </v:shape>
            </w:pict>
          </mc:Fallback>
        </mc:AlternateContent>
      </w:r>
      <w:r w:rsidR="00495368">
        <w:t xml:space="preserve">For multi-national operators, the pre-configuration of a UE with the </w:t>
      </w:r>
      <w:r w:rsidR="000670D0">
        <w:t>(V-)</w:t>
      </w:r>
      <w:r w:rsidR="003E3981">
        <w:t xml:space="preserve">SNPN IDs </w:t>
      </w:r>
      <w:r w:rsidR="00495368">
        <w:t xml:space="preserve">for each </w:t>
      </w:r>
      <w:r w:rsidR="0072352A">
        <w:t>country</w:t>
      </w:r>
      <w:r w:rsidR="00495368">
        <w:t xml:space="preserve"> should be a simple </w:t>
      </w:r>
      <w:r w:rsidR="00A532F7">
        <w:t>step</w:t>
      </w:r>
      <w:r w:rsidR="00495368">
        <w:t>, while the use case with interconnection providers assume a huge number of small localized networks. Such kind of networks are currently being discussed as part of the Rel-18 SA1 study on “5G Networks Providing Access to Localized Services”, see</w:t>
      </w:r>
      <w:r w:rsidR="00EC48B1">
        <w:t xml:space="preserve"> </w:t>
      </w:r>
      <w:r w:rsidR="00EC48B1">
        <w:rPr>
          <w:noProof/>
        </w:rPr>
        <w:t>SP-200799</w:t>
      </w:r>
      <w:r w:rsidR="00495368">
        <w:t xml:space="preserve"> </w:t>
      </w:r>
      <w:r w:rsidR="00495368">
        <w:rPr>
          <w:color w:val="FF0000"/>
        </w:rPr>
        <w:fldChar w:fldCharType="begin"/>
      </w:r>
      <w:r w:rsidR="00495368">
        <w:instrText xml:space="preserve"> REF _Ref60124889 \r \h </w:instrText>
      </w:r>
      <w:r w:rsidR="00495368">
        <w:rPr>
          <w:color w:val="FF0000"/>
        </w:rPr>
      </w:r>
      <w:r w:rsidR="00495368">
        <w:rPr>
          <w:color w:val="FF0000"/>
        </w:rPr>
        <w:fldChar w:fldCharType="separate"/>
      </w:r>
      <w:r w:rsidR="00495368">
        <w:t>[4]</w:t>
      </w:r>
      <w:r w:rsidR="00495368">
        <w:rPr>
          <w:color w:val="FF0000"/>
        </w:rPr>
        <w:fldChar w:fldCharType="end"/>
      </w:r>
      <w:r w:rsidR="00495368" w:rsidRPr="00985D07">
        <w:t>:</w:t>
      </w:r>
    </w:p>
    <w:p w14:paraId="1F29E495" w14:textId="77777777" w:rsidR="0031469C" w:rsidRDefault="0031469C" w:rsidP="00495368">
      <w:pPr>
        <w:pStyle w:val="BodyText"/>
      </w:pPr>
    </w:p>
    <w:p w14:paraId="15CBB16F" w14:textId="57F5E097" w:rsidR="00495368" w:rsidRDefault="00495368" w:rsidP="00495368">
      <w:pPr>
        <w:pStyle w:val="BodyText"/>
      </w:pPr>
      <w:r>
        <w:t xml:space="preserve">In the resulting TR </w:t>
      </w:r>
      <w:r w:rsidR="0015529E" w:rsidRPr="006F5BA2">
        <w:t>22.844</w:t>
      </w:r>
      <w:r w:rsidR="0015529E">
        <w:t xml:space="preserve"> </w:t>
      </w:r>
      <w:r>
        <w:t xml:space="preserve">draft reflected in </w:t>
      </w:r>
      <w:r w:rsidRPr="00153116">
        <w:t>S1-204349</w:t>
      </w:r>
      <w:r>
        <w:t xml:space="preserve"> </w:t>
      </w:r>
      <w:r>
        <w:fldChar w:fldCharType="begin"/>
      </w:r>
      <w:r>
        <w:instrText xml:space="preserve"> REF _Ref60125985 \r \h </w:instrText>
      </w:r>
      <w:r>
        <w:fldChar w:fldCharType="separate"/>
      </w:r>
      <w:r>
        <w:t>[5]</w:t>
      </w:r>
      <w:r>
        <w:fldChar w:fldCharType="end"/>
      </w:r>
      <w:r>
        <w:t>, relevant use cases for optimizing the external service provider use case are for</w:t>
      </w:r>
    </w:p>
    <w:p w14:paraId="4262A739" w14:textId="77777777" w:rsidR="00495368" w:rsidRDefault="00495368" w:rsidP="00495368">
      <w:pPr>
        <w:pStyle w:val="BodyText"/>
        <w:numPr>
          <w:ilvl w:val="0"/>
          <w:numId w:val="26"/>
        </w:numPr>
      </w:pPr>
      <w:r>
        <w:t>Roaming services (clause 5.2)</w:t>
      </w:r>
    </w:p>
    <w:p w14:paraId="5DB5FC83" w14:textId="77777777" w:rsidR="00495368" w:rsidRPr="00966DE8" w:rsidRDefault="00495368" w:rsidP="00495368">
      <w:pPr>
        <w:pStyle w:val="BodyText"/>
        <w:numPr>
          <w:ilvl w:val="0"/>
          <w:numId w:val="26"/>
        </w:numPr>
        <w:rPr>
          <w:rFonts w:eastAsia="SimSun"/>
          <w:lang w:eastAsia="en-GB"/>
        </w:rPr>
      </w:pPr>
      <w:r w:rsidRPr="00951A86">
        <w:rPr>
          <w:rFonts w:eastAsia="SimSun"/>
          <w:lang w:eastAsia="en-GB"/>
        </w:rPr>
        <w:t>UEs using home network services via hosting networks</w:t>
      </w:r>
      <w:r>
        <w:rPr>
          <w:rFonts w:eastAsia="SimSun"/>
          <w:lang w:eastAsia="en-GB"/>
        </w:rPr>
        <w:t xml:space="preserve"> (clause 5.3)</w:t>
      </w:r>
    </w:p>
    <w:p w14:paraId="29A52062" w14:textId="77777777" w:rsidR="00495368" w:rsidRPr="00966DE8" w:rsidRDefault="00495368" w:rsidP="00495368">
      <w:pPr>
        <w:pStyle w:val="BodyText"/>
        <w:numPr>
          <w:ilvl w:val="0"/>
          <w:numId w:val="26"/>
        </w:numPr>
        <w:rPr>
          <w:rFonts w:eastAsia="SimSun"/>
          <w:lang w:eastAsia="en-GB"/>
        </w:rPr>
      </w:pPr>
      <w:r>
        <w:rPr>
          <w:rFonts w:eastAsia="SimSun"/>
          <w:lang w:eastAsia="en-GB"/>
        </w:rPr>
        <w:t>(e)sports events at a venue</w:t>
      </w:r>
    </w:p>
    <w:p w14:paraId="3ED80D91" w14:textId="77777777" w:rsidR="00495368" w:rsidRDefault="00495368" w:rsidP="00495368">
      <w:pPr>
        <w:pStyle w:val="BodyText"/>
        <w:numPr>
          <w:ilvl w:val="1"/>
          <w:numId w:val="26"/>
        </w:numPr>
      </w:pPr>
      <w:r>
        <w:t>Hosting Network and 3</w:t>
      </w:r>
      <w:r w:rsidRPr="00951A86">
        <w:rPr>
          <w:vertAlign w:val="superscript"/>
        </w:rPr>
        <w:t>rd</w:t>
      </w:r>
      <w:r>
        <w:t xml:space="preserve"> Party Provider service negotiation via standard mechanisms</w:t>
      </w:r>
    </w:p>
    <w:p w14:paraId="018D55D6" w14:textId="77777777" w:rsidR="00495368" w:rsidRDefault="00495368" w:rsidP="00495368">
      <w:pPr>
        <w:pStyle w:val="BodyText"/>
        <w:numPr>
          <w:ilvl w:val="1"/>
          <w:numId w:val="26"/>
        </w:numPr>
      </w:pPr>
      <w:r>
        <w:t>Automatic discovery and selection or user selection of 3</w:t>
      </w:r>
      <w:r w:rsidRPr="00951A86">
        <w:rPr>
          <w:vertAlign w:val="superscript"/>
        </w:rPr>
        <w:t>rd</w:t>
      </w:r>
      <w:r>
        <w:t xml:space="preserve"> party provider services over hosting network access</w:t>
      </w:r>
    </w:p>
    <w:p w14:paraId="2622A446" w14:textId="29B5CFBB" w:rsidR="00495368" w:rsidRDefault="00495368" w:rsidP="00495368">
      <w:pPr>
        <w:pStyle w:val="BodyText"/>
      </w:pPr>
      <w:r>
        <w:t xml:space="preserve">Given the above objectives and use cases, </w:t>
      </w:r>
      <w:r w:rsidR="00DB70E9">
        <w:t xml:space="preserve">the list of SNPN IDs solves the issues and </w:t>
      </w:r>
      <w:r>
        <w:t xml:space="preserve">adding the </w:t>
      </w:r>
      <w:r w:rsidR="001E51FC">
        <w:t>SP-G</w:t>
      </w:r>
      <w:r>
        <w:t xml:space="preserve">IDs in the broadcast can be considered an optimization </w:t>
      </w:r>
      <w:r w:rsidR="00DB70E9">
        <w:t xml:space="preserve">for Rel-17 </w:t>
      </w:r>
      <w:r w:rsidR="003A6005">
        <w:t xml:space="preserve">and </w:t>
      </w:r>
      <w:r>
        <w:t>can be addressed as part of the FS_PALS study in Rel-18.</w:t>
      </w:r>
    </w:p>
    <w:p w14:paraId="48D11707" w14:textId="2E41ADBD" w:rsidR="00495368" w:rsidRDefault="00495368" w:rsidP="00A80671">
      <w:pPr>
        <w:pStyle w:val="Observation"/>
      </w:pPr>
      <w:bookmarkStart w:id="8" w:name="_Toc61555161"/>
      <w:r>
        <w:t>Optimizations to address services via SNPNs as 3</w:t>
      </w:r>
      <w:r w:rsidRPr="00966DE8">
        <w:rPr>
          <w:vertAlign w:val="superscript"/>
        </w:rPr>
        <w:t>rd</w:t>
      </w:r>
      <w:r>
        <w:t xml:space="preserve"> party provider or hosting network can be addressed as part of the FS_PALS study in Rel-18</w:t>
      </w:r>
      <w:r w:rsidR="002F2C8F">
        <w:t>.</w:t>
      </w:r>
      <w:bookmarkEnd w:id="8"/>
    </w:p>
    <w:p w14:paraId="0071535C" w14:textId="77777777" w:rsidR="00BC39E6" w:rsidRPr="00E2451C" w:rsidRDefault="00BC39E6" w:rsidP="00DC778B">
      <w:pPr>
        <w:pStyle w:val="BodyText"/>
      </w:pPr>
    </w:p>
    <w:p w14:paraId="0625DD15" w14:textId="7527E3F8" w:rsidR="00630298" w:rsidRDefault="00630298" w:rsidP="001E51FC">
      <w:pPr>
        <w:pStyle w:val="Heading3"/>
        <w:rPr>
          <w:rFonts w:eastAsia="Malgun Gothic"/>
        </w:rPr>
      </w:pPr>
      <w:bookmarkStart w:id="9" w:name="_Toc59542935"/>
      <w:bookmarkEnd w:id="9"/>
      <w:r>
        <w:rPr>
          <w:rFonts w:eastAsia="Malgun Gothic"/>
        </w:rPr>
        <w:t>2.</w:t>
      </w:r>
      <w:r w:rsidR="001C1BE8">
        <w:rPr>
          <w:rFonts w:eastAsia="Malgun Gothic"/>
        </w:rPr>
        <w:t>2.</w:t>
      </w:r>
      <w:r w:rsidR="00274DFF">
        <w:rPr>
          <w:rFonts w:eastAsia="Malgun Gothic"/>
        </w:rPr>
        <w:t>3</w:t>
      </w:r>
      <w:r>
        <w:rPr>
          <w:rFonts w:eastAsia="Malgun Gothic"/>
        </w:rPr>
        <w:t xml:space="preserve"> </w:t>
      </w:r>
      <w:r>
        <w:rPr>
          <w:rFonts w:eastAsia="Malgun Gothic"/>
        </w:rPr>
        <w:tab/>
      </w:r>
      <w:r w:rsidR="00FB58BD">
        <w:rPr>
          <w:rFonts w:eastAsia="Malgun Gothic"/>
        </w:rPr>
        <w:t>C</w:t>
      </w:r>
      <w:r>
        <w:rPr>
          <w:rFonts w:eastAsia="Malgun Gothic"/>
        </w:rPr>
        <w:t xml:space="preserve">omparison of the </w:t>
      </w:r>
      <w:r w:rsidR="00DA2C3F">
        <w:rPr>
          <w:rFonts w:eastAsia="Malgun Gothic"/>
        </w:rPr>
        <w:t>alternative</w:t>
      </w:r>
      <w:r>
        <w:rPr>
          <w:rFonts w:eastAsia="Malgun Gothic"/>
        </w:rPr>
        <w:t xml:space="preserve"> solutions</w:t>
      </w:r>
    </w:p>
    <w:p w14:paraId="7B126AAF" w14:textId="77777777" w:rsidR="008353D9" w:rsidRPr="00F90D0C" w:rsidRDefault="008353D9" w:rsidP="008353D9">
      <w:pPr>
        <w:pStyle w:val="Caption"/>
        <w:rPr>
          <w:rFonts w:eastAsia="Malgun Gothic"/>
          <w:lang w:val="en-US"/>
        </w:rPr>
      </w:pPr>
      <w:r w:rsidRPr="00F90D0C">
        <w:rPr>
          <w:rFonts w:eastAsia="Malgun Gothic"/>
          <w:lang w:val="en-US"/>
        </w:rPr>
        <w:t>Delay aspects</w:t>
      </w:r>
    </w:p>
    <w:p w14:paraId="4F369DD6" w14:textId="40FD20E4" w:rsidR="00EF50AC" w:rsidRPr="00EF50AC" w:rsidRDefault="00A450BB" w:rsidP="00EF50AC">
      <w:pPr>
        <w:pStyle w:val="BodyText"/>
        <w:rPr>
          <w:rFonts w:eastAsiaTheme="minorHAnsi"/>
          <w:lang w:val="en-US"/>
        </w:rPr>
      </w:pPr>
      <w:r w:rsidRPr="00E2451C">
        <w:rPr>
          <w:rFonts w:eastAsia="Malgun Gothic"/>
          <w:lang w:val="en-US"/>
        </w:rPr>
        <w:t xml:space="preserve">For </w:t>
      </w:r>
      <w:r w:rsidR="00AB0A8A" w:rsidRPr="00E2451C">
        <w:rPr>
          <w:rFonts w:eastAsia="Malgun Gothic"/>
          <w:lang w:val="en-US"/>
        </w:rPr>
        <w:t xml:space="preserve">most scenarios, it can be assumed </w:t>
      </w:r>
      <w:r w:rsidR="001D325D">
        <w:rPr>
          <w:rFonts w:eastAsia="Malgun Gothic"/>
          <w:lang w:val="en-US"/>
        </w:rPr>
        <w:t xml:space="preserve">that </w:t>
      </w:r>
      <w:r w:rsidR="00AB0A8A" w:rsidRPr="00E2451C">
        <w:rPr>
          <w:rFonts w:eastAsia="Malgun Gothic"/>
          <w:lang w:val="en-US"/>
        </w:rPr>
        <w:t xml:space="preserve">a UE contains up-to-date information and that </w:t>
      </w:r>
      <w:r w:rsidR="00CC72EC" w:rsidRPr="00E2451C">
        <w:rPr>
          <w:rFonts w:eastAsia="Malgun Gothic"/>
          <w:lang w:val="en-US"/>
        </w:rPr>
        <w:t>opportunistic registration attempts are less frequently allowed</w:t>
      </w:r>
      <w:r w:rsidR="001D325D">
        <w:rPr>
          <w:rFonts w:eastAsia="Malgun Gothic"/>
          <w:lang w:val="en-US"/>
        </w:rPr>
        <w:t xml:space="preserve"> by the network</w:t>
      </w:r>
      <w:r w:rsidR="00CC72EC" w:rsidRPr="00E2451C">
        <w:rPr>
          <w:rFonts w:eastAsia="Malgun Gothic"/>
          <w:lang w:val="en-US"/>
        </w:rPr>
        <w:t>.</w:t>
      </w:r>
    </w:p>
    <w:p w14:paraId="367362FF" w14:textId="3EA074E0" w:rsidR="00CC72EC" w:rsidRPr="00E2451C" w:rsidRDefault="00CC72EC" w:rsidP="00E0535B">
      <w:pPr>
        <w:rPr>
          <w:rFonts w:ascii="Arial" w:eastAsia="Malgun Gothic" w:hAnsi="Arial" w:cs="Arial"/>
          <w:lang w:val="en-US"/>
        </w:rPr>
      </w:pPr>
      <w:r w:rsidRPr="00E2451C">
        <w:rPr>
          <w:rFonts w:ascii="Arial" w:eastAsia="Malgun Gothic" w:hAnsi="Arial" w:cs="Arial"/>
          <w:lang w:val="en-US"/>
        </w:rPr>
        <w:t xml:space="preserve">For such regular scenarios, a UE that is pre-configured with a complete list of preferred/prioritized SNPNs for its Home-SP can use the legacy SNPN ID - broadcast in SIB1 - together with the new </w:t>
      </w:r>
      <w:r w:rsidRPr="00B273F7">
        <w:rPr>
          <w:rFonts w:ascii="Arial" w:hAnsi="Arial" w:cs="Arial"/>
          <w:bCs/>
          <w:i/>
          <w:lang w:val="x-none"/>
        </w:rPr>
        <w:t>serviceProviderCredentialsSupported</w:t>
      </w:r>
      <w:r w:rsidR="00B273F7">
        <w:rPr>
          <w:rFonts w:ascii="Arial" w:hAnsi="Arial" w:cs="Arial"/>
          <w:bCs/>
          <w:i/>
          <w:lang w:val="en-US"/>
        </w:rPr>
        <w:t xml:space="preserve"> </w:t>
      </w:r>
      <w:r w:rsidR="00B273F7">
        <w:rPr>
          <w:rFonts w:ascii="Arial" w:hAnsi="Arial" w:cs="Arial"/>
          <w:bCs/>
          <w:iCs/>
          <w:lang w:val="en-US"/>
        </w:rPr>
        <w:t>indication</w:t>
      </w:r>
      <w:r w:rsidRPr="00E2451C">
        <w:rPr>
          <w:rFonts w:ascii="Arial" w:eastAsia="Malgun Gothic" w:hAnsi="Arial" w:cs="Arial"/>
          <w:lang w:val="en-US"/>
        </w:rPr>
        <w:t>, which is also expected to be broadcast in SIB1, to decide quickly whether it can select the current SNPN.</w:t>
      </w:r>
    </w:p>
    <w:p w14:paraId="641DA8DB" w14:textId="25506D5A" w:rsidR="00E0535B" w:rsidRPr="00CC72EC" w:rsidRDefault="00E0535B" w:rsidP="00274DFF">
      <w:pPr>
        <w:pStyle w:val="Observation"/>
        <w:rPr>
          <w:rFonts w:eastAsiaTheme="minorHAnsi"/>
          <w:lang w:val="en-US"/>
        </w:rPr>
      </w:pPr>
      <w:bookmarkStart w:id="10" w:name="_Toc61555162"/>
      <w:r>
        <w:rPr>
          <w:rFonts w:eastAsia="Malgun Gothic"/>
          <w:lang w:val="en-US"/>
        </w:rPr>
        <w:t xml:space="preserve">UEs that are pre-configured with a </w:t>
      </w:r>
      <w:r w:rsidR="00C224B6">
        <w:rPr>
          <w:rFonts w:eastAsia="Malgun Gothic"/>
          <w:lang w:val="en-US"/>
        </w:rPr>
        <w:t xml:space="preserve">NAS </w:t>
      </w:r>
      <w:r>
        <w:rPr>
          <w:rFonts w:eastAsia="Malgun Gothic"/>
          <w:lang w:val="en-US"/>
        </w:rPr>
        <w:t xml:space="preserve">list </w:t>
      </w:r>
      <w:r w:rsidR="001A321B">
        <w:rPr>
          <w:rFonts w:eastAsia="Malgun Gothic"/>
          <w:lang w:val="en-US"/>
        </w:rPr>
        <w:t xml:space="preserve">of SNPNs </w:t>
      </w:r>
      <w:r w:rsidR="00C224B6">
        <w:rPr>
          <w:rFonts w:eastAsia="Malgun Gothic"/>
          <w:lang w:val="en-US"/>
        </w:rPr>
        <w:t>(solution 1)</w:t>
      </w:r>
      <w:r>
        <w:rPr>
          <w:rFonts w:eastAsia="Malgun Gothic"/>
          <w:lang w:val="en-US"/>
        </w:rPr>
        <w:t xml:space="preserve"> </w:t>
      </w:r>
      <w:r w:rsidR="00C224B6">
        <w:rPr>
          <w:rFonts w:eastAsia="Malgun Gothic"/>
          <w:lang w:val="en-US"/>
        </w:rPr>
        <w:t>enable a quicker registration at the proper SNPN</w:t>
      </w:r>
      <w:r w:rsidR="002A3896">
        <w:rPr>
          <w:rFonts w:eastAsia="Malgun Gothic"/>
          <w:lang w:val="en-US"/>
        </w:rPr>
        <w:t>.</w:t>
      </w:r>
      <w:bookmarkEnd w:id="10"/>
    </w:p>
    <w:p w14:paraId="6942164C" w14:textId="3AC62DF0" w:rsidR="00BA1C2E" w:rsidRDefault="00BA1C2E" w:rsidP="00DA2C3F">
      <w:pPr>
        <w:pStyle w:val="BodyText"/>
        <w:rPr>
          <w:rFonts w:eastAsiaTheme="minorHAnsi"/>
          <w:lang w:val="en-US"/>
        </w:rPr>
      </w:pPr>
    </w:p>
    <w:p w14:paraId="5FDD29A6" w14:textId="3CCD1228" w:rsidR="00EF50AC" w:rsidRDefault="00EF50AC" w:rsidP="00EF50AC">
      <w:pPr>
        <w:pStyle w:val="Caption"/>
        <w:rPr>
          <w:rFonts w:eastAsiaTheme="minorHAnsi"/>
          <w:lang w:val="en-US"/>
        </w:rPr>
      </w:pPr>
      <w:r>
        <w:rPr>
          <w:rFonts w:eastAsia="Malgun Gothic"/>
        </w:rPr>
        <w:t>Indication that “a</w:t>
      </w:r>
      <w:r w:rsidRPr="005A160D">
        <w:rPr>
          <w:rFonts w:eastAsia="Malgun Gothic"/>
        </w:rPr>
        <w:t>ccess using credentials from a separate entity is supported"</w:t>
      </w:r>
    </w:p>
    <w:p w14:paraId="482E37AC" w14:textId="526CFAA2" w:rsidR="00DA2C3F" w:rsidRDefault="00DA2C3F" w:rsidP="00DA2C3F">
      <w:pPr>
        <w:pStyle w:val="BodyText"/>
        <w:rPr>
          <w:rFonts w:eastAsia="Malgun Gothic"/>
        </w:rPr>
      </w:pPr>
      <w:r>
        <w:rPr>
          <w:rFonts w:eastAsiaTheme="minorHAnsi"/>
          <w:lang w:val="en-US"/>
        </w:rPr>
        <w:t xml:space="preserve">Both solutions need </w:t>
      </w:r>
      <w:r w:rsidR="00C224B6">
        <w:rPr>
          <w:rFonts w:eastAsiaTheme="minorHAnsi"/>
          <w:lang w:val="en-US"/>
        </w:rPr>
        <w:t>an indication that</w:t>
      </w:r>
      <w:r>
        <w:rPr>
          <w:rFonts w:eastAsiaTheme="minorHAnsi"/>
          <w:lang w:val="en-US"/>
        </w:rPr>
        <w:t xml:space="preserve"> </w:t>
      </w:r>
      <w:r w:rsidRPr="005A160D">
        <w:rPr>
          <w:rFonts w:eastAsia="Malgun Gothic"/>
        </w:rPr>
        <w:t>"access using credentials from a separate entity is supported"</w:t>
      </w:r>
      <w:r w:rsidR="00934CC9">
        <w:rPr>
          <w:rFonts w:eastAsia="Malgun Gothic"/>
        </w:rPr>
        <w:t xml:space="preserve"> by the V-SNPN</w:t>
      </w:r>
      <w:r>
        <w:rPr>
          <w:rFonts w:eastAsia="Malgun Gothic"/>
        </w:rPr>
        <w:t xml:space="preserve">. </w:t>
      </w:r>
    </w:p>
    <w:p w14:paraId="461C9258" w14:textId="42FF0DE9" w:rsidR="00DA2C3F" w:rsidRDefault="00C224B6" w:rsidP="00DA2C3F">
      <w:pPr>
        <w:pStyle w:val="BodyText"/>
        <w:rPr>
          <w:rFonts w:eastAsia="Malgun Gothic"/>
        </w:rPr>
      </w:pPr>
      <w:r>
        <w:rPr>
          <w:rFonts w:eastAsia="Malgun Gothic"/>
        </w:rPr>
        <w:t>While for solution 1, the cost in SIB is a single bit, solution 2 is quite costly, even if scheduled much less frequently. A UE would at least need to quickly decide whether it makes sense to wait (in solution 2) for the less frequent SIB content.</w:t>
      </w:r>
    </w:p>
    <w:p w14:paraId="1E24AF86" w14:textId="1A9B12B1" w:rsidR="00CA0C24" w:rsidRPr="00CA0C24" w:rsidRDefault="00DA2C3F" w:rsidP="00D12DFA">
      <w:pPr>
        <w:pStyle w:val="Observation"/>
        <w:rPr>
          <w:lang w:val="en-US"/>
        </w:rPr>
      </w:pPr>
      <w:bookmarkStart w:id="11" w:name="_Toc61555163"/>
      <w:r>
        <w:rPr>
          <w:rFonts w:eastAsiaTheme="minorHAnsi"/>
          <w:lang w:val="en-US"/>
        </w:rPr>
        <w:t xml:space="preserve">The </w:t>
      </w:r>
      <w:r w:rsidR="009C0995">
        <w:rPr>
          <w:rFonts w:eastAsiaTheme="minorHAnsi"/>
          <w:lang w:val="en-US"/>
        </w:rPr>
        <w:t xml:space="preserve">one-bit </w:t>
      </w:r>
      <w:proofErr w:type="spellStart"/>
      <w:r w:rsidRPr="00CA0C24">
        <w:rPr>
          <w:i/>
          <w:iCs/>
        </w:rPr>
        <w:t>serviceProviderCredentialsSupport</w:t>
      </w:r>
      <w:proofErr w:type="spellEnd"/>
      <w:r>
        <w:rPr>
          <w:lang w:val="en-US"/>
        </w:rPr>
        <w:t xml:space="preserve"> </w:t>
      </w:r>
      <w:r w:rsidRPr="00DA2C3F">
        <w:rPr>
          <w:iCs/>
          <w:lang w:val="en-US"/>
        </w:rPr>
        <w:t>indication</w:t>
      </w:r>
      <w:r>
        <w:rPr>
          <w:lang w:val="en-US"/>
        </w:rPr>
        <w:t xml:space="preserve"> is used independent of whether the </w:t>
      </w:r>
      <w:r w:rsidR="00523D2D">
        <w:rPr>
          <w:lang w:val="en-US"/>
        </w:rPr>
        <w:t xml:space="preserve">UE </w:t>
      </w:r>
      <w:r>
        <w:rPr>
          <w:lang w:val="en-US"/>
        </w:rPr>
        <w:t xml:space="preserve">uses the pre-configured SNPN ID </w:t>
      </w:r>
      <w:r w:rsidR="00985BC1">
        <w:rPr>
          <w:lang w:val="en-US"/>
        </w:rPr>
        <w:t xml:space="preserve">or SP-GID </w:t>
      </w:r>
      <w:r>
        <w:rPr>
          <w:lang w:val="en-US"/>
        </w:rPr>
        <w:t>list for SNPN selection</w:t>
      </w:r>
      <w:r w:rsidR="00C224B6">
        <w:rPr>
          <w:lang w:val="en-US"/>
        </w:rPr>
        <w:t>, but for RAN2 to decide</w:t>
      </w:r>
      <w:r>
        <w:rPr>
          <w:lang w:val="en-US"/>
        </w:rPr>
        <w:t>.</w:t>
      </w:r>
      <w:bookmarkEnd w:id="11"/>
    </w:p>
    <w:p w14:paraId="69EE97CD" w14:textId="77777777" w:rsidR="007730B3" w:rsidRDefault="007730B3" w:rsidP="00C224B6">
      <w:pPr>
        <w:pStyle w:val="Caption"/>
        <w:rPr>
          <w:rFonts w:eastAsia="Malgun Gothic"/>
        </w:rPr>
      </w:pPr>
    </w:p>
    <w:p w14:paraId="71F2AF40" w14:textId="631AF8E8" w:rsidR="00C224B6" w:rsidRDefault="007730B3" w:rsidP="00321B24">
      <w:pPr>
        <w:pStyle w:val="Caption"/>
        <w:rPr>
          <w:rFonts w:eastAsiaTheme="minorHAnsi"/>
          <w:lang w:val="en-US"/>
        </w:rPr>
      </w:pPr>
      <w:r>
        <w:rPr>
          <w:rFonts w:eastAsia="Malgun Gothic"/>
        </w:rPr>
        <w:t>M</w:t>
      </w:r>
      <w:r w:rsidR="00C224B6">
        <w:rPr>
          <w:rFonts w:eastAsia="Malgun Gothic"/>
        </w:rPr>
        <w:t>obility aspects (according to the AI this paper is submitted to)</w:t>
      </w:r>
    </w:p>
    <w:p w14:paraId="063A2942" w14:textId="7029C8A6" w:rsidR="00C224B6" w:rsidRDefault="00C224B6" w:rsidP="00C224B6">
      <w:pPr>
        <w:pStyle w:val="BodyText"/>
        <w:rPr>
          <w:rFonts w:eastAsia="Malgun Gothic"/>
        </w:rPr>
      </w:pPr>
      <w:r>
        <w:rPr>
          <w:rFonts w:eastAsiaTheme="minorHAnsi"/>
          <w:lang w:val="en-US"/>
        </w:rPr>
        <w:t xml:space="preserve">One could also look at RAN3 related mobility impacts and ask whether the SP-GID should be part of mobility signaling, i.e. part </w:t>
      </w:r>
      <w:r w:rsidR="007730B3">
        <w:rPr>
          <w:rFonts w:eastAsiaTheme="minorHAnsi"/>
          <w:lang w:val="en-US"/>
        </w:rPr>
        <w:t xml:space="preserve">of </w:t>
      </w:r>
      <w:r>
        <w:rPr>
          <w:rFonts w:eastAsiaTheme="minorHAnsi"/>
          <w:lang w:val="en-US"/>
        </w:rPr>
        <w:t>the Mobility Restriction List passed along appropriate NG/</w:t>
      </w:r>
      <w:proofErr w:type="spellStart"/>
      <w:r>
        <w:rPr>
          <w:rFonts w:eastAsiaTheme="minorHAnsi"/>
          <w:lang w:val="en-US"/>
        </w:rPr>
        <w:t>Xn</w:t>
      </w:r>
      <w:proofErr w:type="spellEnd"/>
      <w:r>
        <w:rPr>
          <w:rFonts w:eastAsiaTheme="minorHAnsi"/>
          <w:lang w:val="en-US"/>
        </w:rPr>
        <w:t xml:space="preserve"> messages.</w:t>
      </w:r>
    </w:p>
    <w:p w14:paraId="466E6466" w14:textId="41BAA269" w:rsidR="00C224B6" w:rsidRDefault="00C224B6" w:rsidP="00C224B6">
      <w:pPr>
        <w:pStyle w:val="BodyText"/>
        <w:rPr>
          <w:rFonts w:eastAsia="Malgun Gothic"/>
        </w:rPr>
      </w:pPr>
      <w:r>
        <w:rPr>
          <w:rFonts w:eastAsia="Malgun Gothic"/>
        </w:rPr>
        <w:t>We consider that such indication would be redundant information under the assumption that the SP would inherit any mobility restriction imposed by the (V-)SNPN</w:t>
      </w:r>
      <w:r w:rsidR="001F1FCC">
        <w:rPr>
          <w:rFonts w:eastAsia="Malgun Gothic"/>
        </w:rPr>
        <w:t xml:space="preserve">. </w:t>
      </w:r>
      <w:r w:rsidR="001F1FCC">
        <w:t>TR 23.700-07</w:t>
      </w:r>
      <w:r w:rsidR="001F1FCC">
        <w:t xml:space="preserve"> [2] did neither discuss nor conclude on related aspects</w:t>
      </w:r>
      <w:r>
        <w:rPr>
          <w:rFonts w:eastAsia="Malgun Gothic"/>
        </w:rPr>
        <w:t>.</w:t>
      </w:r>
    </w:p>
    <w:p w14:paraId="2D9453B2" w14:textId="1CCBC1E3" w:rsidR="00C224B6" w:rsidRDefault="006564C6" w:rsidP="00C224B6">
      <w:pPr>
        <w:pStyle w:val="BodyText"/>
        <w:rPr>
          <w:rFonts w:eastAsia="Malgun Gothic"/>
        </w:rPr>
      </w:pPr>
      <w:r>
        <w:rPr>
          <w:rFonts w:eastAsia="Malgun Gothic"/>
        </w:rPr>
        <w:t>I</w:t>
      </w:r>
      <w:r w:rsidR="002313DC">
        <w:rPr>
          <w:rFonts w:eastAsia="Malgun Gothic"/>
        </w:rPr>
        <w:t>n</w:t>
      </w:r>
      <w:r w:rsidR="0088189E">
        <w:rPr>
          <w:rFonts w:eastAsia="Malgun Gothic"/>
        </w:rPr>
        <w:t xml:space="preserve"> conclusion, we can assume that SP-GIDs will not be needed for mobility steering purposes on NG/</w:t>
      </w:r>
      <w:proofErr w:type="spellStart"/>
      <w:r w:rsidR="0088189E">
        <w:rPr>
          <w:rFonts w:eastAsia="Malgun Gothic"/>
        </w:rPr>
        <w:t>Xn</w:t>
      </w:r>
      <w:proofErr w:type="spellEnd"/>
      <w:r w:rsidR="0088189E">
        <w:rPr>
          <w:rFonts w:eastAsia="Malgun Gothic"/>
        </w:rPr>
        <w:t>.</w:t>
      </w:r>
    </w:p>
    <w:p w14:paraId="331467DB" w14:textId="1D2A12E1" w:rsidR="00CA0C24" w:rsidRDefault="001F1FCC" w:rsidP="0088189E">
      <w:pPr>
        <w:pStyle w:val="Proposal"/>
        <w:rPr>
          <w:rFonts w:eastAsiaTheme="minorHAnsi"/>
          <w:lang w:val="en-US"/>
        </w:rPr>
      </w:pPr>
      <w:bookmarkStart w:id="12" w:name="_Toc61555164"/>
      <w:r>
        <w:rPr>
          <w:rFonts w:eastAsiaTheme="minorHAnsi"/>
          <w:lang w:val="en-US"/>
        </w:rPr>
        <w:t>Agree that no solution requires additional information to be defined in the Mobility Restriction List.</w:t>
      </w:r>
      <w:bookmarkEnd w:id="12"/>
      <w:r w:rsidR="0088189E">
        <w:rPr>
          <w:rFonts w:eastAsiaTheme="minorHAnsi"/>
          <w:lang w:val="en-US"/>
        </w:rPr>
        <w:t xml:space="preserve"> </w:t>
      </w:r>
    </w:p>
    <w:p w14:paraId="7D2B5048" w14:textId="53710118" w:rsidR="0088189E" w:rsidRPr="0088189E" w:rsidRDefault="0088189E" w:rsidP="0088189E">
      <w:pPr>
        <w:pStyle w:val="Caption"/>
        <w:rPr>
          <w:rFonts w:eastAsiaTheme="minorHAnsi"/>
          <w:lang w:val="en-US"/>
        </w:rPr>
      </w:pPr>
      <w:r w:rsidRPr="0088189E">
        <w:rPr>
          <w:rFonts w:eastAsia="Malgun Gothic"/>
        </w:rPr>
        <w:t>Another aspect is about AMF selection:</w:t>
      </w:r>
    </w:p>
    <w:p w14:paraId="22FDFFC5" w14:textId="5E4B05FA" w:rsidR="0088189E" w:rsidRPr="007730B3" w:rsidRDefault="0088189E" w:rsidP="0088189E">
      <w:pPr>
        <w:pStyle w:val="BodyText"/>
        <w:rPr>
          <w:rFonts w:eastAsiaTheme="minorHAnsi"/>
          <w:lang w:val="en-US"/>
        </w:rPr>
      </w:pPr>
      <w:r w:rsidRPr="007730B3">
        <w:rPr>
          <w:rFonts w:eastAsiaTheme="minorHAnsi"/>
          <w:lang w:val="en-US"/>
        </w:rPr>
        <w:t xml:space="preserve">Selection of an (V-)SNPN providing access on behalf of a SP would </w:t>
      </w:r>
      <w:r w:rsidR="001F1FCC">
        <w:rPr>
          <w:rFonts w:eastAsiaTheme="minorHAnsi"/>
          <w:lang w:val="en-US"/>
        </w:rPr>
        <w:t xml:space="preserve">only have an indirect impact on </w:t>
      </w:r>
      <w:proofErr w:type="spellStart"/>
      <w:r w:rsidR="001F1FCC">
        <w:rPr>
          <w:rFonts w:eastAsiaTheme="minorHAnsi"/>
          <w:lang w:val="en-US"/>
        </w:rPr>
        <w:t>selcting</w:t>
      </w:r>
      <w:proofErr w:type="spellEnd"/>
      <w:r w:rsidR="001F1FCC">
        <w:rPr>
          <w:rFonts w:eastAsiaTheme="minorHAnsi"/>
          <w:lang w:val="en-US"/>
        </w:rPr>
        <w:t xml:space="preserve"> the proper AMF at Registration, as it will be the UE that selects the (V-)SNPN, and this UE based selection steers the selection of the AMF at RAN. The solutions only differ in the way the mapping between the SNPN and the SP/SP-GID is communicated to the </w:t>
      </w:r>
      <w:proofErr w:type="gramStart"/>
      <w:r w:rsidR="001F1FCC">
        <w:rPr>
          <w:rFonts w:eastAsiaTheme="minorHAnsi"/>
          <w:lang w:val="en-US"/>
        </w:rPr>
        <w:t>UE.</w:t>
      </w:r>
      <w:r w:rsidRPr="007730B3">
        <w:rPr>
          <w:rFonts w:eastAsiaTheme="minorHAnsi"/>
          <w:lang w:val="en-US"/>
        </w:rPr>
        <w:t>.</w:t>
      </w:r>
      <w:proofErr w:type="gramEnd"/>
    </w:p>
    <w:p w14:paraId="3F716B39" w14:textId="6F30A9FD" w:rsidR="0088189E" w:rsidRPr="0088189E" w:rsidRDefault="0088189E" w:rsidP="007730B3">
      <w:pPr>
        <w:pStyle w:val="Proposal"/>
        <w:rPr>
          <w:rFonts w:eastAsiaTheme="minorHAnsi"/>
          <w:lang w:val="en-US"/>
        </w:rPr>
      </w:pPr>
      <w:bookmarkStart w:id="13" w:name="_Toc61555165"/>
      <w:r>
        <w:rPr>
          <w:rFonts w:eastAsiaTheme="minorHAnsi"/>
          <w:lang w:val="en-US"/>
        </w:rPr>
        <w:t>Agree that introduction of SP</w:t>
      </w:r>
      <w:r w:rsidR="007730B3">
        <w:rPr>
          <w:rFonts w:eastAsiaTheme="minorHAnsi"/>
          <w:lang w:val="en-US"/>
        </w:rPr>
        <w:t>-GIDs</w:t>
      </w:r>
      <w:r>
        <w:rPr>
          <w:rFonts w:eastAsiaTheme="minorHAnsi"/>
          <w:lang w:val="en-US"/>
        </w:rPr>
        <w:t xml:space="preserve"> has no impact on the AMF selection at Registration.</w:t>
      </w:r>
      <w:bookmarkEnd w:id="13"/>
    </w:p>
    <w:p w14:paraId="07617104" w14:textId="77777777" w:rsidR="00F837DB" w:rsidRPr="00CE0424" w:rsidRDefault="00F837DB" w:rsidP="00F837DB">
      <w:pPr>
        <w:pStyle w:val="Heading1"/>
      </w:pPr>
      <w:bookmarkStart w:id="14" w:name="_Ref189046994"/>
      <w:r w:rsidRPr="00CE0424">
        <w:t>Conclusion</w:t>
      </w:r>
    </w:p>
    <w:p w14:paraId="4039580E" w14:textId="77777777" w:rsidR="00F837DB" w:rsidRDefault="00F837DB" w:rsidP="00F837DB">
      <w:pPr>
        <w:pStyle w:val="BodyText"/>
        <w:rPr>
          <w:b/>
          <w:bCs/>
        </w:rPr>
      </w:pPr>
      <w:r>
        <w:t>In the previous sections</w:t>
      </w:r>
      <w:r w:rsidRPr="00CE0424">
        <w:t xml:space="preserve"> we </w:t>
      </w:r>
      <w:r>
        <w:t>made the following observations</w:t>
      </w:r>
      <w:r w:rsidRPr="00CE0424">
        <w:t>:</w:t>
      </w:r>
      <w:r>
        <w:rPr>
          <w:b/>
          <w:bCs/>
        </w:rPr>
        <w:t xml:space="preserve"> </w:t>
      </w:r>
    </w:p>
    <w:p w14:paraId="7D96B084" w14:textId="77777777" w:rsidR="001F1FCC" w:rsidRDefault="00F837DB">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1555160" w:history="1">
        <w:r w:rsidR="001F1FCC" w:rsidRPr="00655179">
          <w:rPr>
            <w:rStyle w:val="Hyperlink"/>
            <w:noProof/>
            <w14:scene3d>
              <w14:camera w14:prst="orthographicFront"/>
              <w14:lightRig w14:rig="threePt" w14:dir="t">
                <w14:rot w14:lat="0" w14:lon="0" w14:rev="0"/>
              </w14:lightRig>
            </w14:scene3d>
          </w:rPr>
          <w:t>Observation 1</w:t>
        </w:r>
        <w:r w:rsidR="001F1FCC">
          <w:rPr>
            <w:rFonts w:asciiTheme="minorHAnsi" w:eastAsiaTheme="minorEastAsia" w:hAnsiTheme="minorHAnsi" w:cstheme="minorBidi"/>
            <w:b w:val="0"/>
            <w:noProof/>
            <w:sz w:val="22"/>
            <w:szCs w:val="22"/>
            <w:lang w:eastAsia="en-GB"/>
          </w:rPr>
          <w:tab/>
        </w:r>
        <w:r w:rsidR="001F1FCC" w:rsidRPr="00655179">
          <w:rPr>
            <w:rStyle w:val="Hyperlink"/>
            <w:noProof/>
          </w:rPr>
          <w:t>The registration procedure to an external service provider is delay-tolerant.</w:t>
        </w:r>
      </w:hyperlink>
    </w:p>
    <w:p w14:paraId="18FEACFE" w14:textId="77777777" w:rsidR="001F1FCC" w:rsidRDefault="001F1FC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161" w:history="1">
        <w:r w:rsidRPr="00655179">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eastAsia="en-GB"/>
          </w:rPr>
          <w:tab/>
        </w:r>
        <w:r w:rsidRPr="00655179">
          <w:rPr>
            <w:rStyle w:val="Hyperlink"/>
            <w:noProof/>
          </w:rPr>
          <w:t>Optimizations to address services via SNPNs as 3</w:t>
        </w:r>
        <w:r w:rsidRPr="00655179">
          <w:rPr>
            <w:rStyle w:val="Hyperlink"/>
            <w:noProof/>
            <w:vertAlign w:val="superscript"/>
          </w:rPr>
          <w:t>rd</w:t>
        </w:r>
        <w:r w:rsidRPr="00655179">
          <w:rPr>
            <w:rStyle w:val="Hyperlink"/>
            <w:noProof/>
          </w:rPr>
          <w:t xml:space="preserve"> party provider or hosting network can be addressed as part of the FS_PALS study in Rel-18.</w:t>
        </w:r>
      </w:hyperlink>
    </w:p>
    <w:p w14:paraId="7D3F5B9E" w14:textId="77777777" w:rsidR="001F1FCC" w:rsidRDefault="001F1FC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162" w:history="1">
        <w:r w:rsidRPr="00655179">
          <w:rPr>
            <w:rStyle w:val="Hyperlink"/>
            <w:rFonts w:eastAsiaTheme="minorHAnsi"/>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eastAsia="en-GB"/>
          </w:rPr>
          <w:tab/>
        </w:r>
        <w:r w:rsidRPr="00655179">
          <w:rPr>
            <w:rStyle w:val="Hyperlink"/>
            <w:rFonts w:eastAsia="Malgun Gothic"/>
            <w:noProof/>
            <w:lang w:val="en-US"/>
          </w:rPr>
          <w:t>UEs that are pre-configured with a NAS list of SNPNs (solution 1) enable a quicker registration at the proper SNPN.</w:t>
        </w:r>
      </w:hyperlink>
    </w:p>
    <w:p w14:paraId="02AACA51" w14:textId="77777777" w:rsidR="001F1FCC" w:rsidRDefault="001F1FC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163" w:history="1">
        <w:r w:rsidRPr="00655179">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eastAsia="en-GB"/>
          </w:rPr>
          <w:tab/>
        </w:r>
        <w:r w:rsidRPr="00655179">
          <w:rPr>
            <w:rStyle w:val="Hyperlink"/>
            <w:rFonts w:eastAsiaTheme="minorHAnsi"/>
            <w:noProof/>
            <w:lang w:val="en-US"/>
          </w:rPr>
          <w:t xml:space="preserve">The one-bit </w:t>
        </w:r>
        <w:r w:rsidRPr="00655179">
          <w:rPr>
            <w:rStyle w:val="Hyperlink"/>
            <w:i/>
            <w:iCs/>
            <w:noProof/>
          </w:rPr>
          <w:t>serviceProviderCredentialsSupport</w:t>
        </w:r>
        <w:r w:rsidRPr="00655179">
          <w:rPr>
            <w:rStyle w:val="Hyperlink"/>
            <w:noProof/>
            <w:lang w:val="en-US"/>
          </w:rPr>
          <w:t xml:space="preserve"> </w:t>
        </w:r>
        <w:r w:rsidRPr="00655179">
          <w:rPr>
            <w:rStyle w:val="Hyperlink"/>
            <w:iCs/>
            <w:noProof/>
            <w:lang w:val="en-US"/>
          </w:rPr>
          <w:t>indication</w:t>
        </w:r>
        <w:r w:rsidRPr="00655179">
          <w:rPr>
            <w:rStyle w:val="Hyperlink"/>
            <w:noProof/>
            <w:lang w:val="en-US"/>
          </w:rPr>
          <w:t xml:space="preserve"> is used independent of whether the UE uses the pre-configured SNPN ID or SP-GID list for SNPN selection, but for RAN2 to decide.</w:t>
        </w:r>
      </w:hyperlink>
    </w:p>
    <w:p w14:paraId="5A44182E" w14:textId="6D203A19"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26F3961" w14:textId="77777777" w:rsidR="001F1FCC" w:rsidRDefault="00F837DB">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5164" w:history="1">
        <w:r w:rsidR="001F1FCC" w:rsidRPr="00E17DAB">
          <w:rPr>
            <w:rStyle w:val="Hyperlink"/>
            <w:rFonts w:eastAsiaTheme="minorHAnsi"/>
            <w:noProof/>
            <w:lang w:val="en-US"/>
            <w14:scene3d>
              <w14:camera w14:prst="orthographicFront"/>
              <w14:lightRig w14:rig="threePt" w14:dir="t">
                <w14:rot w14:lat="0" w14:lon="0" w14:rev="0"/>
              </w14:lightRig>
            </w14:scene3d>
          </w:rPr>
          <w:t>Proposal 1</w:t>
        </w:r>
        <w:r w:rsidR="001F1FCC">
          <w:rPr>
            <w:rFonts w:asciiTheme="minorHAnsi" w:eastAsiaTheme="minorEastAsia" w:hAnsiTheme="minorHAnsi" w:cstheme="minorBidi"/>
            <w:b w:val="0"/>
            <w:noProof/>
            <w:sz w:val="22"/>
            <w:szCs w:val="22"/>
            <w:lang w:eastAsia="en-GB"/>
          </w:rPr>
          <w:tab/>
        </w:r>
        <w:r w:rsidR="001F1FCC" w:rsidRPr="00E17DAB">
          <w:rPr>
            <w:rStyle w:val="Hyperlink"/>
            <w:rFonts w:eastAsiaTheme="minorHAnsi"/>
            <w:noProof/>
            <w:lang w:val="en-US"/>
          </w:rPr>
          <w:t>Agree that no solution requires additional information to be defined in the Mobility Restriction List.</w:t>
        </w:r>
      </w:hyperlink>
    </w:p>
    <w:p w14:paraId="0FF9286A" w14:textId="77777777" w:rsidR="001F1FCC" w:rsidRDefault="001F1FC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165" w:history="1">
        <w:r w:rsidRPr="00E17DAB">
          <w:rPr>
            <w:rStyle w:val="Hyperlink"/>
            <w:rFonts w:eastAsiaTheme="minorHAnsi"/>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eastAsia="en-GB"/>
          </w:rPr>
          <w:tab/>
        </w:r>
        <w:r w:rsidRPr="00E17DAB">
          <w:rPr>
            <w:rStyle w:val="Hyperlink"/>
            <w:rFonts w:eastAsiaTheme="minorHAnsi"/>
            <w:noProof/>
            <w:lang w:val="en-US"/>
          </w:rPr>
          <w:t>Agree that introd</w:t>
        </w:r>
        <w:bookmarkStart w:id="15" w:name="_GoBack"/>
        <w:bookmarkEnd w:id="15"/>
        <w:r w:rsidRPr="00E17DAB">
          <w:rPr>
            <w:rStyle w:val="Hyperlink"/>
            <w:rFonts w:eastAsiaTheme="minorHAnsi"/>
            <w:noProof/>
            <w:lang w:val="en-US"/>
          </w:rPr>
          <w:t>uction of SP-GIDs has no impact on the AMF selection at Registration.</w:t>
        </w:r>
      </w:hyperlink>
    </w:p>
    <w:p w14:paraId="661D6CA0" w14:textId="64902CBE" w:rsidR="00F837DB" w:rsidRPr="00CE0424" w:rsidRDefault="00F837DB" w:rsidP="00F837DB">
      <w:pPr>
        <w:pStyle w:val="BodyText"/>
        <w:rPr>
          <w:b/>
          <w:bCs/>
        </w:rPr>
      </w:pPr>
      <w:r>
        <w:rPr>
          <w:b/>
          <w:bCs/>
          <w:lang w:val="en-US"/>
        </w:rPr>
        <w:fldChar w:fldCharType="end"/>
      </w:r>
    </w:p>
    <w:p w14:paraId="74432980" w14:textId="77777777" w:rsidR="00F837DB" w:rsidRPr="00CE0424" w:rsidRDefault="00F837DB" w:rsidP="00F837DB">
      <w:pPr>
        <w:pStyle w:val="Heading1"/>
      </w:pPr>
      <w:r w:rsidRPr="00CE0424">
        <w:t>References</w:t>
      </w:r>
    </w:p>
    <w:p w14:paraId="79B5DCFC" w14:textId="77777777" w:rsidR="00686D82" w:rsidRPr="00686D82" w:rsidRDefault="00686D82" w:rsidP="00686D82">
      <w:pPr>
        <w:pStyle w:val="Reference"/>
      </w:pPr>
      <w:bookmarkStart w:id="16" w:name="_Ref60133113"/>
      <w:bookmarkStart w:id="17" w:name="_Ref174151459"/>
      <w:bookmarkStart w:id="18" w:name="_Ref189809556"/>
      <w:r w:rsidRPr="00686D82">
        <w:t>RP-191563, “Revised WID: Private Network Support for NG-RAN”, China Telecom, Nokia, Vodafone, RAN#84, 2019-06</w:t>
      </w:r>
    </w:p>
    <w:p w14:paraId="07C66BDF" w14:textId="387D0A36" w:rsidR="006E41A9" w:rsidRDefault="006E41A9" w:rsidP="006E41A9">
      <w:pPr>
        <w:pStyle w:val="Reference"/>
      </w:pPr>
      <w:r>
        <w:t>TR 23.700-07,</w:t>
      </w:r>
      <w:r w:rsidRPr="009F6046">
        <w:t xml:space="preserve"> Study on enhanced support of non-public networks</w:t>
      </w:r>
      <w:r>
        <w:t>, TSG SA, V1.2.0, 2020-11</w:t>
      </w:r>
      <w:bookmarkStart w:id="19" w:name="_Ref59200586"/>
      <w:bookmarkEnd w:id="16"/>
    </w:p>
    <w:bookmarkEnd w:id="19"/>
    <w:p w14:paraId="62250667" w14:textId="1D30018C" w:rsidR="006E41A9" w:rsidRDefault="006E41A9" w:rsidP="006E41A9">
      <w:pPr>
        <w:pStyle w:val="Reference"/>
      </w:pPr>
      <w:r>
        <w:t>RP-</w:t>
      </w:r>
      <w:r w:rsidRPr="00DA47CE">
        <w:t>202363</w:t>
      </w:r>
      <w:r>
        <w:t>, “</w:t>
      </w:r>
      <w:r w:rsidRPr="001A68C6">
        <w:t>Revised WID: Enhancement of Private Network support for NG-RAN</w:t>
      </w:r>
      <w:r>
        <w:t xml:space="preserve">”, China Telecom, </w:t>
      </w:r>
      <w:r w:rsidR="00803674">
        <w:t>R</w:t>
      </w:r>
      <w:r w:rsidR="006444C6">
        <w:t>AN</w:t>
      </w:r>
      <w:r w:rsidR="00803674">
        <w:t xml:space="preserve">#90e, </w:t>
      </w:r>
      <w:r>
        <w:t>2020-12</w:t>
      </w:r>
    </w:p>
    <w:p w14:paraId="4E063665" w14:textId="415857E1" w:rsidR="00E31C2E" w:rsidRDefault="00E31C2E" w:rsidP="00E31C2E">
      <w:pPr>
        <w:pStyle w:val="Reference"/>
      </w:pPr>
      <w:bookmarkStart w:id="20" w:name="_Ref60124889"/>
      <w:r>
        <w:rPr>
          <w:noProof/>
        </w:rPr>
        <w:t>SP-200799, “</w:t>
      </w:r>
      <w:r w:rsidRPr="00E31C2E">
        <w:rPr>
          <w:noProof/>
        </w:rPr>
        <w:t>New SID: Study on 5G Networks Providing Access to Localized Services (FS_PALS)</w:t>
      </w:r>
      <w:r>
        <w:rPr>
          <w:noProof/>
        </w:rPr>
        <w:t>”, SA1, 2020-09</w:t>
      </w:r>
      <w:bookmarkEnd w:id="20"/>
    </w:p>
    <w:p w14:paraId="2F6FAD98" w14:textId="219957FE" w:rsidR="006F5BA2" w:rsidRDefault="006F5BA2" w:rsidP="006F5BA2">
      <w:pPr>
        <w:pStyle w:val="Reference"/>
      </w:pPr>
      <w:bookmarkStart w:id="21" w:name="_Ref60125985"/>
      <w:r>
        <w:lastRenderedPageBreak/>
        <w:t xml:space="preserve">TR </w:t>
      </w:r>
      <w:r w:rsidRPr="006F5BA2">
        <w:t>22.844</w:t>
      </w:r>
      <w:r>
        <w:t>, “Study on 5G Networks Providing Access to Localized Services; Stage 1”, V0.1.0, 2020-11</w:t>
      </w:r>
      <w:bookmarkEnd w:id="21"/>
    </w:p>
    <w:p w14:paraId="5843BF14" w14:textId="593630F0" w:rsidR="00556B62" w:rsidRDefault="00556B62">
      <w:pPr>
        <w:pStyle w:val="Reference"/>
      </w:pPr>
      <w:r w:rsidRPr="003605FA">
        <w:t>TS 38.3</w:t>
      </w:r>
      <w:r>
        <w:t>04, “</w:t>
      </w:r>
      <w:r w:rsidRPr="008C2FEF">
        <w:t>User Equipment (UE) procedures in Idle mode and RRC Inactive state</w:t>
      </w:r>
      <w:r>
        <w:t xml:space="preserve">”, </w:t>
      </w:r>
      <w:r w:rsidRPr="00351FF4">
        <w:t>V16.2.0</w:t>
      </w:r>
      <w:r>
        <w:t>, 2020-09</w:t>
      </w:r>
    </w:p>
    <w:p w14:paraId="1F926081" w14:textId="2F134C52" w:rsidR="004B30C3" w:rsidRDefault="004B30C3">
      <w:pPr>
        <w:pStyle w:val="Reference"/>
      </w:pPr>
      <w:bookmarkStart w:id="22" w:name="_Ref60756692"/>
      <w:r>
        <w:t>TS 23.122, “</w:t>
      </w:r>
      <w:r w:rsidRPr="004B30C3">
        <w:t>Non-Access-Stratum (NAS) functions related to Mobile Station (MS) in idle mode</w:t>
      </w:r>
      <w:r>
        <w:t>”</w:t>
      </w:r>
      <w:bookmarkEnd w:id="22"/>
    </w:p>
    <w:bookmarkEnd w:id="17"/>
    <w:bookmarkEnd w:id="18"/>
    <w:p w14:paraId="71BFE026" w14:textId="77777777" w:rsidR="006F5BA2" w:rsidRDefault="006F5BA2" w:rsidP="00F837DB">
      <w:pPr>
        <w:pStyle w:val="BodyText"/>
        <w:sectPr w:rsidR="006F5BA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92B0FA9" w14:textId="4AE82FD5" w:rsidR="006E062C" w:rsidRDefault="00B409E0" w:rsidP="00CE0424">
      <w:pPr>
        <w:pStyle w:val="Heading1"/>
      </w:pPr>
      <w:r>
        <w:lastRenderedPageBreak/>
        <w:t>3</w:t>
      </w:r>
      <w:r>
        <w:tab/>
      </w:r>
      <w:bookmarkEnd w:id="14"/>
      <w:r w:rsidR="00F837DB">
        <w:t>Annex</w:t>
      </w:r>
    </w:p>
    <w:p w14:paraId="21FBAB75" w14:textId="3204692E" w:rsidR="003A7EF3" w:rsidRPr="00AF4966" w:rsidRDefault="00B409E0" w:rsidP="00E73E4E">
      <w:pPr>
        <w:pStyle w:val="Heading2"/>
      </w:pPr>
      <w:r w:rsidRPr="00AF4966">
        <w:t>3.</w:t>
      </w:r>
      <w:r w:rsidR="004D6DFF" w:rsidRPr="00AF4966">
        <w:t>1</w:t>
      </w:r>
      <w:r w:rsidRPr="00AF4966">
        <w:tab/>
      </w:r>
      <w:bookmarkStart w:id="23" w:name="_In-sequence_SDU_delivery"/>
      <w:bookmarkEnd w:id="23"/>
      <w:r w:rsidR="00AF4966" w:rsidRPr="00AF4966">
        <w:t>Description of the key issue</w:t>
      </w:r>
      <w:r w:rsidR="00771A51" w:rsidRPr="00AF4966">
        <w:t xml:space="preserve"> in TR 23.700-07, clause 5.1.1</w:t>
      </w:r>
    </w:p>
    <w:p w14:paraId="070837AE" w14:textId="77777777" w:rsidR="00771A51" w:rsidRPr="00A97959" w:rsidRDefault="00771A51" w:rsidP="00771A51">
      <w:pPr>
        <w:rPr>
          <w:lang w:val="en-US"/>
        </w:rPr>
      </w:pPr>
      <w:r w:rsidRPr="00A97959">
        <w:rPr>
          <w:lang w:val="en-US"/>
        </w:rPr>
        <w:t>One area that needs further study is enhancements to the 5GS in order to enable support for SNPN along with subscriptions or credentials owned by an entity separate from the SNPN.</w:t>
      </w:r>
    </w:p>
    <w:p w14:paraId="614CC9DA" w14:textId="77777777" w:rsidR="00771A51" w:rsidRPr="00A97959" w:rsidRDefault="00771A51" w:rsidP="00771A51">
      <w:pPr>
        <w:rPr>
          <w:lang w:val="en-US"/>
        </w:rPr>
      </w:pPr>
      <w:r w:rsidRPr="00A97959">
        <w:rPr>
          <w:lang w:val="en-US"/>
        </w:rPr>
        <w:t>Studying 5GS enhancements specifically oriented towards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59E8A083" w14:textId="77777777" w:rsidR="00771A51" w:rsidRPr="00A97959" w:rsidRDefault="00771A51" w:rsidP="00771A51">
      <w:pPr>
        <w:rPr>
          <w:lang w:val="en-US"/>
        </w:rPr>
      </w:pPr>
      <w:r w:rsidRPr="00A97959">
        <w:rPr>
          <w:lang w:val="en-US"/>
        </w:rPr>
        <w:t>This key issue aims at addressing the following points for SNPN along with subscription owned by an entity separate from the SNPN:</w:t>
      </w:r>
    </w:p>
    <w:p w14:paraId="4C62A625" w14:textId="77777777" w:rsidR="00771A51" w:rsidRPr="00A97959" w:rsidRDefault="00771A51" w:rsidP="00771A51">
      <w:pPr>
        <w:pStyle w:val="B1"/>
      </w:pPr>
      <w:r w:rsidRPr="00A97959">
        <w:t>-</w:t>
      </w:r>
      <w:r w:rsidRPr="00A97959">
        <w:tab/>
        <w:t>How to identify the separate entity providing the subscription;</w:t>
      </w:r>
    </w:p>
    <w:p w14:paraId="7F8CAA23" w14:textId="77777777" w:rsidR="00771A51" w:rsidRPr="00A97959" w:rsidRDefault="00771A51" w:rsidP="00771A51">
      <w:pPr>
        <w:pStyle w:val="B1"/>
      </w:pPr>
      <w:r w:rsidRPr="00A97959">
        <w:t>-</w:t>
      </w:r>
      <w:r w:rsidRPr="00A97959">
        <w:tab/>
        <w:t>Network selection enhancements, including UEs with multiple subscriptions;</w:t>
      </w:r>
    </w:p>
    <w:p w14:paraId="5267F29B" w14:textId="77777777" w:rsidR="00771A51" w:rsidRPr="00A97959" w:rsidRDefault="00771A51" w:rsidP="00771A51">
      <w:pPr>
        <w:pStyle w:val="B2"/>
      </w:pPr>
      <w:r w:rsidRPr="00A97959">
        <w:t>-</w:t>
      </w:r>
      <w:r w:rsidRPr="00A97959">
        <w:tab/>
        <w:t>E.g. how does the UE discover and select an SNPN which provides authentication in an external entity;</w:t>
      </w:r>
    </w:p>
    <w:p w14:paraId="78D301BE" w14:textId="77777777" w:rsidR="00771A51" w:rsidRPr="00A97959" w:rsidRDefault="00771A51" w:rsidP="00771A51">
      <w:pPr>
        <w:pStyle w:val="B1"/>
      </w:pPr>
      <w:r w:rsidRPr="00A97959">
        <w:t>-</w:t>
      </w:r>
      <w:r w:rsidRPr="00A97959">
        <w:tab/>
        <w:t>Architecture enhancements needed to support multiple separate entities, e.g.:</w:t>
      </w:r>
    </w:p>
    <w:p w14:paraId="51F6C345" w14:textId="77777777" w:rsidR="00771A51" w:rsidRPr="00A97959" w:rsidRDefault="00771A51" w:rsidP="00771A51">
      <w:pPr>
        <w:pStyle w:val="B2"/>
      </w:pPr>
      <w:r w:rsidRPr="00A97959">
        <w:t>-</w:t>
      </w:r>
      <w:r w:rsidRPr="00A97959">
        <w:tab/>
        <w:t>What are the interfaces exposed and/or used by SNPN and the separate entity;</w:t>
      </w:r>
    </w:p>
    <w:p w14:paraId="02AE019E" w14:textId="77777777" w:rsidR="00771A51" w:rsidRPr="00A97959" w:rsidRDefault="00771A51" w:rsidP="00771A51">
      <w:pPr>
        <w:pStyle w:val="B2"/>
      </w:pPr>
      <w:r w:rsidRPr="00A97959">
        <w:t>-</w:t>
      </w:r>
      <w:r w:rsidRPr="00A97959">
        <w:tab/>
        <w:t>What is the architecture and solution for a UE accessing a separate entity via SNPN access network;</w:t>
      </w:r>
    </w:p>
    <w:p w14:paraId="6880ABD0" w14:textId="77777777" w:rsidR="00771A51" w:rsidRPr="00A97959" w:rsidRDefault="00771A51" w:rsidP="00771A51">
      <w:pPr>
        <w:pStyle w:val="B1"/>
      </w:pPr>
      <w:r w:rsidRPr="00A97959">
        <w:t>-</w:t>
      </w:r>
      <w:r w:rsidRPr="00A97959">
        <w:tab/>
        <w:t>How to exchange authentication signalling between the SNPN and the separate entity, including:</w:t>
      </w:r>
    </w:p>
    <w:p w14:paraId="2B4C4B38" w14:textId="77777777" w:rsidR="00771A51" w:rsidRPr="00A97959" w:rsidRDefault="00771A51" w:rsidP="00771A51">
      <w:pPr>
        <w:pStyle w:val="B2"/>
      </w:pPr>
      <w:r w:rsidRPr="00A97959">
        <w:t>-</w:t>
      </w:r>
      <w:r w:rsidRPr="00A97959">
        <w:tab/>
        <w:t>Authentication by the PLMN, based on PLMN identities and credentials, for access to the SNPN;</w:t>
      </w:r>
    </w:p>
    <w:p w14:paraId="28EE691B" w14:textId="77777777" w:rsidR="00771A51" w:rsidRPr="00A97959" w:rsidRDefault="00771A51" w:rsidP="00771A51">
      <w:pPr>
        <w:pStyle w:val="B2"/>
      </w:pPr>
      <w:r w:rsidRPr="00A97959">
        <w:t>-</w:t>
      </w:r>
      <w:r w:rsidRPr="00A97959">
        <w:tab/>
        <w:t>Authentication via SNPN to separate entity based on non-3GPP identities (e.g. non-IMSI) and credentials;</w:t>
      </w:r>
    </w:p>
    <w:p w14:paraId="5D42E867" w14:textId="77777777" w:rsidR="00771A51" w:rsidRPr="00A97959" w:rsidRDefault="00771A51" w:rsidP="00771A51">
      <w:pPr>
        <w:pStyle w:val="B1"/>
      </w:pPr>
      <w:r w:rsidRPr="00A97959">
        <w:t>-</w:t>
      </w:r>
      <w:r w:rsidRPr="00A97959">
        <w:tab/>
        <w:t>Mobility scenarios, including service continuity, for:</w:t>
      </w:r>
    </w:p>
    <w:p w14:paraId="6ADAAF13" w14:textId="77777777" w:rsidR="00771A51" w:rsidRPr="00A97959" w:rsidRDefault="00771A51" w:rsidP="00771A51">
      <w:pPr>
        <w:pStyle w:val="B2"/>
      </w:pPr>
      <w:r w:rsidRPr="00A97959">
        <w:t>-</w:t>
      </w:r>
      <w:r w:rsidRPr="00A97959">
        <w:tab/>
        <w:t>UE moving from SNPN#1 with separate entity#1 to SNPN#2 with separate entity#1 available; and</w:t>
      </w:r>
    </w:p>
    <w:p w14:paraId="627B6F2D" w14:textId="77777777" w:rsidR="00771A51" w:rsidRPr="00A97959" w:rsidRDefault="00771A51" w:rsidP="00771A51">
      <w:pPr>
        <w:pStyle w:val="B2"/>
      </w:pPr>
      <w:r w:rsidRPr="00A97959">
        <w:t>-</w:t>
      </w:r>
      <w:r w:rsidRPr="00A97959">
        <w:tab/>
        <w:t>UE moving between SNPN#1 (where separate entity=PLMN) and PLMN.</w:t>
      </w:r>
    </w:p>
    <w:p w14:paraId="3C335884" w14:textId="180C5889" w:rsidR="00771A51" w:rsidRPr="00A97959" w:rsidRDefault="00771A51" w:rsidP="00771A51">
      <w:pPr>
        <w:pStyle w:val="NO"/>
        <w:rPr>
          <w:lang w:eastAsia="ko-KR"/>
        </w:rPr>
      </w:pPr>
      <w:r w:rsidRPr="00A97959">
        <w:rPr>
          <w:lang w:eastAsia="ko-KR"/>
        </w:rPr>
        <w:t>NOTE:</w:t>
      </w:r>
      <w:r w:rsidRPr="00A97959">
        <w:rPr>
          <w:lang w:eastAsia="ko-KR"/>
        </w:rPr>
        <w:tab/>
        <w:t>Security aspects should be defined by SA WG3.</w:t>
      </w:r>
    </w:p>
    <w:p w14:paraId="48A9F701" w14:textId="6E43D935" w:rsidR="00771A51" w:rsidRDefault="00771A51" w:rsidP="00771A51">
      <w:pPr>
        <w:pStyle w:val="Heading2"/>
        <w:rPr>
          <w:color w:val="FF0000"/>
        </w:rPr>
      </w:pPr>
      <w:r>
        <w:t>3.2</w:t>
      </w:r>
      <w:r>
        <w:tab/>
      </w:r>
      <w:r w:rsidR="00AF4966" w:rsidRPr="00AF4966">
        <w:t xml:space="preserve">Conclusions for the key issue </w:t>
      </w:r>
      <w:r w:rsidR="00AF4966">
        <w:t xml:space="preserve">with RAN impact </w:t>
      </w:r>
      <w:r w:rsidR="00AF4966" w:rsidRPr="00AF4966">
        <w:t>in</w:t>
      </w:r>
      <w:r w:rsidRPr="00AF4966">
        <w:t xml:space="preserve"> TR 23.700-07, clauses 8.1.4</w:t>
      </w:r>
      <w:r w:rsidR="00AF4966" w:rsidRPr="00AF4966">
        <w:t xml:space="preserve"> </w:t>
      </w:r>
      <w:r w:rsidR="00AF4966">
        <w:t>and</w:t>
      </w:r>
      <w:r w:rsidR="00AF4966" w:rsidRPr="00AF4966">
        <w:t xml:space="preserve"> 8.1.5</w:t>
      </w:r>
    </w:p>
    <w:p w14:paraId="174F9AC4" w14:textId="77777777" w:rsidR="00771A51" w:rsidRDefault="00771A51" w:rsidP="00771A51">
      <w:r>
        <w:t>The following enhancements will be progressed in the normative phase:</w:t>
      </w:r>
    </w:p>
    <w:p w14:paraId="63F0FC49" w14:textId="77777777" w:rsidR="00771A51" w:rsidRDefault="00771A51" w:rsidP="00771A5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2F0B675E" w14:textId="77777777" w:rsidR="00771A51" w:rsidRPr="006A7498" w:rsidRDefault="00771A51" w:rsidP="00771A51">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63895BBC" w14:textId="77777777" w:rsidR="00771A51" w:rsidRPr="000528D2" w:rsidRDefault="00771A51" w:rsidP="00771A5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27912C4A" w14:textId="77777777" w:rsidR="00771A51" w:rsidRPr="00D65A9C" w:rsidRDefault="00771A51" w:rsidP="00771A51">
      <w:pPr>
        <w:pStyle w:val="B1"/>
      </w:pPr>
      <w:r>
        <w:t>-</w:t>
      </w:r>
      <w:r>
        <w:tab/>
      </w:r>
      <w:r w:rsidRPr="00D65A9C">
        <w:t>SIB</w:t>
      </w:r>
      <w:r>
        <w:t xml:space="preserve"> will be enhanced as follows</w:t>
      </w:r>
      <w:r w:rsidRPr="001851F2">
        <w:t>, for SNPN only:</w:t>
      </w:r>
    </w:p>
    <w:p w14:paraId="075CE96E" w14:textId="77777777" w:rsidR="00771A51" w:rsidRPr="00D65A9C" w:rsidRDefault="00771A51" w:rsidP="00771A51">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1273CC93" w14:textId="77777777" w:rsidR="00771A51" w:rsidRDefault="00771A51" w:rsidP="00771A51">
      <w:pPr>
        <w:pStyle w:val="B2"/>
      </w:pPr>
      <w:r>
        <w:t>-</w:t>
      </w:r>
      <w:r>
        <w:tab/>
        <w:t>Optionally, s</w:t>
      </w:r>
      <w:r w:rsidRPr="00D65A9C">
        <w:t>upported Group IDs (GIDs)</w:t>
      </w:r>
    </w:p>
    <w:p w14:paraId="7F7BCBEF" w14:textId="77777777" w:rsidR="00771A51" w:rsidRDefault="00771A51" w:rsidP="00771A51">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B4B9A4B" w14:textId="77777777" w:rsidR="00771A51" w:rsidRDefault="00771A51" w:rsidP="00771A51">
      <w:pPr>
        <w:pStyle w:val="EditorsNote"/>
        <w:rPr>
          <w:lang w:val="en-US"/>
        </w:rPr>
      </w:pPr>
      <w:r>
        <w:rPr>
          <w:lang w:val="en-US"/>
        </w:rPr>
        <w:t>Editor's note:</w:t>
      </w:r>
      <w:r>
        <w:rPr>
          <w:lang w:val="en-US"/>
        </w:rPr>
        <w:tab/>
        <w:t>Need for additional SIB information is FFS.</w:t>
      </w:r>
    </w:p>
    <w:p w14:paraId="2E6AFC80" w14:textId="77777777" w:rsidR="00771A51" w:rsidRDefault="00771A51" w:rsidP="00771A51">
      <w:pPr>
        <w:pStyle w:val="NO"/>
      </w:pPr>
      <w:r>
        <w:rPr>
          <w:lang w:val="en-US"/>
        </w:rPr>
        <w:lastRenderedPageBreak/>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59657864" w14:textId="77777777" w:rsidR="00771A51" w:rsidRDefault="00771A51" w:rsidP="00771A51">
      <w:pPr>
        <w:pStyle w:val="NO"/>
      </w:pPr>
      <w:r>
        <w:t>NOTE 2:</w:t>
      </w:r>
      <w:r>
        <w:tab/>
        <w:t>The number of supported Group IDs that can be broadcast will be determined by RAN2.</w:t>
      </w:r>
    </w:p>
    <w:p w14:paraId="24C86F85" w14:textId="77777777" w:rsidR="00771A51" w:rsidRPr="00D65A9C" w:rsidRDefault="00771A51" w:rsidP="00771A51">
      <w:pPr>
        <w:pStyle w:val="B1"/>
      </w:pPr>
      <w:r>
        <w:t>-</w:t>
      </w:r>
      <w:r>
        <w:tab/>
      </w:r>
      <w:r w:rsidRPr="00D65A9C">
        <w:t>UE configuration</w:t>
      </w:r>
    </w:p>
    <w:p w14:paraId="386AF6F7" w14:textId="77777777" w:rsidR="00771A51" w:rsidRPr="00D65A9C" w:rsidRDefault="00771A51" w:rsidP="00771A51">
      <w:pPr>
        <w:pStyle w:val="B2"/>
      </w:pPr>
      <w:r>
        <w:t>-</w:t>
      </w:r>
      <w:r>
        <w:tab/>
      </w:r>
      <w:r w:rsidRPr="00D65A9C">
        <w:t>User-controlled prioritized list of preferred SNPNs</w:t>
      </w:r>
    </w:p>
    <w:p w14:paraId="7A913DAA" w14:textId="77777777" w:rsidR="00771A51" w:rsidRPr="00785F64" w:rsidRDefault="00771A51" w:rsidP="00771A51">
      <w:pPr>
        <w:pStyle w:val="B2"/>
      </w:pPr>
      <w:r>
        <w:t>-</w:t>
      </w:r>
      <w:r>
        <w:tab/>
        <w:t xml:space="preserve">Separate entity </w:t>
      </w:r>
      <w:r w:rsidRPr="00D65A9C">
        <w:t xml:space="preserve">controlled </w:t>
      </w:r>
      <w:r>
        <w:t xml:space="preserve">prioritized </w:t>
      </w:r>
      <w:r w:rsidRPr="00D65A9C">
        <w:t>list of preferred SNPNs</w:t>
      </w:r>
    </w:p>
    <w:p w14:paraId="30F79E17" w14:textId="77777777" w:rsidR="00771A51" w:rsidRDefault="00771A51" w:rsidP="00771A51">
      <w:pPr>
        <w:pStyle w:val="B2"/>
      </w:pPr>
      <w:r w:rsidRPr="00785F64">
        <w:t>-</w:t>
      </w:r>
      <w:r w:rsidRPr="00785F64">
        <w:tab/>
      </w:r>
      <w:r>
        <w:t>Separate entity</w:t>
      </w:r>
      <w:r w:rsidRPr="00785F64">
        <w:t>-controlled prioritized list of</w:t>
      </w:r>
      <w:r w:rsidRPr="00D65A9C">
        <w:t xml:space="preserve"> </w:t>
      </w:r>
      <w:r>
        <w:t>Group IDs (</w:t>
      </w:r>
      <w:r w:rsidRPr="00D65A9C">
        <w:t>GIDs</w:t>
      </w:r>
      <w:r>
        <w:t>)</w:t>
      </w:r>
    </w:p>
    <w:p w14:paraId="2678B199" w14:textId="77777777" w:rsidR="00771A51" w:rsidRPr="00D65A9C" w:rsidRDefault="00771A51" w:rsidP="00771A51">
      <w:pPr>
        <w:pStyle w:val="NO"/>
      </w:pPr>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p>
    <w:p w14:paraId="7F41FADE" w14:textId="77777777" w:rsidR="00771A51" w:rsidRPr="00A97959" w:rsidDel="00C25A50" w:rsidRDefault="00771A51" w:rsidP="00771A51">
      <w:pPr>
        <w:pStyle w:val="NO"/>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21421102" w14:textId="77777777" w:rsidR="00771A51" w:rsidRPr="00D65A9C" w:rsidRDefault="00771A51" w:rsidP="00771A51">
      <w:pPr>
        <w:pStyle w:val="B1"/>
      </w:pPr>
      <w:r>
        <w:t>-</w:t>
      </w:r>
      <w:r>
        <w:tab/>
      </w:r>
      <w:bookmarkStart w:id="24" w:name="_Hlk54080055"/>
      <w:r>
        <w:t>For a UE configured to use SNPNs</w:t>
      </w:r>
      <w:bookmarkEnd w:id="24"/>
      <w:r>
        <w:t xml:space="preserve">, automatic SNPN </w:t>
      </w:r>
      <w:r w:rsidRPr="00D65A9C">
        <w:t>selection</w:t>
      </w:r>
      <w:r>
        <w:t xml:space="preserve"> is performed in the following order:</w:t>
      </w:r>
    </w:p>
    <w:p w14:paraId="281C53AD" w14:textId="77777777" w:rsidR="00771A51" w:rsidRDefault="00771A51" w:rsidP="00771A51">
      <w:pPr>
        <w:pStyle w:val="B2"/>
        <w:rPr>
          <w:rFonts w:eastAsia="Malgun Gothic"/>
        </w:rPr>
      </w:pPr>
      <w:r>
        <w:rPr>
          <w:rFonts w:eastAsia="Malgun Gothic"/>
        </w:rPr>
        <w:t>-</w:t>
      </w:r>
      <w:r>
        <w:rPr>
          <w:rFonts w:eastAsia="Malgun Gothic"/>
        </w:rPr>
        <w:tab/>
        <w:t xml:space="preserve">UE selects </w:t>
      </w:r>
      <w:r w:rsidRPr="00C1199F">
        <w:rPr>
          <w:rFonts w:eastAsia="Malgun Gothic"/>
        </w:rPr>
        <w:t xml:space="preserve">and attempts to register with the </w:t>
      </w:r>
      <w:r>
        <w:rPr>
          <w:rFonts w:eastAsia="Malgun Gothic"/>
        </w:rPr>
        <w:t>SNPN it was last registered with (if available)</w:t>
      </w:r>
      <w:r w:rsidRPr="00C1199F">
        <w:rPr>
          <w:rFonts w:eastAsia="Malgun Gothic"/>
        </w:rPr>
        <w:t>.</w:t>
      </w:r>
    </w:p>
    <w:p w14:paraId="61C2CF90" w14:textId="77777777" w:rsidR="00771A51" w:rsidRDefault="00771A51" w:rsidP="00771A51">
      <w:pPr>
        <w:pStyle w:val="B2"/>
        <w:rPr>
          <w:rFonts w:eastAsia="Malgun Gothic"/>
        </w:rPr>
      </w:pPr>
      <w:r>
        <w:rPr>
          <w:rFonts w:eastAsia="Malgun Gothic"/>
        </w:rPr>
        <w:t>-</w:t>
      </w:r>
      <w:r>
        <w:rPr>
          <w:rFonts w:eastAsia="Malgun Gothic"/>
        </w:rPr>
        <w:tab/>
        <w:t xml:space="preserve">UE selects </w:t>
      </w:r>
      <w:r w:rsidRPr="00C1199F">
        <w:rPr>
          <w:rFonts w:eastAsia="Malgun Gothic"/>
        </w:rPr>
        <w:t>and attempts to register with the available SNPN identified by a PLMN ID and NID for which the UE has SUPI and credentials</w:t>
      </w:r>
      <w:r>
        <w:rPr>
          <w:rFonts w:eastAsia="Malgun Gothic"/>
        </w:rPr>
        <w:t xml:space="preserve"> (i.e. as in Rel-16)</w:t>
      </w:r>
      <w:r w:rsidRPr="00C1199F">
        <w:rPr>
          <w:rFonts w:eastAsia="Malgun Gothic"/>
        </w:rPr>
        <w:t>.</w:t>
      </w:r>
    </w:p>
    <w:p w14:paraId="09A1BE9A" w14:textId="77777777" w:rsidR="00771A51" w:rsidRPr="00AA64C5" w:rsidRDefault="00771A51" w:rsidP="00771A51">
      <w:pPr>
        <w:pStyle w:val="B2"/>
        <w:rPr>
          <w:rFonts w:eastAsia="Malgun Gothic"/>
        </w:rPr>
      </w:pPr>
      <w:r>
        <w:rPr>
          <w:rFonts w:eastAsia="Malgun Gothic"/>
        </w:rPr>
        <w:t>-</w:t>
      </w:r>
      <w:r>
        <w:rPr>
          <w:rFonts w:eastAsia="Malgun Gothic"/>
        </w:rPr>
        <w:tab/>
      </w:r>
      <w:r w:rsidRPr="00D65A9C">
        <w:rPr>
          <w:rFonts w:eastAsia="Malgun Gothic"/>
        </w:rPr>
        <w:t xml:space="preserve">UE selects </w:t>
      </w:r>
      <w:r>
        <w:rPr>
          <w:rFonts w:eastAsia="Malgun Gothic"/>
        </w:rPr>
        <w:t xml:space="preserve">an available and allowable </w:t>
      </w:r>
      <w:r w:rsidRPr="00D65A9C">
        <w:rPr>
          <w:rFonts w:eastAsia="Malgun Gothic"/>
        </w:rPr>
        <w:t>SNPN</w:t>
      </w:r>
      <w:r>
        <w:rPr>
          <w:rFonts w:eastAsia="Malgun Gothic"/>
        </w:rPr>
        <w:t>,</w:t>
      </w:r>
      <w:r w:rsidRPr="00D65A9C">
        <w:rPr>
          <w:rFonts w:eastAsia="Malgun Gothic"/>
        </w:rPr>
        <w:t xml:space="preserve"> which broadcasts </w:t>
      </w:r>
      <w:r>
        <w:rPr>
          <w:rFonts w:eastAsia="Malgun Gothic"/>
        </w:rPr>
        <w:t>"</w:t>
      </w:r>
      <w:r w:rsidRPr="00D65A9C">
        <w:rPr>
          <w:rFonts w:eastAsia="Malgun Gothic"/>
        </w:rPr>
        <w:t xml:space="preserve">access using credentials </w:t>
      </w:r>
      <w:r>
        <w:rPr>
          <w:rFonts w:eastAsia="Malgun Gothic"/>
        </w:rPr>
        <w:t xml:space="preserve">from a separate </w:t>
      </w:r>
      <w:r w:rsidRPr="00AA64C5">
        <w:rPr>
          <w:rFonts w:eastAsia="Malgun Gothic"/>
        </w:rPr>
        <w:t>entity is supported" indication and an SNPN ID contained in the user-controlled list (if available)</w:t>
      </w:r>
    </w:p>
    <w:p w14:paraId="1D19D404"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UE selects an available and allowable SNPN which broadcasts "access using credentials from a separate entity is supported" indication and an SNPN ID contained in the separate entity-controlled list (if available)</w:t>
      </w:r>
    </w:p>
    <w:p w14:paraId="02E76E88"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UE selects an available and allowable SNPN which broadcasts "access using credentials from a separate entity is supported" indication and a GID contained in the separate entity-controlled list (if available)</w:t>
      </w:r>
    </w:p>
    <w:p w14:paraId="0387F90E" w14:textId="77777777" w:rsidR="00771A51" w:rsidRPr="00AA64C5" w:rsidRDefault="00771A51" w:rsidP="00771A51">
      <w:pPr>
        <w:pStyle w:val="B2"/>
        <w:ind w:left="800"/>
        <w:rPr>
          <w:rFonts w:eastAsia="Malgun Gothic"/>
          <w:lang w:val="en-US" w:eastAsia="ko-KR"/>
        </w:rPr>
      </w:pPr>
      <w:r w:rsidRPr="00AA64C5">
        <w:rPr>
          <w:rFonts w:eastAsia="Malgun Gothic"/>
        </w:rPr>
        <w:t>-</w:t>
      </w:r>
      <w:r w:rsidRPr="00AA64C5">
        <w:rPr>
          <w:rFonts w:eastAsia="Malgun Gothic"/>
        </w:rPr>
        <w:tab/>
        <w:t xml:space="preserve">If the UE has not found an available and allowable SNPN based on the above, the UE selects an available and allowable SNPN which broadcasts an indication </w:t>
      </w:r>
      <w:r w:rsidRPr="00AA64C5">
        <w:rPr>
          <w:rFonts w:eastAsia="Malgun Gothic"/>
          <w:lang w:val="en-US"/>
        </w:rPr>
        <w:t>that the SNPN allows registration attempts from UEs that are not explicitly configured to select the SNPN</w:t>
      </w:r>
      <w:r w:rsidRPr="00AA64C5">
        <w:rPr>
          <w:rFonts w:eastAsia="Malgun Gothic"/>
          <w:lang w:val="en-US" w:eastAsia="ko-KR"/>
        </w:rPr>
        <w:t>:</w:t>
      </w:r>
    </w:p>
    <w:p w14:paraId="126A308F" w14:textId="77777777" w:rsidR="00771A51" w:rsidRPr="00AA64C5" w:rsidRDefault="00771A51" w:rsidP="00771A51">
      <w:pPr>
        <w:pStyle w:val="B3"/>
        <w:rPr>
          <w:rFonts w:eastAsia="Malgun Gothic"/>
          <w:lang w:val="x-none"/>
        </w:rPr>
      </w:pPr>
      <w:r w:rsidRPr="00AA64C5">
        <w:rPr>
          <w:rFonts w:eastAsia="Malgun Gothic"/>
        </w:rPr>
        <w:t>-</w:t>
      </w:r>
      <w:r w:rsidRPr="00AA64C5">
        <w:rPr>
          <w:rFonts w:eastAsia="Malgun Gothic"/>
        </w:rPr>
        <w:tab/>
      </w:r>
      <w:r w:rsidRPr="00AA64C5">
        <w:rPr>
          <w:rFonts w:eastAsia="Malgun Gothic"/>
          <w:lang w:val="en-US"/>
        </w:rPr>
        <w:t>If the UE detects a plurality of such SNPNs, the order in which the UE selects and attempts a registration with an SNPN is implementation specific</w:t>
      </w:r>
    </w:p>
    <w:p w14:paraId="0ED59757"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r>
      <w:r w:rsidRPr="00AA64C5">
        <w:rPr>
          <w:rFonts w:eastAsia="Malgun Gothic"/>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331B8E14"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The UE continues automatic SNPN selection based on the above until a suitable cell is found or until the user stops the automatic selection procedure (in which case the user may proceed with manual network selection).</w:t>
      </w:r>
    </w:p>
    <w:p w14:paraId="512DE645" w14:textId="77777777" w:rsidR="00771A51" w:rsidRPr="00A97959" w:rsidDel="00C25A50" w:rsidRDefault="00771A51" w:rsidP="00771A51">
      <w:pPr>
        <w:pStyle w:val="NO"/>
        <w:rPr>
          <w:lang w:eastAsia="ko-KR"/>
        </w:rPr>
      </w:pPr>
      <w:r w:rsidRPr="00AA64C5" w:rsidDel="00C25A50">
        <w:t>NOTE</w:t>
      </w:r>
      <w:r w:rsidRPr="00AA64C5">
        <w:t> </w:t>
      </w:r>
      <w:r>
        <w:t>5</w:t>
      </w:r>
      <w:r w:rsidRPr="00AA64C5" w:rsidDel="00C25A50">
        <w:t>:</w:t>
      </w:r>
      <w:r w:rsidRPr="00AA64C5" w:rsidDel="00C25A50">
        <w:rPr>
          <w:lang w:eastAsia="zh-CN"/>
        </w:rPr>
        <w:tab/>
      </w:r>
      <w:r w:rsidRPr="00AA64C5">
        <w:rPr>
          <w:lang w:eastAsia="zh-CN"/>
        </w:rPr>
        <w:t>The details of how to prevent a UE from automatically repeatedly selecting an SNPN that rejects the UE</w:t>
      </w:r>
      <w:r>
        <w:rPr>
          <w:lang w:eastAsia="zh-CN"/>
        </w:rPr>
        <w:t>'</w:t>
      </w:r>
      <w:r w:rsidRPr="00AA64C5">
        <w:rPr>
          <w:lang w:eastAsia="zh-CN"/>
        </w:rPr>
        <w:t>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p>
    <w:p w14:paraId="34B93DF6" w14:textId="77777777" w:rsidR="00771A51" w:rsidRDefault="00771A51" w:rsidP="00771A51">
      <w:pPr>
        <w:pStyle w:val="B1"/>
        <w:rPr>
          <w:rFonts w:eastAsia="Malgun Gothic"/>
        </w:rPr>
      </w:pPr>
      <w:r>
        <w:rPr>
          <w:rFonts w:eastAsia="Malgun Gothic"/>
        </w:rPr>
        <w:t>-</w:t>
      </w:r>
      <w:r>
        <w:rPr>
          <w:rFonts w:eastAsia="Malgun Gothic"/>
        </w:rPr>
        <w:tab/>
        <w:t xml:space="preserve">For manual SNPN selection the UE presents all available SNPNs, which </w:t>
      </w:r>
      <w:r w:rsidRPr="00D65A9C">
        <w:rPr>
          <w:rFonts w:eastAsia="Malgun Gothic"/>
        </w:rPr>
        <w:t>broadcast</w:t>
      </w:r>
      <w:r>
        <w:rPr>
          <w:rFonts w:eastAsia="Malgun Gothic"/>
        </w:rPr>
        <w:t xml:space="preserve"> the</w:t>
      </w:r>
      <w:r w:rsidRPr="00D65A9C">
        <w:rPr>
          <w:rFonts w:eastAsia="Malgun Gothic"/>
        </w:rPr>
        <w:t xml:space="preserve"> </w:t>
      </w:r>
      <w:r>
        <w:rPr>
          <w:rFonts w:eastAsia="Malgun Gothic"/>
        </w:rPr>
        <w:t>"</w:t>
      </w:r>
      <w:r w:rsidRPr="00D65A9C">
        <w:rPr>
          <w:rFonts w:eastAsia="Malgun Gothic"/>
        </w:rPr>
        <w:t xml:space="preserve">access using credentials </w:t>
      </w:r>
      <w:r>
        <w:rPr>
          <w:rFonts w:eastAsia="Malgun Gothic"/>
        </w:rPr>
        <w:t>from a separate entity</w:t>
      </w:r>
      <w:r w:rsidRPr="00D65A9C">
        <w:rPr>
          <w:rFonts w:eastAsia="Malgun Gothic"/>
        </w:rPr>
        <w:t xml:space="preserve"> is supported</w:t>
      </w:r>
      <w:r>
        <w:rPr>
          <w:rFonts w:eastAsia="Malgun Gothic"/>
        </w:rPr>
        <w:t>"</w:t>
      </w:r>
      <w:r w:rsidRPr="00D65A9C">
        <w:rPr>
          <w:rFonts w:eastAsia="Malgun Gothic"/>
        </w:rPr>
        <w:t xml:space="preserve"> indication</w:t>
      </w:r>
      <w:r>
        <w:rPr>
          <w:rFonts w:eastAsia="Malgun Gothic"/>
        </w:rPr>
        <w:t>.</w:t>
      </w:r>
    </w:p>
    <w:p w14:paraId="2153B0C3" w14:textId="77777777" w:rsidR="00771A51" w:rsidRDefault="00771A51" w:rsidP="00771A51">
      <w:pPr>
        <w:pStyle w:val="NO"/>
      </w:pPr>
      <w:r>
        <w:t>NOTE 6:</w:t>
      </w:r>
      <w:r>
        <w:tab/>
        <w:t>The order in which available SNPNs are presented can be defined by CT1.</w:t>
      </w:r>
    </w:p>
    <w:p w14:paraId="1258A23E" w14:textId="77777777" w:rsidR="00043830" w:rsidRPr="00043830" w:rsidRDefault="00043830" w:rsidP="00043830"/>
    <w:sectPr w:rsidR="00043830" w:rsidRPr="00043830" w:rsidSect="003F511E">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3B4003C" w16cex:dateUtc="2021-01-14T1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C53BB" w14:textId="77777777" w:rsidR="00464CE2" w:rsidRDefault="00464CE2">
      <w:r>
        <w:separator/>
      </w:r>
    </w:p>
  </w:endnote>
  <w:endnote w:type="continuationSeparator" w:id="0">
    <w:p w14:paraId="3D461B91" w14:textId="77777777" w:rsidR="00464CE2" w:rsidRDefault="00464CE2">
      <w:r>
        <w:continuationSeparator/>
      </w:r>
    </w:p>
  </w:endnote>
  <w:endnote w:type="continuationNotice" w:id="1">
    <w:p w14:paraId="19B9E69D" w14:textId="77777777" w:rsidR="00464CE2" w:rsidRDefault="00464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Print"/>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7544A" w14:textId="77777777" w:rsidR="00464CE2" w:rsidRDefault="00464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8899" w14:textId="77777777" w:rsidR="00464CE2" w:rsidRDefault="00464C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03C95" w14:textId="77777777" w:rsidR="00464CE2" w:rsidRDefault="00464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97BC" w14:textId="77777777" w:rsidR="00464CE2" w:rsidRDefault="00464C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9B23E" w14:textId="77777777" w:rsidR="00464CE2" w:rsidRDefault="00464CE2">
      <w:r>
        <w:separator/>
      </w:r>
    </w:p>
  </w:footnote>
  <w:footnote w:type="continuationSeparator" w:id="0">
    <w:p w14:paraId="4454FF08" w14:textId="77777777" w:rsidR="00464CE2" w:rsidRDefault="00464CE2">
      <w:r>
        <w:continuationSeparator/>
      </w:r>
    </w:p>
  </w:footnote>
  <w:footnote w:type="continuationNotice" w:id="1">
    <w:p w14:paraId="2C3C0D5F" w14:textId="77777777" w:rsidR="00464CE2" w:rsidRDefault="00464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0735D" w14:textId="77777777" w:rsidR="00464CE2" w:rsidRDefault="00464C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5157B" w14:textId="77777777" w:rsidR="00464CE2" w:rsidRDefault="00464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4C73B" w14:textId="77777777" w:rsidR="00464CE2" w:rsidRDefault="00464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C8D2" w14:textId="77777777" w:rsidR="00464CE2" w:rsidRDefault="00464C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7CB7D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255A566E"/>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1537B9A"/>
    <w:multiLevelType w:val="hybridMultilevel"/>
    <w:tmpl w:val="269A253C"/>
    <w:lvl w:ilvl="0" w:tplc="4FE8F75E">
      <w:start w:val="2020"/>
      <w:numFmt w:val="bullet"/>
      <w:lvlText w:val="-"/>
      <w:lvlJc w:val="left"/>
      <w:pPr>
        <w:tabs>
          <w:tab w:val="num" w:pos="720"/>
        </w:tabs>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1887EA9"/>
    <w:multiLevelType w:val="hybridMultilevel"/>
    <w:tmpl w:val="BF3AAD3A"/>
    <w:lvl w:ilvl="0" w:tplc="130E5152">
      <w:start w:val="1"/>
      <w:numFmt w:val="bullet"/>
      <w:lvlText w:val="●"/>
      <w:lvlJc w:val="left"/>
      <w:pPr>
        <w:tabs>
          <w:tab w:val="num" w:pos="720"/>
        </w:tabs>
        <w:ind w:left="720" w:hanging="360"/>
      </w:pPr>
      <w:rPr>
        <w:rFonts w:ascii="Ericsson Hilda" w:hAnsi="Ericsson Hilda" w:hint="default"/>
      </w:rPr>
    </w:lvl>
    <w:lvl w:ilvl="1" w:tplc="3CEA4758" w:tentative="1">
      <w:start w:val="1"/>
      <w:numFmt w:val="bullet"/>
      <w:lvlText w:val="●"/>
      <w:lvlJc w:val="left"/>
      <w:pPr>
        <w:tabs>
          <w:tab w:val="num" w:pos="1440"/>
        </w:tabs>
        <w:ind w:left="1440" w:hanging="360"/>
      </w:pPr>
      <w:rPr>
        <w:rFonts w:ascii="Ericsson Hilda" w:hAnsi="Ericsson Hilda" w:hint="default"/>
      </w:rPr>
    </w:lvl>
    <w:lvl w:ilvl="2" w:tplc="796472B4" w:tentative="1">
      <w:start w:val="1"/>
      <w:numFmt w:val="bullet"/>
      <w:lvlText w:val="●"/>
      <w:lvlJc w:val="left"/>
      <w:pPr>
        <w:tabs>
          <w:tab w:val="num" w:pos="2160"/>
        </w:tabs>
        <w:ind w:left="2160" w:hanging="360"/>
      </w:pPr>
      <w:rPr>
        <w:rFonts w:ascii="Ericsson Hilda" w:hAnsi="Ericsson Hilda" w:hint="default"/>
      </w:rPr>
    </w:lvl>
    <w:lvl w:ilvl="3" w:tplc="E6A623EE" w:tentative="1">
      <w:start w:val="1"/>
      <w:numFmt w:val="bullet"/>
      <w:lvlText w:val="●"/>
      <w:lvlJc w:val="left"/>
      <w:pPr>
        <w:tabs>
          <w:tab w:val="num" w:pos="2880"/>
        </w:tabs>
        <w:ind w:left="2880" w:hanging="360"/>
      </w:pPr>
      <w:rPr>
        <w:rFonts w:ascii="Ericsson Hilda" w:hAnsi="Ericsson Hilda" w:hint="default"/>
      </w:rPr>
    </w:lvl>
    <w:lvl w:ilvl="4" w:tplc="A61638CC" w:tentative="1">
      <w:start w:val="1"/>
      <w:numFmt w:val="bullet"/>
      <w:lvlText w:val="●"/>
      <w:lvlJc w:val="left"/>
      <w:pPr>
        <w:tabs>
          <w:tab w:val="num" w:pos="3600"/>
        </w:tabs>
        <w:ind w:left="3600" w:hanging="360"/>
      </w:pPr>
      <w:rPr>
        <w:rFonts w:ascii="Ericsson Hilda" w:hAnsi="Ericsson Hilda" w:hint="default"/>
      </w:rPr>
    </w:lvl>
    <w:lvl w:ilvl="5" w:tplc="50B6A7A6" w:tentative="1">
      <w:start w:val="1"/>
      <w:numFmt w:val="bullet"/>
      <w:lvlText w:val="●"/>
      <w:lvlJc w:val="left"/>
      <w:pPr>
        <w:tabs>
          <w:tab w:val="num" w:pos="4320"/>
        </w:tabs>
        <w:ind w:left="4320" w:hanging="360"/>
      </w:pPr>
      <w:rPr>
        <w:rFonts w:ascii="Ericsson Hilda" w:hAnsi="Ericsson Hilda" w:hint="default"/>
      </w:rPr>
    </w:lvl>
    <w:lvl w:ilvl="6" w:tplc="FC3AF534" w:tentative="1">
      <w:start w:val="1"/>
      <w:numFmt w:val="bullet"/>
      <w:lvlText w:val="●"/>
      <w:lvlJc w:val="left"/>
      <w:pPr>
        <w:tabs>
          <w:tab w:val="num" w:pos="5040"/>
        </w:tabs>
        <w:ind w:left="5040" w:hanging="360"/>
      </w:pPr>
      <w:rPr>
        <w:rFonts w:ascii="Ericsson Hilda" w:hAnsi="Ericsson Hilda" w:hint="default"/>
      </w:rPr>
    </w:lvl>
    <w:lvl w:ilvl="7" w:tplc="5BAA1F26" w:tentative="1">
      <w:start w:val="1"/>
      <w:numFmt w:val="bullet"/>
      <w:lvlText w:val="●"/>
      <w:lvlJc w:val="left"/>
      <w:pPr>
        <w:tabs>
          <w:tab w:val="num" w:pos="5760"/>
        </w:tabs>
        <w:ind w:left="5760" w:hanging="360"/>
      </w:pPr>
      <w:rPr>
        <w:rFonts w:ascii="Ericsson Hilda" w:hAnsi="Ericsson Hilda" w:hint="default"/>
      </w:rPr>
    </w:lvl>
    <w:lvl w:ilvl="8" w:tplc="4F2EECD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5646A3"/>
    <w:multiLevelType w:val="hybridMultilevel"/>
    <w:tmpl w:val="BDF29532"/>
    <w:lvl w:ilvl="0" w:tplc="381ACCAE">
      <w:start w:val="1"/>
      <w:numFmt w:val="decimal"/>
      <w:lvlText w:val="%1."/>
      <w:lvlJc w:val="left"/>
      <w:pPr>
        <w:ind w:left="720" w:hanging="360"/>
      </w:pPr>
      <w:rPr>
        <w:rFonts w:eastAsia="Malgun Gothic"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C6BB3"/>
    <w:multiLevelType w:val="hybridMultilevel"/>
    <w:tmpl w:val="1222296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1B4693"/>
    <w:multiLevelType w:val="hybridMultilevel"/>
    <w:tmpl w:val="648A9B12"/>
    <w:lvl w:ilvl="0" w:tplc="225203B0">
      <w:numFmt w:val="bullet"/>
      <w:lvlText w:val="−"/>
      <w:lvlJc w:val="left"/>
      <w:pPr>
        <w:ind w:left="1080" w:hanging="360"/>
      </w:pPr>
      <w:rPr>
        <w:rFonts w:ascii="Calibre Regular" w:hAnsi="Calibre Regular"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9E6184E"/>
    <w:multiLevelType w:val="hybridMultilevel"/>
    <w:tmpl w:val="7634209A"/>
    <w:lvl w:ilvl="0" w:tplc="B3428C4A">
      <w:start w:val="1"/>
      <w:numFmt w:val="bullet"/>
      <w:lvlText w:val="-"/>
      <w:lvlJc w:val="left"/>
      <w:pPr>
        <w:ind w:left="1000" w:hanging="360"/>
      </w:pPr>
      <w:rPr>
        <w:rFonts w:ascii="Times New Roman" w:hAnsi="Times New Roman" w:cs="Times New Roman" w:hint="default"/>
      </w:rPr>
    </w:lvl>
    <w:lvl w:ilvl="1" w:tplc="10000003" w:tentative="1">
      <w:start w:val="1"/>
      <w:numFmt w:val="bullet"/>
      <w:lvlText w:val="o"/>
      <w:lvlJc w:val="left"/>
      <w:pPr>
        <w:ind w:left="1720" w:hanging="360"/>
      </w:pPr>
      <w:rPr>
        <w:rFonts w:ascii="Courier New" w:hAnsi="Courier New" w:cs="Courier New" w:hint="default"/>
      </w:rPr>
    </w:lvl>
    <w:lvl w:ilvl="2" w:tplc="10000005" w:tentative="1">
      <w:start w:val="1"/>
      <w:numFmt w:val="bullet"/>
      <w:lvlText w:val=""/>
      <w:lvlJc w:val="left"/>
      <w:pPr>
        <w:ind w:left="2440" w:hanging="360"/>
      </w:pPr>
      <w:rPr>
        <w:rFonts w:ascii="Wingdings" w:hAnsi="Wingdings" w:hint="default"/>
      </w:rPr>
    </w:lvl>
    <w:lvl w:ilvl="3" w:tplc="10000001" w:tentative="1">
      <w:start w:val="1"/>
      <w:numFmt w:val="bullet"/>
      <w:lvlText w:val=""/>
      <w:lvlJc w:val="left"/>
      <w:pPr>
        <w:ind w:left="3160" w:hanging="360"/>
      </w:pPr>
      <w:rPr>
        <w:rFonts w:ascii="Symbol" w:hAnsi="Symbol" w:hint="default"/>
      </w:rPr>
    </w:lvl>
    <w:lvl w:ilvl="4" w:tplc="10000003" w:tentative="1">
      <w:start w:val="1"/>
      <w:numFmt w:val="bullet"/>
      <w:lvlText w:val="o"/>
      <w:lvlJc w:val="left"/>
      <w:pPr>
        <w:ind w:left="3880" w:hanging="360"/>
      </w:pPr>
      <w:rPr>
        <w:rFonts w:ascii="Courier New" w:hAnsi="Courier New" w:cs="Courier New" w:hint="default"/>
      </w:rPr>
    </w:lvl>
    <w:lvl w:ilvl="5" w:tplc="10000005" w:tentative="1">
      <w:start w:val="1"/>
      <w:numFmt w:val="bullet"/>
      <w:lvlText w:val=""/>
      <w:lvlJc w:val="left"/>
      <w:pPr>
        <w:ind w:left="4600" w:hanging="360"/>
      </w:pPr>
      <w:rPr>
        <w:rFonts w:ascii="Wingdings" w:hAnsi="Wingdings" w:hint="default"/>
      </w:rPr>
    </w:lvl>
    <w:lvl w:ilvl="6" w:tplc="10000001" w:tentative="1">
      <w:start w:val="1"/>
      <w:numFmt w:val="bullet"/>
      <w:lvlText w:val=""/>
      <w:lvlJc w:val="left"/>
      <w:pPr>
        <w:ind w:left="5320" w:hanging="360"/>
      </w:pPr>
      <w:rPr>
        <w:rFonts w:ascii="Symbol" w:hAnsi="Symbol" w:hint="default"/>
      </w:rPr>
    </w:lvl>
    <w:lvl w:ilvl="7" w:tplc="10000003" w:tentative="1">
      <w:start w:val="1"/>
      <w:numFmt w:val="bullet"/>
      <w:lvlText w:val="o"/>
      <w:lvlJc w:val="left"/>
      <w:pPr>
        <w:ind w:left="6040" w:hanging="360"/>
      </w:pPr>
      <w:rPr>
        <w:rFonts w:ascii="Courier New" w:hAnsi="Courier New" w:cs="Courier New" w:hint="default"/>
      </w:rPr>
    </w:lvl>
    <w:lvl w:ilvl="8" w:tplc="10000005" w:tentative="1">
      <w:start w:val="1"/>
      <w:numFmt w:val="bullet"/>
      <w:lvlText w:val=""/>
      <w:lvlJc w:val="left"/>
      <w:pPr>
        <w:ind w:left="6760" w:hanging="360"/>
      </w:pPr>
      <w:rPr>
        <w:rFonts w:ascii="Wingdings" w:hAnsi="Wingdings" w:hint="default"/>
      </w:rPr>
    </w:lvl>
  </w:abstractNum>
  <w:abstractNum w:abstractNumId="17" w15:restartNumberingAfterBreak="0">
    <w:nsid w:val="2B6E445D"/>
    <w:multiLevelType w:val="hybridMultilevel"/>
    <w:tmpl w:val="456CAACC"/>
    <w:lvl w:ilvl="0" w:tplc="7AFA28CE">
      <w:start w:val="1"/>
      <w:numFmt w:val="decimal"/>
      <w:lvlText w:val="Proposal %1:"/>
      <w:lvlJc w:val="left"/>
      <w:pPr>
        <w:tabs>
          <w:tab w:val="num" w:pos="1304"/>
        </w:tabs>
        <w:ind w:left="1304" w:hanging="1304"/>
      </w:pPr>
      <w:rPr>
        <w:rFonts w:hint="default"/>
      </w:rPr>
    </w:lvl>
    <w:lvl w:ilvl="1" w:tplc="EAB478A6">
      <w:start w:val="1"/>
      <w:numFmt w:val="lowerLetter"/>
      <w:lvlText w:val="%2."/>
      <w:lvlJc w:val="left"/>
      <w:pPr>
        <w:tabs>
          <w:tab w:val="num" w:pos="1440"/>
        </w:tabs>
        <w:ind w:left="1440" w:hanging="360"/>
      </w:pPr>
    </w:lvl>
    <w:lvl w:ilvl="2" w:tplc="E4784B38">
      <w:start w:val="1"/>
      <w:numFmt w:val="lowerRoman"/>
      <w:lvlText w:val="%3."/>
      <w:lvlJc w:val="right"/>
      <w:pPr>
        <w:tabs>
          <w:tab w:val="num" w:pos="2160"/>
        </w:tabs>
        <w:ind w:left="2160" w:hanging="180"/>
      </w:pPr>
    </w:lvl>
    <w:lvl w:ilvl="3" w:tplc="3288EFB0">
      <w:start w:val="1"/>
      <w:numFmt w:val="decimal"/>
      <w:lvlText w:val="%4."/>
      <w:lvlJc w:val="left"/>
      <w:pPr>
        <w:tabs>
          <w:tab w:val="num" w:pos="2880"/>
        </w:tabs>
        <w:ind w:left="2880" w:hanging="360"/>
      </w:pPr>
    </w:lvl>
    <w:lvl w:ilvl="4" w:tplc="DFE4E6CA">
      <w:start w:val="1"/>
      <w:numFmt w:val="lowerLetter"/>
      <w:lvlText w:val="%5."/>
      <w:lvlJc w:val="left"/>
      <w:pPr>
        <w:tabs>
          <w:tab w:val="num" w:pos="3600"/>
        </w:tabs>
        <w:ind w:left="3600" w:hanging="360"/>
      </w:pPr>
    </w:lvl>
    <w:lvl w:ilvl="5" w:tplc="714008F2">
      <w:start w:val="1"/>
      <w:numFmt w:val="lowerRoman"/>
      <w:lvlText w:val="%6."/>
      <w:lvlJc w:val="right"/>
      <w:pPr>
        <w:tabs>
          <w:tab w:val="num" w:pos="4320"/>
        </w:tabs>
        <w:ind w:left="4320" w:hanging="180"/>
      </w:pPr>
    </w:lvl>
    <w:lvl w:ilvl="6" w:tplc="6D26E2D0">
      <w:start w:val="1"/>
      <w:numFmt w:val="decimal"/>
      <w:lvlText w:val="%7."/>
      <w:lvlJc w:val="left"/>
      <w:pPr>
        <w:tabs>
          <w:tab w:val="num" w:pos="5040"/>
        </w:tabs>
        <w:ind w:left="5040" w:hanging="360"/>
      </w:pPr>
    </w:lvl>
    <w:lvl w:ilvl="7" w:tplc="DAF0E916">
      <w:start w:val="1"/>
      <w:numFmt w:val="lowerLetter"/>
      <w:lvlText w:val="%8."/>
      <w:lvlJc w:val="left"/>
      <w:pPr>
        <w:tabs>
          <w:tab w:val="num" w:pos="5760"/>
        </w:tabs>
        <w:ind w:left="5760" w:hanging="360"/>
      </w:pPr>
    </w:lvl>
    <w:lvl w:ilvl="8" w:tplc="7D742C96">
      <w:start w:val="1"/>
      <w:numFmt w:val="lowerRoman"/>
      <w:lvlText w:val="%9."/>
      <w:lvlJc w:val="right"/>
      <w:pPr>
        <w:tabs>
          <w:tab w:val="num" w:pos="6480"/>
        </w:tabs>
        <w:ind w:left="6480" w:hanging="180"/>
      </w:pPr>
    </w:lvl>
  </w:abstractNum>
  <w:abstractNum w:abstractNumId="18" w15:restartNumberingAfterBreak="0">
    <w:nsid w:val="30AF5426"/>
    <w:multiLevelType w:val="hybridMultilevel"/>
    <w:tmpl w:val="DCCC1730"/>
    <w:lvl w:ilvl="0" w:tplc="CE3A2AF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26065"/>
    <w:multiLevelType w:val="hybridMultilevel"/>
    <w:tmpl w:val="B218EAF0"/>
    <w:lvl w:ilvl="0" w:tplc="D00CDAF8">
      <w:start w:val="1"/>
      <w:numFmt w:val="bullet"/>
      <w:lvlText w:val="—"/>
      <w:lvlJc w:val="left"/>
      <w:pPr>
        <w:tabs>
          <w:tab w:val="num" w:pos="720"/>
        </w:tabs>
        <w:ind w:left="720" w:hanging="360"/>
      </w:pPr>
      <w:rPr>
        <w:rFonts w:ascii="Ericsson Hilda" w:hAnsi="Ericsson Hilda"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914E0B"/>
    <w:multiLevelType w:val="hybridMultilevel"/>
    <w:tmpl w:val="8578B1B8"/>
    <w:lvl w:ilvl="0" w:tplc="D00CDAF8">
      <w:start w:val="1"/>
      <w:numFmt w:val="bullet"/>
      <w:lvlText w:val="—"/>
      <w:lvlJc w:val="left"/>
      <w:pPr>
        <w:ind w:left="1080" w:hanging="360"/>
      </w:pPr>
      <w:rPr>
        <w:rFonts w:ascii="Ericsson Hilda" w:hAnsi="Ericsson Hilda"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8E11A6"/>
    <w:multiLevelType w:val="hybridMultilevel"/>
    <w:tmpl w:val="750E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6270D5"/>
    <w:multiLevelType w:val="hybridMultilevel"/>
    <w:tmpl w:val="E7182E28"/>
    <w:lvl w:ilvl="0" w:tplc="1000000F">
      <w:start w:val="1"/>
      <w:numFmt w:val="decimal"/>
      <w:lvlText w:val="%1."/>
      <w:lvlJc w:val="left"/>
      <w:pPr>
        <w:tabs>
          <w:tab w:val="num" w:pos="720"/>
        </w:tabs>
        <w:ind w:left="720" w:hanging="360"/>
      </w:pPr>
      <w:rPr>
        <w:rFonts w:hint="default"/>
      </w:rPr>
    </w:lvl>
    <w:lvl w:ilvl="1" w:tplc="180E2508">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67E0D12"/>
    <w:multiLevelType w:val="hybridMultilevel"/>
    <w:tmpl w:val="47307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C371A7"/>
    <w:multiLevelType w:val="hybridMultilevel"/>
    <w:tmpl w:val="B0424400"/>
    <w:lvl w:ilvl="0" w:tplc="09708730">
      <w:start w:val="1"/>
      <w:numFmt w:val="bullet"/>
      <w:lvlText w:val="●"/>
      <w:lvlJc w:val="left"/>
      <w:pPr>
        <w:tabs>
          <w:tab w:val="num" w:pos="720"/>
        </w:tabs>
        <w:ind w:left="720" w:hanging="360"/>
      </w:pPr>
      <w:rPr>
        <w:rFonts w:ascii="Ericsson Hilda" w:hAnsi="Ericsson Hilda" w:hint="default"/>
      </w:rPr>
    </w:lvl>
    <w:lvl w:ilvl="1" w:tplc="D2C4552E" w:tentative="1">
      <w:start w:val="1"/>
      <w:numFmt w:val="bullet"/>
      <w:lvlText w:val="●"/>
      <w:lvlJc w:val="left"/>
      <w:pPr>
        <w:tabs>
          <w:tab w:val="num" w:pos="1440"/>
        </w:tabs>
        <w:ind w:left="1440" w:hanging="360"/>
      </w:pPr>
      <w:rPr>
        <w:rFonts w:ascii="Ericsson Hilda" w:hAnsi="Ericsson Hilda" w:hint="default"/>
      </w:rPr>
    </w:lvl>
    <w:lvl w:ilvl="2" w:tplc="357E7F12" w:tentative="1">
      <w:start w:val="1"/>
      <w:numFmt w:val="bullet"/>
      <w:lvlText w:val="●"/>
      <w:lvlJc w:val="left"/>
      <w:pPr>
        <w:tabs>
          <w:tab w:val="num" w:pos="2160"/>
        </w:tabs>
        <w:ind w:left="2160" w:hanging="360"/>
      </w:pPr>
      <w:rPr>
        <w:rFonts w:ascii="Ericsson Hilda" w:hAnsi="Ericsson Hilda" w:hint="default"/>
      </w:rPr>
    </w:lvl>
    <w:lvl w:ilvl="3" w:tplc="739A419C" w:tentative="1">
      <w:start w:val="1"/>
      <w:numFmt w:val="bullet"/>
      <w:lvlText w:val="●"/>
      <w:lvlJc w:val="left"/>
      <w:pPr>
        <w:tabs>
          <w:tab w:val="num" w:pos="2880"/>
        </w:tabs>
        <w:ind w:left="2880" w:hanging="360"/>
      </w:pPr>
      <w:rPr>
        <w:rFonts w:ascii="Ericsson Hilda" w:hAnsi="Ericsson Hilda" w:hint="default"/>
      </w:rPr>
    </w:lvl>
    <w:lvl w:ilvl="4" w:tplc="864A6BBA" w:tentative="1">
      <w:start w:val="1"/>
      <w:numFmt w:val="bullet"/>
      <w:lvlText w:val="●"/>
      <w:lvlJc w:val="left"/>
      <w:pPr>
        <w:tabs>
          <w:tab w:val="num" w:pos="3600"/>
        </w:tabs>
        <w:ind w:left="3600" w:hanging="360"/>
      </w:pPr>
      <w:rPr>
        <w:rFonts w:ascii="Ericsson Hilda" w:hAnsi="Ericsson Hilda" w:hint="default"/>
      </w:rPr>
    </w:lvl>
    <w:lvl w:ilvl="5" w:tplc="53BA80A6" w:tentative="1">
      <w:start w:val="1"/>
      <w:numFmt w:val="bullet"/>
      <w:lvlText w:val="●"/>
      <w:lvlJc w:val="left"/>
      <w:pPr>
        <w:tabs>
          <w:tab w:val="num" w:pos="4320"/>
        </w:tabs>
        <w:ind w:left="4320" w:hanging="360"/>
      </w:pPr>
      <w:rPr>
        <w:rFonts w:ascii="Ericsson Hilda" w:hAnsi="Ericsson Hilda" w:hint="default"/>
      </w:rPr>
    </w:lvl>
    <w:lvl w:ilvl="6" w:tplc="D1C053AE" w:tentative="1">
      <w:start w:val="1"/>
      <w:numFmt w:val="bullet"/>
      <w:lvlText w:val="●"/>
      <w:lvlJc w:val="left"/>
      <w:pPr>
        <w:tabs>
          <w:tab w:val="num" w:pos="5040"/>
        </w:tabs>
        <w:ind w:left="5040" w:hanging="360"/>
      </w:pPr>
      <w:rPr>
        <w:rFonts w:ascii="Ericsson Hilda" w:hAnsi="Ericsson Hilda" w:hint="default"/>
      </w:rPr>
    </w:lvl>
    <w:lvl w:ilvl="7" w:tplc="CA64E702" w:tentative="1">
      <w:start w:val="1"/>
      <w:numFmt w:val="bullet"/>
      <w:lvlText w:val="●"/>
      <w:lvlJc w:val="left"/>
      <w:pPr>
        <w:tabs>
          <w:tab w:val="num" w:pos="5760"/>
        </w:tabs>
        <w:ind w:left="5760" w:hanging="360"/>
      </w:pPr>
      <w:rPr>
        <w:rFonts w:ascii="Ericsson Hilda" w:hAnsi="Ericsson Hilda" w:hint="default"/>
      </w:rPr>
    </w:lvl>
    <w:lvl w:ilvl="8" w:tplc="D98C4C78"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9601F63"/>
    <w:multiLevelType w:val="hybridMultilevel"/>
    <w:tmpl w:val="8DC8DDA4"/>
    <w:lvl w:ilvl="0" w:tplc="D00CDAF8">
      <w:start w:val="1"/>
      <w:numFmt w:val="bullet"/>
      <w:lvlText w:val="—"/>
      <w:lvlJc w:val="left"/>
      <w:pPr>
        <w:ind w:left="1080" w:hanging="360"/>
      </w:pPr>
      <w:rPr>
        <w:rFonts w:ascii="Ericsson Hilda" w:hAnsi="Ericsson Hilda"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510D1F"/>
    <w:multiLevelType w:val="hybridMultilevel"/>
    <w:tmpl w:val="334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334E9F"/>
    <w:multiLevelType w:val="hybridMultilevel"/>
    <w:tmpl w:val="E1ECC94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0200DA"/>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6"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35"/>
  </w:num>
  <w:num w:numId="3">
    <w:abstractNumId w:val="24"/>
  </w:num>
  <w:num w:numId="4">
    <w:abstractNumId w:val="25"/>
  </w:num>
  <w:num w:numId="5">
    <w:abstractNumId w:val="19"/>
  </w:num>
  <w:num w:numId="6">
    <w:abstractNumId w:val="29"/>
  </w:num>
  <w:num w:numId="7">
    <w:abstractNumId w:val="40"/>
  </w:num>
  <w:num w:numId="8">
    <w:abstractNumId w:val="20"/>
  </w:num>
  <w:num w:numId="9">
    <w:abstractNumId w:val="17"/>
  </w:num>
  <w:num w:numId="10">
    <w:abstractNumId w:val="2"/>
  </w:num>
  <w:num w:numId="11">
    <w:abstractNumId w:val="1"/>
  </w:num>
  <w:num w:numId="12">
    <w:abstractNumId w:val="0"/>
  </w:num>
  <w:num w:numId="13">
    <w:abstractNumId w:val="36"/>
  </w:num>
  <w:num w:numId="14">
    <w:abstractNumId w:val="37"/>
  </w:num>
  <w:num w:numId="15">
    <w:abstractNumId w:val="27"/>
  </w:num>
  <w:num w:numId="16">
    <w:abstractNumId w:val="41"/>
  </w:num>
  <w:num w:numId="17">
    <w:abstractNumId w:val="12"/>
  </w:num>
  <w:num w:numId="18">
    <w:abstractNumId w:val="14"/>
  </w:num>
  <w:num w:numId="19">
    <w:abstractNumId w:val="7"/>
  </w:num>
  <w:num w:numId="20">
    <w:abstractNumId w:val="47"/>
  </w:num>
  <w:num w:numId="21">
    <w:abstractNumId w:val="22"/>
  </w:num>
  <w:num w:numId="22">
    <w:abstractNumId w:val="43"/>
  </w:num>
  <w:num w:numId="23">
    <w:abstractNumId w:val="9"/>
  </w:num>
  <w:num w:numId="24">
    <w:abstractNumId w:val="18"/>
  </w:num>
  <w:num w:numId="25">
    <w:abstractNumId w:val="46"/>
  </w:num>
  <w:num w:numId="26">
    <w:abstractNumId w:val="10"/>
  </w:num>
  <w:num w:numId="27">
    <w:abstractNumId w:val="31"/>
  </w:num>
  <w:num w:numId="28">
    <w:abstractNumId w:val="38"/>
  </w:num>
  <w:num w:numId="29">
    <w:abstractNumId w:val="26"/>
  </w:num>
  <w:num w:numId="30">
    <w:abstractNumId w:val="8"/>
  </w:num>
  <w:num w:numId="31">
    <w:abstractNumId w:val="45"/>
  </w:num>
  <w:num w:numId="32">
    <w:abstractNumId w:val="3"/>
  </w:num>
  <w:num w:numId="33">
    <w:abstractNumId w:val="15"/>
  </w:num>
  <w:num w:numId="34">
    <w:abstractNumId w:val="33"/>
  </w:num>
  <w:num w:numId="35">
    <w:abstractNumId w:val="15"/>
  </w:num>
  <w:num w:numId="36">
    <w:abstractNumId w:val="33"/>
  </w:num>
  <w:num w:numId="37">
    <w:abstractNumId w:val="30"/>
  </w:num>
  <w:num w:numId="38">
    <w:abstractNumId w:val="28"/>
  </w:num>
  <w:num w:numId="39">
    <w:abstractNumId w:val="39"/>
  </w:num>
  <w:num w:numId="40">
    <w:abstractNumId w:val="6"/>
  </w:num>
  <w:num w:numId="41">
    <w:abstractNumId w:val="21"/>
  </w:num>
  <w:num w:numId="42">
    <w:abstractNumId w:val="23"/>
  </w:num>
  <w:num w:numId="43">
    <w:abstractNumId w:val="34"/>
  </w:num>
  <w:num w:numId="44">
    <w:abstractNumId w:val="44"/>
  </w:num>
  <w:num w:numId="45">
    <w:abstractNumId w:val="11"/>
  </w:num>
  <w:num w:numId="46">
    <w:abstractNumId w:val="32"/>
  </w:num>
  <w:num w:numId="47">
    <w:abstractNumId w:val="4"/>
  </w:num>
  <w:num w:numId="48">
    <w:abstractNumId w:val="13"/>
  </w:num>
  <w:num w:numId="49">
    <w:abstractNumId w:val="1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95B"/>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E5F"/>
    <w:rsid w:val="0008036A"/>
    <w:rsid w:val="00081212"/>
    <w:rsid w:val="00081720"/>
    <w:rsid w:val="00081AE6"/>
    <w:rsid w:val="00081BB5"/>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1FCC"/>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2843"/>
    <w:rsid w:val="00252CD0"/>
    <w:rsid w:val="002530FC"/>
    <w:rsid w:val="00254367"/>
    <w:rsid w:val="00254610"/>
    <w:rsid w:val="00255525"/>
    <w:rsid w:val="00256D4D"/>
    <w:rsid w:val="00256E39"/>
    <w:rsid w:val="00257543"/>
    <w:rsid w:val="00260705"/>
    <w:rsid w:val="00260999"/>
    <w:rsid w:val="0026173B"/>
    <w:rsid w:val="002617E7"/>
    <w:rsid w:val="002631E4"/>
    <w:rsid w:val="00264228"/>
    <w:rsid w:val="00264334"/>
    <w:rsid w:val="0026473E"/>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204BD"/>
    <w:rsid w:val="005219CF"/>
    <w:rsid w:val="00521ECB"/>
    <w:rsid w:val="005234D5"/>
    <w:rsid w:val="00523C24"/>
    <w:rsid w:val="00523D2D"/>
    <w:rsid w:val="00524136"/>
    <w:rsid w:val="005305C7"/>
    <w:rsid w:val="00531A0A"/>
    <w:rsid w:val="00531A1B"/>
    <w:rsid w:val="00533361"/>
    <w:rsid w:val="00534B59"/>
    <w:rsid w:val="00536759"/>
    <w:rsid w:val="005375BF"/>
    <w:rsid w:val="00537C62"/>
    <w:rsid w:val="00540912"/>
    <w:rsid w:val="00540F06"/>
    <w:rsid w:val="00541A27"/>
    <w:rsid w:val="00541EC0"/>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4012"/>
    <w:rsid w:val="007445A0"/>
    <w:rsid w:val="0074496C"/>
    <w:rsid w:val="00744EAB"/>
    <w:rsid w:val="007450C8"/>
    <w:rsid w:val="0074524B"/>
    <w:rsid w:val="00745CF7"/>
    <w:rsid w:val="00747D8B"/>
    <w:rsid w:val="007504DC"/>
    <w:rsid w:val="00751228"/>
    <w:rsid w:val="00751233"/>
    <w:rsid w:val="00751752"/>
    <w:rsid w:val="00751A57"/>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F8A"/>
    <w:rsid w:val="00871162"/>
    <w:rsid w:val="00871239"/>
    <w:rsid w:val="00871667"/>
    <w:rsid w:val="008719A4"/>
    <w:rsid w:val="00871D23"/>
    <w:rsid w:val="00872FEA"/>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1A0"/>
    <w:rsid w:val="008B592A"/>
    <w:rsid w:val="008B5CB7"/>
    <w:rsid w:val="008B5E3B"/>
    <w:rsid w:val="008B6C7F"/>
    <w:rsid w:val="008B6EB9"/>
    <w:rsid w:val="008B7B5C"/>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A39"/>
    <w:rsid w:val="00985253"/>
    <w:rsid w:val="009853B3"/>
    <w:rsid w:val="00985BC1"/>
    <w:rsid w:val="00985D07"/>
    <w:rsid w:val="00986840"/>
    <w:rsid w:val="00987587"/>
    <w:rsid w:val="009902A6"/>
    <w:rsid w:val="00990630"/>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8F3"/>
    <w:rsid w:val="009F29AC"/>
    <w:rsid w:val="009F344F"/>
    <w:rsid w:val="009F4D81"/>
    <w:rsid w:val="009F683E"/>
    <w:rsid w:val="00A008EF"/>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A016F"/>
    <w:rsid w:val="00AA1463"/>
    <w:rsid w:val="00AA1BD9"/>
    <w:rsid w:val="00AA1ED6"/>
    <w:rsid w:val="00AA21D4"/>
    <w:rsid w:val="00AA27C7"/>
    <w:rsid w:val="00AA2F8B"/>
    <w:rsid w:val="00AA42CB"/>
    <w:rsid w:val="00AA48CB"/>
    <w:rsid w:val="00AA51D6"/>
    <w:rsid w:val="00AA567D"/>
    <w:rsid w:val="00AA5ABC"/>
    <w:rsid w:val="00AA6A39"/>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DB"/>
    <w:rsid w:val="00B965D0"/>
    <w:rsid w:val="00B96DA1"/>
    <w:rsid w:val="00BA0052"/>
    <w:rsid w:val="00BA164B"/>
    <w:rsid w:val="00BA1C2E"/>
    <w:rsid w:val="00BA226F"/>
    <w:rsid w:val="00BA2280"/>
    <w:rsid w:val="00BA2A08"/>
    <w:rsid w:val="00BA36C8"/>
    <w:rsid w:val="00BA4E2C"/>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2DFA"/>
    <w:rsid w:val="00D13135"/>
    <w:rsid w:val="00D13E4E"/>
    <w:rsid w:val="00D15108"/>
    <w:rsid w:val="00D1545C"/>
    <w:rsid w:val="00D211FE"/>
    <w:rsid w:val="00D239A7"/>
    <w:rsid w:val="00D23F47"/>
    <w:rsid w:val="00D24F9D"/>
    <w:rsid w:val="00D30931"/>
    <w:rsid w:val="00D30954"/>
    <w:rsid w:val="00D312AA"/>
    <w:rsid w:val="00D323CF"/>
    <w:rsid w:val="00D32F62"/>
    <w:rsid w:val="00D33FC3"/>
    <w:rsid w:val="00D3530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1741"/>
    <w:rsid w:val="00DC1C4E"/>
    <w:rsid w:val="00DC2135"/>
    <w:rsid w:val="00DC2D36"/>
    <w:rsid w:val="00DC3611"/>
    <w:rsid w:val="00DC3E17"/>
    <w:rsid w:val="00DC53EF"/>
    <w:rsid w:val="00DC778B"/>
    <w:rsid w:val="00DD0A5A"/>
    <w:rsid w:val="00DD1456"/>
    <w:rsid w:val="00DD172F"/>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0e/Docs/RP-20236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D2201-E51F-443C-9956-A499F8A89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http://schemas.microsoft.com/office/2006/metadata/properties"/>
    <ds:schemaRef ds:uri="2f282d3b-eb4a-4b09-b61f-b9593442e286"/>
    <ds:schemaRef ds:uri="http://schemas.microsoft.com/office/infopath/2007/PartnerControls"/>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53B3363-D190-42D2-8BAB-3082B3F0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385</TotalTime>
  <Pages>8</Pages>
  <Words>2935</Words>
  <Characters>15710</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18608</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User</cp:lastModifiedBy>
  <cp:revision>52</cp:revision>
  <cp:lastPrinted>2008-01-31T16:09:00Z</cp:lastPrinted>
  <dcterms:created xsi:type="dcterms:W3CDTF">2021-01-14T08:20:00Z</dcterms:created>
  <dcterms:modified xsi:type="dcterms:W3CDTF">2021-01-14T21:19:00Z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