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0A6" w:rsidRDefault="008360A6" w:rsidP="008360A6">
      <w:pPr>
        <w:pStyle w:val="afffffff5"/>
        <w:rPr>
          <w:rFonts w:ascii="Arial" w:hAnsi="Arial" w:cs="Arial"/>
        </w:rPr>
      </w:pPr>
      <w:r>
        <w:rPr>
          <w:rFonts w:ascii="Arial" w:hAnsi="Arial" w:cs="Arial"/>
          <w:sz w:val="24"/>
          <w:szCs w:val="24"/>
        </w:rPr>
        <w:t>3GPP TSG-RAN WG3 #111-e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E06373" w:rsidRPr="00E06373">
        <w:rPr>
          <w:rFonts w:ascii="Arial" w:hAnsi="Arial" w:cs="Arial"/>
          <w:iCs/>
          <w:sz w:val="24"/>
          <w:szCs w:val="24"/>
        </w:rPr>
        <w:t>R3-210191</w:t>
      </w:r>
    </w:p>
    <w:p w:rsidR="008360A6" w:rsidRDefault="008360A6" w:rsidP="008360A6">
      <w:pPr>
        <w:pStyle w:val="afffffff5"/>
        <w:rPr>
          <w:rFonts w:ascii="Arial" w:eastAsia="Batang" w:hAnsi="Arial" w:cs="Arial"/>
          <w:color w:val="000000"/>
          <w:sz w:val="24"/>
          <w:szCs w:val="24"/>
        </w:rPr>
      </w:pPr>
      <w:r>
        <w:rPr>
          <w:rFonts w:ascii="Arial" w:eastAsia="Batang" w:hAnsi="Arial" w:cs="Arial"/>
          <w:color w:val="000000"/>
          <w:sz w:val="24"/>
          <w:szCs w:val="24"/>
        </w:rPr>
        <w:t>25 January – 4 February 2021</w:t>
      </w:r>
    </w:p>
    <w:p w:rsidR="00BC28B2" w:rsidRDefault="008360A6" w:rsidP="008360A6">
      <w:pPr>
        <w:pStyle w:val="afffffff5"/>
        <w:rPr>
          <w:rFonts w:cs="Arial"/>
          <w:b/>
          <w:bCs/>
          <w:sz w:val="28"/>
          <w:szCs w:val="28"/>
        </w:rPr>
      </w:pPr>
      <w:r>
        <w:rPr>
          <w:rFonts w:ascii="Arial" w:eastAsia="Batang" w:hAnsi="Arial" w:cs="Arial"/>
          <w:color w:val="000000"/>
          <w:sz w:val="24"/>
          <w:szCs w:val="24"/>
        </w:rPr>
        <w:t>Online</w:t>
      </w:r>
      <w:r w:rsidR="00256A81">
        <w:rPr>
          <w:rFonts w:cs="Arial"/>
          <w:b/>
          <w:bCs/>
          <w:sz w:val="28"/>
          <w:szCs w:val="28"/>
        </w:rPr>
        <w:tab/>
        <w:t xml:space="preserve">      </w:t>
      </w:r>
      <w:r w:rsidR="00256A81">
        <w:rPr>
          <w:rFonts w:cs="Arial"/>
          <w:b/>
          <w:bCs/>
          <w:color w:val="D9D9D9" w:themeColor="background1" w:themeShade="D9"/>
          <w:sz w:val="20"/>
          <w:szCs w:val="28"/>
        </w:rPr>
        <w:t xml:space="preserve">   </w:t>
      </w:r>
    </w:p>
    <w:p w:rsidR="00BC28B2" w:rsidRDefault="00256A81">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WI Rapporteur (ZTE)</w:t>
      </w:r>
    </w:p>
    <w:p w:rsidR="00BC28B2" w:rsidRDefault="00256A81">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Work plan for the INACTIVE small data WI </w:t>
      </w:r>
    </w:p>
    <w:p w:rsidR="00BC28B2" w:rsidRDefault="00256A81">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8360A6">
        <w:rPr>
          <w:rFonts w:cs="Arial"/>
          <w:b/>
          <w:bCs/>
          <w:snapToGrid w:val="0"/>
          <w:kern w:val="0"/>
          <w:sz w:val="28"/>
          <w:szCs w:val="28"/>
        </w:rPr>
        <w:t>30</w:t>
      </w:r>
    </w:p>
    <w:p w:rsidR="00BC28B2" w:rsidRDefault="00256A81">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rsidR="00BC28B2" w:rsidRDefault="00256A81">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4533"/>
      <w:bookmarkStart w:id="3" w:name="_Toc18403966"/>
      <w:bookmarkStart w:id="4" w:name="_Toc18413600"/>
      <w:r>
        <w:rPr>
          <w:rFonts w:cs="Arial"/>
          <w:b w:val="0"/>
          <w:bCs w:val="0"/>
          <w:kern w:val="0"/>
          <w:sz w:val="32"/>
          <w:szCs w:val="36"/>
        </w:rPr>
        <w:t>Introduction</w:t>
      </w:r>
      <w:bookmarkEnd w:id="2"/>
      <w:bookmarkEnd w:id="3"/>
      <w:bookmarkEnd w:id="4"/>
    </w:p>
    <w:p w:rsidR="00BC28B2" w:rsidRDefault="00256A81">
      <w:pPr>
        <w:pStyle w:val="af3"/>
        <w:spacing w:before="75" w:beforeAutospacing="0" w:after="75" w:afterAutospacing="0" w:line="315" w:lineRule="atLeast"/>
      </w:pPr>
      <w:r>
        <w:rPr>
          <w:rFonts w:cs="Arial"/>
          <w:color w:val="000000"/>
          <w:sz w:val="21"/>
        </w:rPr>
        <w:t xml:space="preserve">In this document the tentative time line showing the details of Small Data Transmission (SDT) </w:t>
      </w:r>
      <w:r>
        <w:rPr>
          <w:rFonts w:cs="Arial"/>
          <w:color w:val="000000"/>
          <w:sz w:val="21"/>
        </w:rPr>
        <w:fldChar w:fldCharType="begin"/>
      </w:r>
      <w:r>
        <w:rPr>
          <w:rFonts w:cs="Arial"/>
          <w:color w:val="000000"/>
          <w:sz w:val="21"/>
        </w:rPr>
        <w:instrText xml:space="preserve"> REF _Ref45709611 \r \h </w:instrText>
      </w:r>
      <w:r>
        <w:rPr>
          <w:rFonts w:cs="Arial"/>
          <w:color w:val="000000"/>
          <w:sz w:val="21"/>
        </w:rPr>
      </w:r>
      <w:r>
        <w:rPr>
          <w:rFonts w:cs="Arial"/>
          <w:color w:val="000000"/>
          <w:sz w:val="21"/>
        </w:rPr>
        <w:fldChar w:fldCharType="separate"/>
      </w:r>
      <w:r>
        <w:rPr>
          <w:rFonts w:cs="Arial"/>
          <w:color w:val="000000"/>
          <w:sz w:val="21"/>
        </w:rPr>
        <w:t>[1]</w:t>
      </w:r>
      <w:r>
        <w:rPr>
          <w:rFonts w:cs="Arial"/>
          <w:color w:val="000000"/>
          <w:sz w:val="21"/>
        </w:rPr>
        <w:fldChar w:fldCharType="end"/>
      </w:r>
      <w:r>
        <w:rPr>
          <w:rFonts w:cs="Arial"/>
          <w:color w:val="000000"/>
          <w:sz w:val="21"/>
        </w:rPr>
        <w:t xml:space="preserve"> according the current Rel-17 time plan is shown for information.  </w:t>
      </w:r>
    </w:p>
    <w:p w:rsidR="00BC28B2" w:rsidRDefault="00256A81">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Time plan for IDT</w:t>
      </w:r>
    </w:p>
    <w:p w:rsidR="00BC28B2" w:rsidRDefault="00256A81">
      <w:pPr>
        <w:ind w:left="142"/>
      </w:pPr>
      <w:r>
        <w:t xml:space="preserve">The latest time plan for Rel-17 is as shown below in </w:t>
      </w:r>
      <w:r>
        <w:fldChar w:fldCharType="begin"/>
      </w:r>
      <w:r>
        <w:instrText xml:space="preserve"> REF _Ref46242618 \h </w:instrText>
      </w:r>
      <w:r>
        <w:fldChar w:fldCharType="separate"/>
      </w:r>
      <w:r>
        <w:t>Figure 1</w:t>
      </w:r>
      <w:r>
        <w:fldChar w:fldCharType="end"/>
      </w:r>
      <w:r>
        <w:t xml:space="preserve">. </w:t>
      </w:r>
    </w:p>
    <w:p w:rsidR="00BC28B2" w:rsidRDefault="00256A81">
      <w:pPr>
        <w:keepNext/>
        <w:jc w:val="center"/>
      </w:pPr>
      <w:r>
        <w:rPr>
          <w:noProof/>
          <w:lang w:val="en-US" w:eastAsia="zh-CN"/>
        </w:rPr>
        <w:drawing>
          <wp:inline distT="0" distB="0" distL="0" distR="0">
            <wp:extent cx="6300470" cy="34270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300470" cy="3427095"/>
                    </a:xfrm>
                    <a:prstGeom prst="rect">
                      <a:avLst/>
                    </a:prstGeom>
                    <a:noFill/>
                    <a:ln>
                      <a:noFill/>
                    </a:ln>
                  </pic:spPr>
                </pic:pic>
              </a:graphicData>
            </a:graphic>
          </wp:inline>
        </w:drawing>
      </w:r>
    </w:p>
    <w:p w:rsidR="00BC28B2" w:rsidRDefault="00256A81">
      <w:pPr>
        <w:pStyle w:val="a6"/>
        <w:jc w:val="center"/>
      </w:pPr>
      <w:bookmarkStart w:id="5" w:name="_Ref46242618"/>
      <w:r>
        <w:t xml:space="preserve">Figure </w:t>
      </w:r>
      <w:r>
        <w:fldChar w:fldCharType="begin"/>
      </w:r>
      <w:r>
        <w:instrText xml:space="preserve"> SEQ Figure \* ARABIC </w:instrText>
      </w:r>
      <w:r>
        <w:fldChar w:fldCharType="separate"/>
      </w:r>
      <w:r>
        <w:t>1</w:t>
      </w:r>
      <w:r>
        <w:fldChar w:fldCharType="end"/>
      </w:r>
      <w:bookmarkEnd w:id="5"/>
      <w:r>
        <w:t xml:space="preserve">: Rel-17 work plan (see </w:t>
      </w:r>
      <w:r>
        <w:fldChar w:fldCharType="begin"/>
      </w:r>
      <w:r>
        <w:instrText xml:space="preserve"> REF _Ref46242597 \r \h </w:instrText>
      </w:r>
      <w:r>
        <w:fldChar w:fldCharType="separate"/>
      </w:r>
      <w:r>
        <w:t>[2]</w:t>
      </w:r>
      <w:r>
        <w:fldChar w:fldCharType="end"/>
      </w:r>
      <w:r>
        <w:t>)</w:t>
      </w:r>
    </w:p>
    <w:p w:rsidR="00BC28B2" w:rsidRDefault="00256A81">
      <w:r>
        <w:t xml:space="preserve">According to the above time line, SDT core work across all WGs shall be finished by Q1’22. Based on this the following timeline (see </w:t>
      </w:r>
      <w:r>
        <w:fldChar w:fldCharType="begin"/>
      </w:r>
      <w:r>
        <w:instrText xml:space="preserve"> REF _Ref46243111 \h </w:instrText>
      </w:r>
      <w:r>
        <w:fldChar w:fldCharType="separate"/>
      </w:r>
      <w:r>
        <w:t>Figure 2</w:t>
      </w:r>
      <w:r>
        <w:fldChar w:fldCharType="end"/>
      </w:r>
      <w:r>
        <w:t>) is the tentative work plan proposed for SDT work in RAN2 and RAN3.</w:t>
      </w:r>
    </w:p>
    <w:p w:rsidR="00BC28B2" w:rsidRDefault="00BC28B2">
      <w:pPr>
        <w:sectPr w:rsidR="00BC28B2">
          <w:headerReference w:type="even" r:id="rId10"/>
          <w:headerReference w:type="default" r:id="rId11"/>
          <w:footerReference w:type="even" r:id="rId12"/>
          <w:footerReference w:type="default" r:id="rId13"/>
          <w:headerReference w:type="first" r:id="rId14"/>
          <w:footerReference w:type="first" r:id="rId15"/>
          <w:pgSz w:w="11906" w:h="16838"/>
          <w:pgMar w:top="1440" w:right="991" w:bottom="1440" w:left="993" w:header="851" w:footer="992" w:gutter="0"/>
          <w:cols w:space="720"/>
          <w:docGrid w:type="lines" w:linePitch="312"/>
        </w:sectPr>
      </w:pPr>
    </w:p>
    <w:p w:rsidR="00BC28B2" w:rsidRDefault="00256A81">
      <w:pPr>
        <w:keepNext/>
        <w:ind w:left="-851"/>
        <w:jc w:val="center"/>
      </w:pPr>
      <w:r>
        <w:rPr>
          <w:noProof/>
          <w:lang w:val="en-US" w:eastAsia="zh-CN"/>
        </w:rPr>
        <w:lastRenderedPageBreak/>
        <w:drawing>
          <wp:inline distT="0" distB="0" distL="0" distR="0">
            <wp:extent cx="10001250" cy="50584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0010701" cy="5063443"/>
                    </a:xfrm>
                    <a:prstGeom prst="rect">
                      <a:avLst/>
                    </a:prstGeom>
                    <a:noFill/>
                    <a:ln>
                      <a:noFill/>
                    </a:ln>
                  </pic:spPr>
                </pic:pic>
              </a:graphicData>
            </a:graphic>
          </wp:inline>
        </w:drawing>
      </w:r>
    </w:p>
    <w:p w:rsidR="00BC28B2" w:rsidRDefault="00256A81">
      <w:pPr>
        <w:pStyle w:val="a6"/>
        <w:jc w:val="center"/>
      </w:pPr>
      <w:bookmarkStart w:id="6" w:name="_Ref46243111"/>
      <w:bookmarkStart w:id="7" w:name="_Ref46243108"/>
      <w:r>
        <w:t xml:space="preserve">Figure </w:t>
      </w:r>
      <w:r>
        <w:fldChar w:fldCharType="begin"/>
      </w:r>
      <w:r>
        <w:instrText xml:space="preserve"> SEQ Figure \* ARABIC </w:instrText>
      </w:r>
      <w:r>
        <w:fldChar w:fldCharType="separate"/>
      </w:r>
      <w:r>
        <w:t>2</w:t>
      </w:r>
      <w:r>
        <w:fldChar w:fldCharType="end"/>
      </w:r>
      <w:bookmarkEnd w:id="6"/>
      <w:r>
        <w:t>: Time line for SDT work in various RAN WGs</w:t>
      </w:r>
      <w:bookmarkEnd w:id="7"/>
    </w:p>
    <w:p w:rsidR="00BC28B2" w:rsidRDefault="00BC28B2">
      <w:pPr>
        <w:sectPr w:rsidR="00BC28B2">
          <w:pgSz w:w="16838" w:h="11906" w:orient="landscape"/>
          <w:pgMar w:top="142" w:right="1440" w:bottom="284" w:left="1440" w:header="851" w:footer="992" w:gutter="0"/>
          <w:cols w:space="720"/>
          <w:docGrid w:type="lines" w:linePitch="312"/>
        </w:sectPr>
      </w:pPr>
    </w:p>
    <w:p w:rsidR="00BC28B2" w:rsidRDefault="00256A81">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13612"/>
      <w:bookmarkStart w:id="9" w:name="_Toc18403976"/>
      <w:bookmarkStart w:id="10" w:name="_Toc18404543"/>
      <w:r>
        <w:rPr>
          <w:rFonts w:cs="Arial"/>
          <w:b w:val="0"/>
          <w:bCs w:val="0"/>
          <w:kern w:val="0"/>
          <w:sz w:val="32"/>
          <w:szCs w:val="36"/>
        </w:rPr>
        <w:lastRenderedPageBreak/>
        <w:t>RAN2 progress</w:t>
      </w:r>
      <w:r>
        <w:rPr>
          <w:rFonts w:cs="Arial" w:hint="eastAsia"/>
          <w:b w:val="0"/>
          <w:bCs w:val="0"/>
          <w:kern w:val="0"/>
          <w:sz w:val="32"/>
          <w:szCs w:val="36"/>
          <w:lang w:val="en-US" w:eastAsia="zh-CN"/>
        </w:rPr>
        <w:t xml:space="preserve"> and RAN3 impact</w:t>
      </w:r>
    </w:p>
    <w:p w:rsidR="00BC28B2" w:rsidRDefault="00256A81">
      <w:r>
        <w:t xml:space="preserve">RAN2 has SDT in 2 WG meetings and made some basic agreements on both RA-SDT and CG-SDT. As noted in </w:t>
      </w:r>
      <w:r>
        <w:fldChar w:fldCharType="begin"/>
      </w:r>
      <w:r>
        <w:instrText xml:space="preserve"> REF _Ref60767298 \r \h </w:instrText>
      </w:r>
      <w:r>
        <w:fldChar w:fldCharType="separate"/>
      </w:r>
      <w:r>
        <w:t>[3]</w:t>
      </w:r>
      <w:r>
        <w:fldChar w:fldCharType="end"/>
      </w:r>
      <w:r>
        <w:t xml:space="preserve">, some of these agreements have implications to RAN3. Specifically, the following: </w:t>
      </w:r>
    </w:p>
    <w:p w:rsidR="00BC28B2" w:rsidRDefault="00256A81">
      <w:pPr>
        <w:pStyle w:val="afd"/>
        <w:numPr>
          <w:ilvl w:val="0"/>
          <w:numId w:val="6"/>
        </w:numPr>
        <w:ind w:firstLineChars="0"/>
        <w:rPr>
          <w:i/>
          <w:iCs/>
        </w:rPr>
      </w:pPr>
      <w:r>
        <w:rPr>
          <w:i/>
          <w:iCs/>
        </w:rPr>
        <w:t>Context fetch and data forwarding with anchor re-location and without anchor re-location will be supported for SDT</w:t>
      </w:r>
    </w:p>
    <w:p w:rsidR="00BC28B2" w:rsidRDefault="00256A81">
      <w:pPr>
        <w:pStyle w:val="afd"/>
        <w:numPr>
          <w:ilvl w:val="1"/>
          <w:numId w:val="6"/>
        </w:numPr>
        <w:ind w:firstLineChars="0"/>
      </w:pPr>
      <w:r>
        <w:t>Xn signalling</w:t>
      </w:r>
      <w:r>
        <w:rPr>
          <w:rFonts w:hint="eastAsia"/>
          <w:lang w:val="en-US" w:eastAsia="zh-CN"/>
        </w:rPr>
        <w:t xml:space="preserve"> enhancements to support above cases, further analysis can be found in </w:t>
      </w:r>
      <w:r w:rsidR="001E642A">
        <w:rPr>
          <w:lang w:val="en-US" w:eastAsia="zh-CN"/>
        </w:rPr>
        <w:t>[4]</w:t>
      </w:r>
      <w:r>
        <w:rPr>
          <w:rFonts w:hint="eastAsia"/>
          <w:lang w:val="en-US" w:eastAsia="zh-CN"/>
        </w:rPr>
        <w:t>.</w:t>
      </w:r>
    </w:p>
    <w:p w:rsidR="00BC28B2" w:rsidRDefault="00256A81">
      <w:pPr>
        <w:pStyle w:val="afd"/>
        <w:numPr>
          <w:ilvl w:val="0"/>
          <w:numId w:val="6"/>
        </w:numPr>
        <w:ind w:firstLineChars="0"/>
        <w:rPr>
          <w:i/>
          <w:iCs/>
        </w:rPr>
      </w:pPr>
      <w:r>
        <w:rPr>
          <w:i/>
          <w:iCs/>
        </w:rPr>
        <w:t xml:space="preserve">From RAN2 perspective, stored “configuration” in the UE Context is used for the RLC bearer configuration for any SDT mechanism (RACH and CG). </w:t>
      </w:r>
    </w:p>
    <w:p w:rsidR="00BC28B2" w:rsidRDefault="00256A81">
      <w:pPr>
        <w:pStyle w:val="afd"/>
        <w:numPr>
          <w:ilvl w:val="1"/>
          <w:numId w:val="6"/>
        </w:numPr>
        <w:ind w:firstLineChars="0"/>
      </w:pPr>
      <w:r>
        <w:t>This has implications on overall architecture and protocol layer split between serving gNB and anchor gNB and also has implications for Xn signalling</w:t>
      </w:r>
      <w:r>
        <w:rPr>
          <w:rFonts w:hint="eastAsia"/>
          <w:lang w:val="en-US" w:eastAsia="zh-CN"/>
        </w:rPr>
        <w:t>.</w:t>
      </w:r>
    </w:p>
    <w:p w:rsidR="00BC28B2" w:rsidRPr="00162F4D" w:rsidRDefault="00256A81">
      <w:pPr>
        <w:pStyle w:val="afd"/>
        <w:numPr>
          <w:ilvl w:val="0"/>
          <w:numId w:val="6"/>
        </w:numPr>
        <w:ind w:firstLineChars="0"/>
      </w:pPr>
      <w:r>
        <w:rPr>
          <w:i/>
          <w:iCs/>
        </w:rPr>
        <w:t>UL/DL transmission following UL SDT without</w:t>
      </w:r>
      <w:r w:rsidRPr="00162F4D">
        <w:t xml:space="preserve"> transitioning to RRC_CONNECTED is supported</w:t>
      </w:r>
    </w:p>
    <w:p w:rsidR="00BC28B2" w:rsidRPr="00162F4D" w:rsidRDefault="00256A81">
      <w:pPr>
        <w:pStyle w:val="afd"/>
        <w:numPr>
          <w:ilvl w:val="1"/>
          <w:numId w:val="6"/>
        </w:numPr>
        <w:ind w:firstLineChars="0"/>
      </w:pPr>
      <w:r>
        <w:t>Unlike LTE EDT, multiple packets could be exchanged during SDT per the above</w:t>
      </w:r>
      <w:r w:rsidRPr="00162F4D">
        <w:rPr>
          <w:rFonts w:hint="eastAsia"/>
        </w:rPr>
        <w:t xml:space="preserve">. </w:t>
      </w:r>
      <w:r w:rsidRPr="00162F4D">
        <w:t xml:space="preserve">RLC SDUs </w:t>
      </w:r>
      <w:r w:rsidRPr="00162F4D">
        <w:rPr>
          <w:rFonts w:hint="eastAsia"/>
        </w:rPr>
        <w:t xml:space="preserve">transmission </w:t>
      </w:r>
      <w:r w:rsidRPr="00162F4D">
        <w:t>from serving node to the anchor node</w:t>
      </w:r>
      <w:r w:rsidRPr="00162F4D">
        <w:rPr>
          <w:rFonts w:hint="eastAsia"/>
        </w:rPr>
        <w:t xml:space="preserve"> </w:t>
      </w:r>
      <w:r w:rsidRPr="00162F4D">
        <w:t xml:space="preserve">in case of no-anchor relocation </w:t>
      </w:r>
      <w:r w:rsidRPr="00162F4D">
        <w:rPr>
          <w:rFonts w:hint="eastAsia"/>
        </w:rPr>
        <w:t>scenario</w:t>
      </w:r>
      <w:r w:rsidRPr="00162F4D">
        <w:t>.</w:t>
      </w:r>
      <w:r>
        <w:t xml:space="preserve"> </w:t>
      </w:r>
    </w:p>
    <w:p w:rsidR="00BC28B2" w:rsidRDefault="00256A81">
      <w:pPr>
        <w:pStyle w:val="afd"/>
        <w:numPr>
          <w:ilvl w:val="0"/>
          <w:numId w:val="6"/>
        </w:numPr>
        <w:ind w:firstLineChars="0"/>
        <w:rPr>
          <w:i/>
          <w:iCs/>
        </w:rPr>
      </w:pPr>
      <w:r>
        <w:rPr>
          <w:i/>
          <w:iCs/>
        </w:rPr>
        <w:t>The configuration of configured grant resource for UE small data transmission is valid only in the same serving cell (RAN2 #112e).</w:t>
      </w:r>
    </w:p>
    <w:p w:rsidR="00BC28B2" w:rsidRDefault="00256A81">
      <w:pPr>
        <w:pStyle w:val="afd"/>
        <w:numPr>
          <w:ilvl w:val="1"/>
          <w:numId w:val="6"/>
        </w:numPr>
        <w:ind w:firstLineChars="0"/>
        <w:rPr>
          <w:i/>
          <w:iCs/>
        </w:rPr>
      </w:pPr>
      <w:r>
        <w:t>In general, the configuration, release and reconfiguration of the CG-SDT resources will have implications for the CU</w:t>
      </w:r>
      <w:r>
        <w:rPr>
          <w:rFonts w:hint="eastAsia"/>
          <w:lang w:val="en-US" w:eastAsia="zh-CN"/>
        </w:rPr>
        <w:t>-</w:t>
      </w:r>
      <w:r>
        <w:t>DU</w:t>
      </w:r>
      <w:r>
        <w:rPr>
          <w:rFonts w:hint="eastAsia"/>
          <w:lang w:val="en-US" w:eastAsia="zh-CN"/>
        </w:rPr>
        <w:t xml:space="preserve"> and CP-UP</w:t>
      </w:r>
      <w:r>
        <w:t xml:space="preserve"> split architecture and hence has impact to F1</w:t>
      </w:r>
      <w:r>
        <w:rPr>
          <w:rFonts w:hint="eastAsia"/>
          <w:lang w:val="en-US" w:eastAsia="zh-CN"/>
        </w:rPr>
        <w:t>/E1</w:t>
      </w:r>
      <w:r>
        <w:t xml:space="preserve"> signalling</w:t>
      </w:r>
      <w:r w:rsidR="001E642A">
        <w:t>,</w:t>
      </w:r>
      <w:r w:rsidR="001E642A" w:rsidRPr="001E642A">
        <w:rPr>
          <w:rFonts w:hint="eastAsia"/>
          <w:lang w:val="en-US" w:eastAsia="zh-CN"/>
        </w:rPr>
        <w:t xml:space="preserve"> </w:t>
      </w:r>
      <w:r w:rsidR="001E642A">
        <w:rPr>
          <w:rFonts w:hint="eastAsia"/>
          <w:lang w:val="en-US" w:eastAsia="zh-CN"/>
        </w:rPr>
        <w:t xml:space="preserve">further analysis can be found in </w:t>
      </w:r>
      <w:r w:rsidR="001E642A">
        <w:rPr>
          <w:lang w:val="en-US" w:eastAsia="zh-CN"/>
        </w:rPr>
        <w:t>[5]</w:t>
      </w:r>
    </w:p>
    <w:p w:rsidR="00BC28B2" w:rsidRDefault="00256A81">
      <w:pPr>
        <w:pStyle w:val="afd"/>
        <w:numPr>
          <w:ilvl w:val="1"/>
          <w:numId w:val="6"/>
        </w:numPr>
        <w:ind w:firstLineChars="0"/>
        <w:rPr>
          <w:i/>
          <w:iCs/>
        </w:rPr>
      </w:pPr>
      <w:r>
        <w:rPr>
          <w:rFonts w:hint="eastAsia"/>
          <w:lang w:val="en-US" w:eastAsia="zh-CN"/>
        </w:rPr>
        <w:t>Impact on CU-DU/CP-UP split architecture can be discussed later after the aggregated scenario.</w:t>
      </w:r>
    </w:p>
    <w:p w:rsidR="00BC28B2" w:rsidRDefault="00256A81">
      <w:pPr>
        <w:pStyle w:val="afd"/>
        <w:numPr>
          <w:ilvl w:val="0"/>
          <w:numId w:val="6"/>
        </w:numPr>
        <w:ind w:firstLineChars="0"/>
        <w:rPr>
          <w:i/>
          <w:iCs/>
        </w:rPr>
      </w:pPr>
      <w:r>
        <w:rPr>
          <w:i/>
          <w:iCs/>
        </w:rPr>
        <w:t>When UE is in RRC_INACTIVE, it should be possible to send multiple UL and DL packets as part of the same SDT mechanism and without transitioning to RRC_CONNECTED on dedicated grant.</w:t>
      </w:r>
    </w:p>
    <w:p w:rsidR="00BC28B2" w:rsidRDefault="00256A81">
      <w:pPr>
        <w:pStyle w:val="afd"/>
        <w:numPr>
          <w:ilvl w:val="1"/>
          <w:numId w:val="6"/>
        </w:numPr>
        <w:ind w:firstLineChars="0"/>
        <w:rPr>
          <w:i/>
          <w:iCs/>
        </w:rPr>
      </w:pPr>
      <w:r>
        <w:rPr>
          <w:rFonts w:hint="eastAsia"/>
          <w:lang w:val="en-US" w:eastAsia="zh-CN"/>
        </w:rPr>
        <w:t>Same impact as bullet3</w:t>
      </w:r>
      <w:r>
        <w:t xml:space="preserve">. </w:t>
      </w:r>
    </w:p>
    <w:p w:rsidR="00BC28B2" w:rsidRDefault="00256A81">
      <w:pPr>
        <w:pStyle w:val="afd"/>
        <w:numPr>
          <w:ilvl w:val="0"/>
          <w:numId w:val="6"/>
        </w:numPr>
        <w:ind w:firstLineChars="0"/>
        <w:rPr>
          <w:i/>
          <w:iCs/>
        </w:rPr>
      </w:pPr>
      <w:r>
        <w:rPr>
          <w:i/>
          <w:iCs/>
        </w:rPr>
        <w:t xml:space="preserve">For both RACH and CG based solutions, new keys are generated using the stored security context and the NCC value received in the previous RRCRelease message (i.e. same as legacy procedure) and these new keys are used for generating the data of DRBs that are configured for SDT. </w:t>
      </w:r>
    </w:p>
    <w:p w:rsidR="00BC28B2" w:rsidRDefault="00256A81">
      <w:pPr>
        <w:pStyle w:val="afd"/>
        <w:numPr>
          <w:ilvl w:val="1"/>
          <w:numId w:val="6"/>
        </w:numPr>
        <w:ind w:firstLineChars="0"/>
        <w:rPr>
          <w:i/>
          <w:iCs/>
          <w:lang w:val="en-US" w:eastAsia="zh-CN"/>
        </w:rPr>
      </w:pPr>
      <w:r>
        <w:t>Security frame work similar to Rel-15 can be reused for SDT based on the above agreement</w:t>
      </w:r>
    </w:p>
    <w:p w:rsidR="00BC28B2" w:rsidRDefault="00256A81">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rsidR="00BC28B2" w:rsidRDefault="00256A81">
      <w:pPr>
        <w:pStyle w:val="af3"/>
        <w:numPr>
          <w:ilvl w:val="0"/>
          <w:numId w:val="7"/>
        </w:numPr>
        <w:spacing w:before="75" w:beforeAutospacing="0" w:after="75" w:afterAutospacing="0" w:line="315" w:lineRule="atLeast"/>
        <w:rPr>
          <w:rFonts w:cs="Arial"/>
          <w:color w:val="000000"/>
          <w:sz w:val="21"/>
        </w:rPr>
      </w:pPr>
      <w:bookmarkStart w:id="11" w:name="_Ref45709611"/>
      <w:r>
        <w:rPr>
          <w:rFonts w:cs="Arial"/>
          <w:color w:val="000000"/>
          <w:sz w:val="21"/>
        </w:rPr>
        <w:t>RP-201305, Updated Work Item on NR small data transmissions in INACTIVE state, ZTE, RAN#88e</w:t>
      </w:r>
      <w:bookmarkEnd w:id="11"/>
    </w:p>
    <w:p w:rsidR="00BC28B2" w:rsidRDefault="00256A81">
      <w:pPr>
        <w:pStyle w:val="af3"/>
        <w:numPr>
          <w:ilvl w:val="0"/>
          <w:numId w:val="7"/>
        </w:numPr>
        <w:spacing w:before="75" w:beforeAutospacing="0" w:after="75" w:afterAutospacing="0" w:line="315" w:lineRule="atLeast"/>
        <w:rPr>
          <w:rFonts w:cs="Arial"/>
          <w:color w:val="000000"/>
          <w:sz w:val="21"/>
        </w:rPr>
      </w:pPr>
      <w:bookmarkStart w:id="12" w:name="_Ref46242597"/>
      <w:r>
        <w:rPr>
          <w:rFonts w:cs="Arial"/>
          <w:color w:val="000000"/>
          <w:sz w:val="21"/>
        </w:rPr>
        <w:t>SP-201146, 3GPP work Plan review at plenary#90e, SA#90e</w:t>
      </w:r>
      <w:bookmarkEnd w:id="12"/>
    </w:p>
    <w:bookmarkStart w:id="13" w:name="_Ref60767298"/>
    <w:p w:rsidR="00BC28B2" w:rsidRDefault="00256A81">
      <w:pPr>
        <w:pStyle w:val="af3"/>
        <w:numPr>
          <w:ilvl w:val="0"/>
          <w:numId w:val="7"/>
        </w:numPr>
        <w:spacing w:before="75" w:beforeAutospacing="0" w:after="75" w:afterAutospacing="0" w:line="315" w:lineRule="atLeast"/>
        <w:rPr>
          <w:rFonts w:cs="Arial"/>
          <w:color w:val="000000"/>
          <w:sz w:val="21"/>
        </w:rPr>
      </w:pPr>
      <w:r>
        <w:rPr>
          <w:rFonts w:cs="Arial"/>
          <w:color w:val="000000"/>
          <w:sz w:val="21"/>
        </w:rPr>
        <w:lastRenderedPageBreak/>
        <w:fldChar w:fldCharType="begin"/>
      </w:r>
      <w:r>
        <w:rPr>
          <w:rFonts w:cs="Arial"/>
          <w:color w:val="000000"/>
          <w:sz w:val="21"/>
        </w:rPr>
        <w:instrText xml:space="preserve"> HYPERLINK "C:\\evutukuri\\work\\5G\\RAN2\\docs\\R2-2010839.zip" </w:instrText>
      </w:r>
      <w:r>
        <w:rPr>
          <w:rFonts w:cs="Arial"/>
          <w:color w:val="000000"/>
          <w:sz w:val="21"/>
        </w:rPr>
        <w:fldChar w:fldCharType="separate"/>
      </w:r>
      <w:r w:rsidRPr="00434B30">
        <w:rPr>
          <w:rFonts w:cs="Arial"/>
          <w:color w:val="000000"/>
          <w:sz w:val="21"/>
        </w:rPr>
        <w:t>R2-2010839</w:t>
      </w:r>
      <w:r>
        <w:rPr>
          <w:rFonts w:cs="Arial"/>
          <w:color w:val="000000"/>
          <w:sz w:val="21"/>
        </w:rPr>
        <w:fldChar w:fldCharType="end"/>
      </w:r>
      <w:r>
        <w:rPr>
          <w:rFonts w:cs="Arial"/>
          <w:color w:val="000000"/>
          <w:sz w:val="21"/>
        </w:rPr>
        <w:t>,</w:t>
      </w:r>
      <w:bookmarkEnd w:id="13"/>
      <w:r>
        <w:rPr>
          <w:rFonts w:cs="Arial"/>
          <w:color w:val="000000"/>
          <w:sz w:val="21"/>
        </w:rPr>
        <w:t xml:space="preserve"> LS to RAN3 on small data transmission, RAN2#112e</w:t>
      </w:r>
    </w:p>
    <w:p w:rsidR="001E642A" w:rsidRDefault="002C67EF" w:rsidP="002C67EF">
      <w:pPr>
        <w:pStyle w:val="af3"/>
        <w:numPr>
          <w:ilvl w:val="0"/>
          <w:numId w:val="7"/>
        </w:numPr>
        <w:spacing w:before="75" w:beforeAutospacing="0" w:after="75" w:afterAutospacing="0" w:line="315" w:lineRule="atLeast"/>
        <w:rPr>
          <w:rFonts w:cs="Arial"/>
          <w:color w:val="000000"/>
          <w:sz w:val="21"/>
        </w:rPr>
      </w:pPr>
      <w:r w:rsidRPr="002C67EF">
        <w:rPr>
          <w:rFonts w:cs="Arial"/>
          <w:color w:val="000000"/>
          <w:sz w:val="21"/>
        </w:rPr>
        <w:t>R3-210187</w:t>
      </w:r>
      <w:r w:rsidR="001E642A" w:rsidRPr="001E642A">
        <w:rPr>
          <w:rFonts w:cs="Arial"/>
          <w:color w:val="000000"/>
          <w:sz w:val="21"/>
        </w:rPr>
        <w:t>, Discussion on SDT with/without UE context relocation, ZTE</w:t>
      </w:r>
    </w:p>
    <w:p w:rsidR="001E642A" w:rsidRDefault="002C67EF">
      <w:pPr>
        <w:pStyle w:val="af3"/>
        <w:numPr>
          <w:ilvl w:val="0"/>
          <w:numId w:val="7"/>
        </w:numPr>
        <w:spacing w:before="75" w:beforeAutospacing="0" w:after="75" w:afterAutospacing="0" w:line="315" w:lineRule="atLeast"/>
        <w:rPr>
          <w:rFonts w:cs="Arial"/>
          <w:color w:val="000000"/>
          <w:sz w:val="21"/>
        </w:rPr>
      </w:pPr>
      <w:r w:rsidRPr="002C67EF">
        <w:rPr>
          <w:rFonts w:cs="Arial"/>
          <w:color w:val="000000"/>
          <w:sz w:val="21"/>
        </w:rPr>
        <w:t>R3-210192</w:t>
      </w:r>
      <w:r w:rsidR="001E642A" w:rsidRPr="001E642A">
        <w:rPr>
          <w:rFonts w:cs="Arial"/>
          <w:color w:val="000000"/>
          <w:sz w:val="21"/>
        </w:rPr>
        <w:t>, Discus</w:t>
      </w:r>
      <w:bookmarkStart w:id="14" w:name="_GoBack"/>
      <w:bookmarkEnd w:id="14"/>
      <w:r w:rsidR="001E642A" w:rsidRPr="001E642A">
        <w:rPr>
          <w:rFonts w:cs="Arial"/>
          <w:color w:val="000000"/>
          <w:sz w:val="21"/>
        </w:rPr>
        <w:t>sion on support of small data transmission in INACTIVE state, Rapporteur (ZTE)</w:t>
      </w:r>
    </w:p>
    <w:sectPr w:rsidR="001E642A">
      <w:pgSz w:w="11906" w:h="16838"/>
      <w:pgMar w:top="1440" w:right="991" w:bottom="1440" w:left="993"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E99" w:rsidRDefault="00FD7E99">
      <w:pPr>
        <w:spacing w:after="0" w:line="240" w:lineRule="auto"/>
      </w:pPr>
      <w:r>
        <w:separator/>
      </w:r>
    </w:p>
  </w:endnote>
  <w:endnote w:type="continuationSeparator" w:id="0">
    <w:p w:rsidR="00FD7E99" w:rsidRDefault="00FD7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8B2" w:rsidRDefault="00256A81">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BC28B2" w:rsidRDefault="00BC28B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8B2" w:rsidRDefault="00BC28B2">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8B2" w:rsidRDefault="00BC28B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E99" w:rsidRDefault="00FD7E99">
      <w:pPr>
        <w:spacing w:after="0" w:line="240" w:lineRule="auto"/>
      </w:pPr>
      <w:r>
        <w:separator/>
      </w:r>
    </w:p>
  </w:footnote>
  <w:footnote w:type="continuationSeparator" w:id="0">
    <w:p w:rsidR="00FD7E99" w:rsidRDefault="00FD7E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8B2" w:rsidRDefault="00BC28B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8B2" w:rsidRDefault="00BC28B2">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8B2" w:rsidRDefault="00BC28B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78070523"/>
    <w:multiLevelType w:val="multilevel"/>
    <w:tmpl w:val="78070523"/>
    <w:lvl w:ilvl="0">
      <w:start w:val="2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0767"/>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973"/>
    <w:rsid w:val="00040A63"/>
    <w:rsid w:val="0004105F"/>
    <w:rsid w:val="00042E6F"/>
    <w:rsid w:val="00043923"/>
    <w:rsid w:val="00043FCA"/>
    <w:rsid w:val="00044EB3"/>
    <w:rsid w:val="00045EDE"/>
    <w:rsid w:val="00046E3D"/>
    <w:rsid w:val="000563ED"/>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100030"/>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FF"/>
    <w:rsid w:val="00147740"/>
    <w:rsid w:val="00150BAB"/>
    <w:rsid w:val="00160A40"/>
    <w:rsid w:val="001627D9"/>
    <w:rsid w:val="00162F4D"/>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13A6"/>
    <w:rsid w:val="001D2914"/>
    <w:rsid w:val="001D2FB0"/>
    <w:rsid w:val="001E01CC"/>
    <w:rsid w:val="001E0341"/>
    <w:rsid w:val="001E1C36"/>
    <w:rsid w:val="001E3D8C"/>
    <w:rsid w:val="001E43EF"/>
    <w:rsid w:val="001E44CD"/>
    <w:rsid w:val="001E642A"/>
    <w:rsid w:val="001E6F40"/>
    <w:rsid w:val="001F0A3C"/>
    <w:rsid w:val="001F1606"/>
    <w:rsid w:val="001F31F0"/>
    <w:rsid w:val="001F3DF5"/>
    <w:rsid w:val="001F4346"/>
    <w:rsid w:val="00201FFE"/>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D42"/>
    <w:rsid w:val="00246FFA"/>
    <w:rsid w:val="00247076"/>
    <w:rsid w:val="00252B94"/>
    <w:rsid w:val="00255974"/>
    <w:rsid w:val="00255E19"/>
    <w:rsid w:val="00256A81"/>
    <w:rsid w:val="00256C2E"/>
    <w:rsid w:val="00257233"/>
    <w:rsid w:val="00260716"/>
    <w:rsid w:val="0026193E"/>
    <w:rsid w:val="00261A9C"/>
    <w:rsid w:val="00261E11"/>
    <w:rsid w:val="00262518"/>
    <w:rsid w:val="00263A3D"/>
    <w:rsid w:val="00264137"/>
    <w:rsid w:val="002642E7"/>
    <w:rsid w:val="00264908"/>
    <w:rsid w:val="00270A1C"/>
    <w:rsid w:val="00271ED8"/>
    <w:rsid w:val="002730ED"/>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67EF"/>
    <w:rsid w:val="002C708B"/>
    <w:rsid w:val="002D00AA"/>
    <w:rsid w:val="002D044D"/>
    <w:rsid w:val="002D0F0A"/>
    <w:rsid w:val="002D1625"/>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27AF"/>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4B30"/>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6F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71D2"/>
    <w:rsid w:val="00537528"/>
    <w:rsid w:val="00542ED7"/>
    <w:rsid w:val="00545A76"/>
    <w:rsid w:val="005506C7"/>
    <w:rsid w:val="005514AA"/>
    <w:rsid w:val="00553234"/>
    <w:rsid w:val="0055402E"/>
    <w:rsid w:val="0055689F"/>
    <w:rsid w:val="005579E1"/>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EE9"/>
    <w:rsid w:val="007B4B41"/>
    <w:rsid w:val="007B6028"/>
    <w:rsid w:val="007C02B7"/>
    <w:rsid w:val="007C0BA7"/>
    <w:rsid w:val="007C1074"/>
    <w:rsid w:val="007C33E4"/>
    <w:rsid w:val="007C41B3"/>
    <w:rsid w:val="007C44F4"/>
    <w:rsid w:val="007C501B"/>
    <w:rsid w:val="007C6325"/>
    <w:rsid w:val="007D11B8"/>
    <w:rsid w:val="007D1F28"/>
    <w:rsid w:val="007D1FA3"/>
    <w:rsid w:val="007D2587"/>
    <w:rsid w:val="007D36F2"/>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0A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7FA"/>
    <w:rsid w:val="008768D2"/>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2CD1"/>
    <w:rsid w:val="0093373D"/>
    <w:rsid w:val="00935008"/>
    <w:rsid w:val="0093665B"/>
    <w:rsid w:val="009400CF"/>
    <w:rsid w:val="00940533"/>
    <w:rsid w:val="009410AE"/>
    <w:rsid w:val="00942D4D"/>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450E"/>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7B16"/>
    <w:rsid w:val="00AF0B65"/>
    <w:rsid w:val="00AF75DB"/>
    <w:rsid w:val="00AF7EEF"/>
    <w:rsid w:val="00B002E0"/>
    <w:rsid w:val="00B0053F"/>
    <w:rsid w:val="00B0132A"/>
    <w:rsid w:val="00B029C1"/>
    <w:rsid w:val="00B02B52"/>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28EE"/>
    <w:rsid w:val="00B92AD5"/>
    <w:rsid w:val="00B94BA4"/>
    <w:rsid w:val="00B96D07"/>
    <w:rsid w:val="00B97DB5"/>
    <w:rsid w:val="00BA52AE"/>
    <w:rsid w:val="00BB1325"/>
    <w:rsid w:val="00BB156E"/>
    <w:rsid w:val="00BB3ABA"/>
    <w:rsid w:val="00BB4FEC"/>
    <w:rsid w:val="00BB65B1"/>
    <w:rsid w:val="00BB69D5"/>
    <w:rsid w:val="00BC03E1"/>
    <w:rsid w:val="00BC28B2"/>
    <w:rsid w:val="00BC34F8"/>
    <w:rsid w:val="00BC4593"/>
    <w:rsid w:val="00BC6C9C"/>
    <w:rsid w:val="00BC6CA4"/>
    <w:rsid w:val="00BD05BF"/>
    <w:rsid w:val="00BD464A"/>
    <w:rsid w:val="00BD4793"/>
    <w:rsid w:val="00BD6CFB"/>
    <w:rsid w:val="00BD7D09"/>
    <w:rsid w:val="00BE28BE"/>
    <w:rsid w:val="00BE2902"/>
    <w:rsid w:val="00BE42CB"/>
    <w:rsid w:val="00BE4A96"/>
    <w:rsid w:val="00BE6162"/>
    <w:rsid w:val="00BE6C9C"/>
    <w:rsid w:val="00BF0409"/>
    <w:rsid w:val="00BF0850"/>
    <w:rsid w:val="00BF3613"/>
    <w:rsid w:val="00BF37B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24AD"/>
    <w:rsid w:val="00C23439"/>
    <w:rsid w:val="00C27213"/>
    <w:rsid w:val="00C278C2"/>
    <w:rsid w:val="00C3083D"/>
    <w:rsid w:val="00C32425"/>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2343"/>
    <w:rsid w:val="00CA501F"/>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2E96"/>
    <w:rsid w:val="00D04274"/>
    <w:rsid w:val="00D05A8B"/>
    <w:rsid w:val="00D06659"/>
    <w:rsid w:val="00D0699D"/>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F3F"/>
    <w:rsid w:val="00D61F13"/>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100B"/>
    <w:rsid w:val="00DD34FE"/>
    <w:rsid w:val="00DD42F9"/>
    <w:rsid w:val="00DE1B4A"/>
    <w:rsid w:val="00DE2CFF"/>
    <w:rsid w:val="00DE3330"/>
    <w:rsid w:val="00DE5939"/>
    <w:rsid w:val="00DE6492"/>
    <w:rsid w:val="00DE7200"/>
    <w:rsid w:val="00DF365A"/>
    <w:rsid w:val="00DF4CBC"/>
    <w:rsid w:val="00DF5370"/>
    <w:rsid w:val="00DF7E4D"/>
    <w:rsid w:val="00E0032E"/>
    <w:rsid w:val="00E0205D"/>
    <w:rsid w:val="00E0313E"/>
    <w:rsid w:val="00E0491A"/>
    <w:rsid w:val="00E0557E"/>
    <w:rsid w:val="00E06373"/>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902C7"/>
    <w:rsid w:val="00E943EE"/>
    <w:rsid w:val="00E94456"/>
    <w:rsid w:val="00E94FE2"/>
    <w:rsid w:val="00E95E39"/>
    <w:rsid w:val="00EA0385"/>
    <w:rsid w:val="00EA3791"/>
    <w:rsid w:val="00EA392C"/>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D7E99"/>
    <w:rsid w:val="00FE09E7"/>
    <w:rsid w:val="00FE2161"/>
    <w:rsid w:val="00FE3D39"/>
    <w:rsid w:val="00FE58B6"/>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31B4458"/>
    <w:rsid w:val="1A9B1F53"/>
    <w:rsid w:val="1B3D4012"/>
    <w:rsid w:val="1B481AFB"/>
    <w:rsid w:val="1D235F66"/>
    <w:rsid w:val="1D665A9E"/>
    <w:rsid w:val="1D8D3AB3"/>
    <w:rsid w:val="1E21472F"/>
    <w:rsid w:val="1EB2633F"/>
    <w:rsid w:val="2050748D"/>
    <w:rsid w:val="20705710"/>
    <w:rsid w:val="211E529B"/>
    <w:rsid w:val="232660FF"/>
    <w:rsid w:val="248512BD"/>
    <w:rsid w:val="2AA14025"/>
    <w:rsid w:val="2B2348E2"/>
    <w:rsid w:val="2C7F2EA6"/>
    <w:rsid w:val="2D1E05D5"/>
    <w:rsid w:val="3003631E"/>
    <w:rsid w:val="3078124A"/>
    <w:rsid w:val="3090209F"/>
    <w:rsid w:val="310C4EC8"/>
    <w:rsid w:val="38FA0996"/>
    <w:rsid w:val="396E02FE"/>
    <w:rsid w:val="3AA26C9B"/>
    <w:rsid w:val="3ADC5E36"/>
    <w:rsid w:val="3C3F7E0E"/>
    <w:rsid w:val="3E7A082F"/>
    <w:rsid w:val="40A90C10"/>
    <w:rsid w:val="437906BF"/>
    <w:rsid w:val="44C70D28"/>
    <w:rsid w:val="4625557D"/>
    <w:rsid w:val="465173C0"/>
    <w:rsid w:val="49613924"/>
    <w:rsid w:val="4B3040AF"/>
    <w:rsid w:val="50F36CD9"/>
    <w:rsid w:val="55E15918"/>
    <w:rsid w:val="56BF0EA2"/>
    <w:rsid w:val="5BDF3319"/>
    <w:rsid w:val="5EA87B0A"/>
    <w:rsid w:val="5EB119EE"/>
    <w:rsid w:val="62B8321C"/>
    <w:rsid w:val="63766DF5"/>
    <w:rsid w:val="63E41E32"/>
    <w:rsid w:val="6761194F"/>
    <w:rsid w:val="67A01566"/>
    <w:rsid w:val="67A84465"/>
    <w:rsid w:val="69797C2C"/>
    <w:rsid w:val="6D935AB0"/>
    <w:rsid w:val="6E087119"/>
    <w:rsid w:val="760A43BF"/>
    <w:rsid w:val="7BE208A5"/>
    <w:rsid w:val="7D2A73BF"/>
    <w:rsid w:val="7D87285F"/>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F140C-733F-4DD0-9C0B-2FA22BB2D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5" w:qFormat="1"/>
    <w:lsdException w:name="index 7" w:qFormat="1"/>
    <w:lsdException w:name="index 8" w:qFormat="1"/>
    <w:lsdException w:name="index 9" w:qFormat="1"/>
    <w:lsdException w:name="toc 1" w:uiPriority="39"/>
    <w:lsdException w:name="toc 2" w:uiPriority="39" w:qFormat="1"/>
    <w:lsdException w:name="toc 3" w:uiPriority="39"/>
    <w:lsdException w:name="toc 5" w:qFormat="1"/>
    <w:lsdException w:name="toc 7" w:qFormat="1"/>
    <w:lsdException w:name="toc 8" w:qFormat="1"/>
    <w:lsdException w:name="toc 9" w:qFormat="1"/>
    <w:lsdException w:name="Normal Indent" w:semiHidden="1" w:unhideWhenUsed="1"/>
    <w:lsdException w:name="footnote text" w:qFormat="1"/>
    <w:lsdException w:name="annotation text" w:unhideWhenUsed="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lsdException w:name="List 2" w:unhideWhenUsed="1"/>
    <w:lsdException w:name="List 3"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3"/>
    <w:qFormat/>
    <w:pPr>
      <w:ind w:left="851"/>
    </w:pPr>
  </w:style>
  <w:style w:type="paragraph" w:styleId="a3">
    <w:name w:val="List Number"/>
    <w:basedOn w:val="a4"/>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pPr>
      <w:ind w:left="200" w:hangingChars="200" w:hanging="200"/>
      <w:contextualSpacing/>
    </w:pPr>
  </w:style>
  <w:style w:type="paragraph" w:styleId="40">
    <w:name w:val="List Bullet 4"/>
    <w:basedOn w:val="31"/>
    <w:pPr>
      <w:ind w:left="1418"/>
    </w:pPr>
  </w:style>
  <w:style w:type="paragraph" w:styleId="31">
    <w:name w:val="List Bullet 3"/>
    <w:basedOn w:val="21"/>
    <w:pPr>
      <w:ind w:left="1135"/>
    </w:pPr>
  </w:style>
  <w:style w:type="paragraph" w:styleId="21">
    <w:name w:val="List Bullet 2"/>
    <w:basedOn w:val="a5"/>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pPr>
      <w:jc w:val="left"/>
    </w:pPr>
  </w:style>
  <w:style w:type="paragraph" w:styleId="60">
    <w:name w:val="index 6"/>
    <w:basedOn w:val="a"/>
    <w:next w:val="a"/>
    <w:pPr>
      <w:ind w:left="1260" w:hanging="210"/>
      <w:jc w:val="left"/>
    </w:pPr>
    <w:rPr>
      <w:rFonts w:ascii="Calibri" w:hAnsi="Calibri"/>
      <w:sz w:val="20"/>
      <w:szCs w:val="20"/>
    </w:rPr>
  </w:style>
  <w:style w:type="paragraph" w:styleId="a9">
    <w:name w:val="Body Text"/>
    <w:basedOn w:val="a"/>
    <w:link w:val="Char2"/>
    <w:pPr>
      <w:widowControl/>
      <w:spacing w:before="40" w:after="120"/>
      <w:jc w:val="left"/>
    </w:pPr>
    <w:rPr>
      <w:rFonts w:eastAsia="MS Mincho"/>
      <w:kern w:val="0"/>
      <w:sz w:val="20"/>
    </w:rPr>
  </w:style>
  <w:style w:type="paragraph" w:styleId="22">
    <w:name w:val="List 2"/>
    <w:basedOn w:val="a"/>
    <w:unhideWhenUsed/>
    <w:pPr>
      <w:ind w:leftChars="200" w:left="100" w:hangingChars="200" w:hanging="200"/>
      <w:contextualSpacing/>
    </w:pPr>
  </w:style>
  <w:style w:type="paragraph" w:styleId="41">
    <w:name w:val="index 4"/>
    <w:basedOn w:val="a"/>
    <w:next w:val="a"/>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pPr>
      <w:tabs>
        <w:tab w:val="right" w:leader="dot" w:pos="9241"/>
      </w:tabs>
      <w:ind w:firstLineChars="100" w:firstLine="100"/>
      <w:jc w:val="left"/>
    </w:pPr>
    <w:rPr>
      <w:rFonts w:ascii="宋体"/>
    </w:rPr>
  </w:style>
  <w:style w:type="paragraph" w:styleId="aa">
    <w:name w:val="Plain Text"/>
    <w:basedOn w:val="a"/>
    <w:link w:val="Char3"/>
    <w:uiPriority w:val="99"/>
    <w:unhideWhenUsed/>
    <w:pPr>
      <w:widowControl/>
      <w:spacing w:before="40"/>
      <w:jc w:val="left"/>
    </w:pPr>
    <w:rPr>
      <w:rFonts w:ascii="Consolas" w:eastAsia="Calibri" w:hAnsi="Consolas"/>
      <w:kern w:val="0"/>
      <w:lang w:eastAsia="en-US"/>
    </w:rPr>
  </w:style>
  <w:style w:type="paragraph" w:styleId="52">
    <w:name w:val="List Bullet 5"/>
    <w:basedOn w:val="40"/>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tabs>
        <w:tab w:val="right" w:leader="dot" w:pos="9242"/>
      </w:tabs>
      <w:spacing w:beforeLines="25" w:afterLines="25"/>
      <w:jc w:val="left"/>
    </w:pPr>
  </w:style>
  <w:style w:type="paragraph" w:styleId="42">
    <w:name w:val="toc 4"/>
    <w:basedOn w:val="a"/>
    <w:next w:val="a"/>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pPr>
      <w:tabs>
        <w:tab w:val="center" w:pos="4201"/>
        <w:tab w:val="right" w:leader="dot" w:pos="9298"/>
      </w:tabs>
      <w:autoSpaceDE w:val="0"/>
      <w:autoSpaceDN w:val="0"/>
      <w:spacing w:after="160" w:line="259" w:lineRule="auto"/>
      <w:ind w:firstLineChars="200" w:firstLine="420"/>
      <w:jc w:val="both"/>
    </w:pPr>
    <w:rPr>
      <w:rFonts w:ascii="宋体"/>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eastAsia="MS Mincho"/>
      <w:b/>
      <w:bCs/>
      <w:kern w:val="0"/>
      <w:sz w:val="20"/>
      <w:szCs w:val="20"/>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d">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rPr>
      <w:rFonts w:ascii="Arial" w:eastAsia="黑体"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0"/>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kern w:val="2"/>
      <w:sz w:val="18"/>
      <w:szCs w:val="18"/>
    </w:rPr>
  </w:style>
  <w:style w:type="paragraph" w:customStyle="1" w:styleId="aff5">
    <w:name w:val="示例内容"/>
    <w:pPr>
      <w:spacing w:after="160" w:line="259" w:lineRule="auto"/>
      <w:ind w:firstLineChars="200" w:firstLine="200"/>
    </w:pPr>
    <w:rPr>
      <w:rFonts w:ascii="宋体"/>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kern w:val="2"/>
      <w:sz w:val="21"/>
      <w:szCs w:val="21"/>
    </w:rPr>
  </w:style>
  <w:style w:type="paragraph" w:customStyle="1" w:styleId="aff8">
    <w:name w:val="列项◆（三级）"/>
    <w:basedOn w:val="a"/>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szCs w:val="21"/>
    </w:rPr>
  </w:style>
  <w:style w:type="paragraph" w:customStyle="1" w:styleId="affe">
    <w:name w:val="四级条标题"/>
    <w:basedOn w:val="aff9"/>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eastAsia="黑体"/>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eastAsia="en-US"/>
    </w:rPr>
  </w:style>
  <w:style w:type="paragraph" w:customStyle="1" w:styleId="affff2">
    <w:name w:val="三级无"/>
    <w:basedOn w:val="aff9"/>
    <w:rPr>
      <w:rFonts w:ascii="宋体" w:eastAsia="宋体"/>
    </w:rPr>
  </w:style>
  <w:style w:type="paragraph" w:customStyle="1" w:styleId="affff3">
    <w:name w:val="条文脚注"/>
    <w:basedOn w:val="af1"/>
    <w:pPr>
      <w:jc w:val="both"/>
    </w:pPr>
  </w:style>
  <w:style w:type="paragraph" w:customStyle="1" w:styleId="affff4">
    <w:name w:val="其他标准标志"/>
    <w:basedOn w:val="affff5"/>
    <w:rPr>
      <w:w w:val="130"/>
    </w:rPr>
  </w:style>
  <w:style w:type="paragraph" w:customStyle="1" w:styleId="affff5">
    <w:name w:val="标准标志"/>
    <w:next w:val="a"/>
    <w:qFormat/>
    <w:pPr>
      <w:shd w:val="solid" w:color="FFFFFF" w:fill="FFFFFF"/>
      <w:spacing w:after="160" w:line="0" w:lineRule="atLeast"/>
      <w:jc w:val="right"/>
    </w:pPr>
    <w:rPr>
      <w:b/>
      <w:w w:val="170"/>
      <w:kern w:val="2"/>
      <w:sz w:val="96"/>
      <w:szCs w:val="96"/>
    </w:rPr>
  </w:style>
  <w:style w:type="paragraph" w:customStyle="1" w:styleId="Agreement">
    <w:name w:val="Agreement"/>
    <w:basedOn w:val="a"/>
    <w:next w:val="Doc-text2"/>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eastAsia="en-US"/>
    </w:rPr>
  </w:style>
  <w:style w:type="paragraph" w:customStyle="1" w:styleId="affff6">
    <w:name w:val="标准书眉一"/>
    <w:qFormat/>
    <w:pPr>
      <w:spacing w:after="160" w:line="259" w:lineRule="auto"/>
      <w:jc w:val="both"/>
    </w:pPr>
    <w:rPr>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kern w:val="2"/>
      <w:sz w:val="21"/>
      <w:szCs w:val="21"/>
    </w:rPr>
  </w:style>
  <w:style w:type="paragraph" w:customStyle="1" w:styleId="affffa">
    <w:name w:val="附录公式编号制表符"/>
    <w:basedOn w:val="a"/>
    <w:next w:val="af0"/>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a"/>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d">
    <w:name w:val="示例后文字"/>
    <w:basedOn w:val="af0"/>
    <w:next w:val="af0"/>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pPr>
      <w:tabs>
        <w:tab w:val="left" w:pos="360"/>
      </w:tabs>
      <w:ind w:left="360" w:hanging="360"/>
    </w:pPr>
    <w:rPr>
      <w:rFonts w:ascii="宋体"/>
      <w:sz w:val="18"/>
      <w:szCs w:val="18"/>
    </w:rPr>
  </w:style>
  <w:style w:type="paragraph" w:customStyle="1" w:styleId="Proposal">
    <w:name w:val="Proposal"/>
    <w:basedOn w:val="a"/>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kern w:val="2"/>
      <w:sz w:val="21"/>
      <w:szCs w:val="21"/>
    </w:rPr>
  </w:style>
  <w:style w:type="paragraph" w:customStyle="1" w:styleId="CharChar1CharChar">
    <w:name w:val="Char Char1 Char Char"/>
    <w:semiHidden/>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kern w:val="2"/>
      <w:sz w:val="18"/>
      <w:szCs w:val="18"/>
    </w:rPr>
  </w:style>
  <w:style w:type="paragraph" w:customStyle="1" w:styleId="afffff8">
    <w:name w:val="附录表标号"/>
    <w:basedOn w:val="a"/>
    <w:next w:val="af0"/>
    <w:pPr>
      <w:spacing w:line="14" w:lineRule="exact"/>
      <w:ind w:left="811" w:hanging="448"/>
      <w:jc w:val="center"/>
      <w:outlineLvl w:val="0"/>
    </w:pPr>
    <w:rPr>
      <w:color w:val="FFFFFF"/>
    </w:rPr>
  </w:style>
  <w:style w:type="paragraph" w:customStyle="1" w:styleId="afffff9">
    <w:name w:val="附录图标题"/>
    <w:basedOn w:val="a"/>
    <w:next w:val="af0"/>
    <w:pPr>
      <w:tabs>
        <w:tab w:val="left" w:pos="363"/>
      </w:tabs>
      <w:spacing w:beforeLines="50" w:afterLines="50"/>
      <w:jc w:val="center"/>
    </w:pPr>
    <w:rPr>
      <w:rFonts w:ascii="黑体" w:eastAsia="黑体"/>
    </w:rPr>
  </w:style>
  <w:style w:type="paragraph" w:customStyle="1" w:styleId="afffffa">
    <w:name w:val="附录标题"/>
    <w:basedOn w:val="af0"/>
    <w:next w:val="af0"/>
    <w:pPr>
      <w:ind w:firstLineChars="0" w:firstLine="0"/>
      <w:jc w:val="center"/>
    </w:pPr>
    <w:rPr>
      <w:rFonts w:ascii="黑体" w:eastAsia="黑体"/>
    </w:rPr>
  </w:style>
  <w:style w:type="paragraph" w:customStyle="1" w:styleId="afffffb">
    <w:name w:val="数字编号列项（二级）"/>
    <w:pPr>
      <w:tabs>
        <w:tab w:val="left" w:pos="1260"/>
      </w:tabs>
      <w:spacing w:after="160" w:line="259" w:lineRule="auto"/>
      <w:ind w:left="1190" w:hanging="567"/>
      <w:jc w:val="both"/>
    </w:pPr>
    <w:rPr>
      <w:rFonts w:ascii="宋体"/>
      <w:kern w:val="2"/>
      <w:sz w:val="21"/>
      <w:szCs w:val="21"/>
    </w:rPr>
  </w:style>
  <w:style w:type="paragraph" w:customStyle="1" w:styleId="TAC">
    <w:name w:val="TAC"/>
    <w:basedOn w:val="TAL"/>
    <w:pPr>
      <w:jc w:val="center"/>
    </w:pPr>
    <w:rPr>
      <w:szCs w:val="20"/>
      <w:lang w:eastAsia="en-US"/>
    </w:rPr>
  </w:style>
  <w:style w:type="paragraph" w:customStyle="1" w:styleId="afffffc">
    <w:name w:val="标准书眉_偶数页"/>
    <w:basedOn w:val="aff7"/>
    <w:next w:val="a"/>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b/>
      <w:bCs/>
      <w:spacing w:val="20"/>
      <w:w w:val="148"/>
      <w:kern w:val="2"/>
      <w:sz w:val="48"/>
      <w:szCs w:val="21"/>
    </w:rPr>
  </w:style>
  <w:style w:type="paragraph" w:customStyle="1" w:styleId="affffff2">
    <w:name w:val="二级无"/>
    <w:basedOn w:val="affa"/>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rPr>
      <w:rFonts w:ascii="宋体" w:eastAsia="宋体"/>
    </w:rPr>
  </w:style>
  <w:style w:type="paragraph" w:customStyle="1" w:styleId="affffff7">
    <w:name w:val="正文公式编号制表符"/>
    <w:basedOn w:val="af0"/>
    <w:next w:val="af0"/>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kern w:val="2"/>
      <w:sz w:val="21"/>
      <w:szCs w:val="21"/>
    </w:rPr>
  </w:style>
  <w:style w:type="paragraph" w:customStyle="1" w:styleId="2a">
    <w:name w:val="封面标准名称2"/>
    <w:basedOn w:val="afffe"/>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d"/>
    <w:uiPriority w:val="34"/>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ffffff5">
    <w:name w:val="No Spacing"/>
    <w:uiPriority w:val="99"/>
    <w:qFormat/>
    <w:rsid w:val="008360A6"/>
    <w:rPr>
      <w:rFonts w:ascii="Calibri" w:eastAsia="宋体" w:hAnsi="Calibri"/>
      <w:sz w:val="22"/>
      <w:szCs w:val="22"/>
    </w:rPr>
  </w:style>
  <w:style w:type="character" w:customStyle="1" w:styleId="afffffff6">
    <w:name w:val="首标题"/>
    <w:qFormat/>
    <w:rsid w:val="001E642A"/>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2E3C56-7E2C-4A52-8E81-4778F2369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514</Words>
  <Characters>2930</Characters>
  <Application>Microsoft Office Word</Application>
  <DocSecurity>0</DocSecurity>
  <Lines>24</Lines>
  <Paragraphs>6</Paragraphs>
  <ScaleCrop>false</ScaleCrop>
  <Company>Hewlett-Packard Company</Company>
  <LinksUpToDate>false</LinksUpToDate>
  <CharactersWithSpaces>3438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cp:revision>
  <cp:lastPrinted>2113-01-01T00:00:00Z</cp:lastPrinted>
  <dcterms:created xsi:type="dcterms:W3CDTF">2021-01-13T06:07:00Z</dcterms:created>
  <dcterms:modified xsi:type="dcterms:W3CDTF">2021-01-13T07:28:00Z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