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E3F55F" w14:textId="4D6FA9A1" w:rsidR="00CA30C1" w:rsidRPr="00D53D31" w:rsidRDefault="00CA30C1" w:rsidP="00CA30C1">
      <w:pPr>
        <w:pStyle w:val="CRCoverPage"/>
        <w:tabs>
          <w:tab w:val="right" w:pos="9639"/>
          <w:tab w:val="right" w:pos="13323"/>
        </w:tabs>
        <w:spacing w:after="0"/>
        <w:jc w:val="both"/>
        <w:rPr>
          <w:rFonts w:cs="Arial"/>
          <w:b/>
          <w:sz w:val="24"/>
          <w:szCs w:val="24"/>
          <w:lang w:val="sv-SE"/>
        </w:rPr>
      </w:pPr>
      <w:r w:rsidRPr="00D53D31">
        <w:rPr>
          <w:rFonts w:cs="Arial"/>
          <w:b/>
          <w:sz w:val="24"/>
          <w:szCs w:val="24"/>
          <w:lang w:val="sv-SE"/>
        </w:rPr>
        <w:t>3GPP TSG-RAN3 #1</w:t>
      </w:r>
      <w:r>
        <w:rPr>
          <w:rFonts w:cs="Arial"/>
          <w:b/>
          <w:sz w:val="24"/>
          <w:szCs w:val="24"/>
          <w:lang w:val="sv-SE"/>
        </w:rPr>
        <w:t>10-</w:t>
      </w:r>
      <w:r w:rsidRPr="00D53D31">
        <w:rPr>
          <w:rFonts w:cs="Arial"/>
          <w:b/>
          <w:sz w:val="24"/>
          <w:szCs w:val="24"/>
          <w:lang w:val="sv-SE"/>
        </w:rPr>
        <w:t>e</w:t>
      </w:r>
      <w:r w:rsidRPr="00D53D31">
        <w:rPr>
          <w:rFonts w:cs="Arial"/>
          <w:b/>
          <w:sz w:val="24"/>
          <w:szCs w:val="24"/>
          <w:lang w:val="sv-SE"/>
        </w:rPr>
        <w:tab/>
        <w:t>R3-20</w:t>
      </w:r>
      <w:r w:rsidR="009B067E">
        <w:rPr>
          <w:rFonts w:cs="Arial"/>
          <w:b/>
          <w:sz w:val="24"/>
          <w:szCs w:val="24"/>
          <w:lang w:val="sv-SE"/>
        </w:rPr>
        <w:t>6760</w:t>
      </w:r>
    </w:p>
    <w:p w14:paraId="29490B37" w14:textId="77777777" w:rsidR="00CA30C1" w:rsidRDefault="00CA30C1" w:rsidP="00CA30C1">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2</w:t>
      </w:r>
      <w:r w:rsidRPr="005C25DF">
        <w:rPr>
          <w:rFonts w:eastAsia="PMingLiU"/>
          <w:noProof w:val="0"/>
          <w:sz w:val="24"/>
          <w:szCs w:val="28"/>
          <w:vertAlign w:val="superscript"/>
          <w:lang w:eastAsia="zh-TW"/>
        </w:rPr>
        <w:t>nd</w:t>
      </w:r>
      <w:r>
        <w:rPr>
          <w:rFonts w:eastAsia="PMingLiU"/>
          <w:noProof w:val="0"/>
          <w:sz w:val="24"/>
          <w:szCs w:val="28"/>
          <w:lang w:eastAsia="zh-TW"/>
        </w:rPr>
        <w:t xml:space="preserve"> November – 12</w:t>
      </w:r>
      <w:r w:rsidRPr="00193FDC">
        <w:rPr>
          <w:rFonts w:eastAsia="PMingLiU"/>
          <w:noProof w:val="0"/>
          <w:sz w:val="24"/>
          <w:szCs w:val="28"/>
          <w:vertAlign w:val="superscript"/>
          <w:lang w:eastAsia="zh-TW"/>
        </w:rPr>
        <w:t>th</w:t>
      </w:r>
      <w:r>
        <w:rPr>
          <w:rFonts w:eastAsia="PMingLiU"/>
          <w:noProof w:val="0"/>
          <w:sz w:val="24"/>
          <w:szCs w:val="28"/>
          <w:lang w:eastAsia="zh-TW"/>
        </w:rPr>
        <w:t xml:space="preserve"> November 2020</w:t>
      </w:r>
    </w:p>
    <w:p w14:paraId="686F0E34" w14:textId="723FFE51" w:rsidR="00120883" w:rsidRPr="007044DE" w:rsidRDefault="00CA30C1" w:rsidP="00CA30C1">
      <w:pPr>
        <w:pStyle w:val="3GPPHeader"/>
        <w:rPr>
          <w:sz w:val="22"/>
          <w:lang w:val="en-GB"/>
        </w:rPr>
      </w:pPr>
      <w:r>
        <w:rPr>
          <w:rFonts w:eastAsia="PMingLiU"/>
          <w:szCs w:val="28"/>
          <w:lang w:eastAsia="zh-TW"/>
        </w:rPr>
        <w:t>Online</w:t>
      </w:r>
    </w:p>
    <w:p w14:paraId="0780D87B" w14:textId="7826FAFB" w:rsidR="00120883" w:rsidRPr="007044DE" w:rsidRDefault="00120883" w:rsidP="00120883">
      <w:pPr>
        <w:pStyle w:val="3GPPHeader"/>
        <w:rPr>
          <w:sz w:val="22"/>
          <w:lang w:val="en-GB"/>
        </w:rPr>
      </w:pPr>
      <w:r w:rsidRPr="007044DE">
        <w:rPr>
          <w:sz w:val="22"/>
          <w:lang w:val="en-GB"/>
        </w:rPr>
        <w:t>Agenda Item:</w:t>
      </w:r>
      <w:r w:rsidRPr="007044DE">
        <w:rPr>
          <w:sz w:val="22"/>
          <w:lang w:val="en-GB"/>
        </w:rPr>
        <w:tab/>
      </w:r>
      <w:r w:rsidR="00325537">
        <w:rPr>
          <w:sz w:val="22"/>
          <w:lang w:val="en-GB"/>
        </w:rPr>
        <w:t>9.3.7.1</w:t>
      </w:r>
    </w:p>
    <w:p w14:paraId="74FD9643" w14:textId="596AED58" w:rsidR="00120883" w:rsidRPr="007044DE" w:rsidRDefault="00120883" w:rsidP="00120883">
      <w:pPr>
        <w:pStyle w:val="3GPPHeader"/>
        <w:rPr>
          <w:sz w:val="22"/>
          <w:lang w:val="en-GB"/>
        </w:rPr>
      </w:pPr>
      <w:r w:rsidRPr="007044DE">
        <w:rPr>
          <w:sz w:val="22"/>
          <w:lang w:val="en-GB"/>
        </w:rPr>
        <w:t>Source:</w:t>
      </w:r>
      <w:r w:rsidRPr="007044DE">
        <w:rPr>
          <w:sz w:val="22"/>
          <w:lang w:val="en-GB"/>
        </w:rPr>
        <w:tab/>
        <w:t>Ericsson</w:t>
      </w:r>
      <w:r w:rsidR="00580098">
        <w:rPr>
          <w:sz w:val="22"/>
          <w:lang w:val="en-GB"/>
        </w:rPr>
        <w:t xml:space="preserve">, </w:t>
      </w:r>
      <w:r w:rsidR="00580098" w:rsidRPr="00580098">
        <w:rPr>
          <w:sz w:val="22"/>
          <w:lang w:val="en-GB"/>
        </w:rPr>
        <w:t>Verizon Wireless</w:t>
      </w:r>
    </w:p>
    <w:p w14:paraId="3F7A6F4B" w14:textId="37E45705" w:rsidR="00120883" w:rsidRPr="007044DE" w:rsidRDefault="00120883" w:rsidP="00120883">
      <w:pPr>
        <w:pStyle w:val="3GPPHeader"/>
        <w:rPr>
          <w:sz w:val="22"/>
          <w:lang w:val="en-GB"/>
        </w:rPr>
      </w:pPr>
      <w:r w:rsidRPr="007044DE">
        <w:rPr>
          <w:sz w:val="22"/>
          <w:lang w:val="en-GB"/>
        </w:rPr>
        <w:t>Title:</w:t>
      </w:r>
      <w:r w:rsidRPr="007044DE">
        <w:rPr>
          <w:sz w:val="22"/>
          <w:lang w:val="en-GB"/>
        </w:rPr>
        <w:tab/>
      </w:r>
      <w:r w:rsidR="00B642DA" w:rsidRPr="00B642DA">
        <w:rPr>
          <w:sz w:val="22"/>
          <w:lang w:val="en-GB"/>
        </w:rPr>
        <w:t>Mea</w:t>
      </w:r>
      <w:r w:rsidR="00485E04">
        <w:rPr>
          <w:sz w:val="22"/>
          <w:lang w:val="en-GB"/>
        </w:rPr>
        <w:t>surement gap deactivation over</w:t>
      </w:r>
      <w:r w:rsidR="00B642DA" w:rsidRPr="00B642DA">
        <w:rPr>
          <w:sz w:val="22"/>
          <w:lang w:val="en-GB"/>
        </w:rPr>
        <w:t xml:space="preserve"> F1AP</w:t>
      </w:r>
    </w:p>
    <w:p w14:paraId="570C59E6" w14:textId="77777777" w:rsidR="00120883" w:rsidRDefault="00120883" w:rsidP="00120883">
      <w:pPr>
        <w:pStyle w:val="3GPPHeader"/>
        <w:rPr>
          <w:sz w:val="22"/>
        </w:rPr>
      </w:pPr>
      <w:r w:rsidRPr="00D9404F">
        <w:rPr>
          <w:sz w:val="22"/>
        </w:rPr>
        <w:t>Document for:</w:t>
      </w:r>
      <w:r w:rsidRPr="00D9404F">
        <w:rPr>
          <w:sz w:val="22"/>
        </w:rPr>
        <w:tab/>
        <w:t>Discussion, Decision</w:t>
      </w:r>
    </w:p>
    <w:p w14:paraId="0FE1BB9A" w14:textId="77777777" w:rsidR="00120883" w:rsidRDefault="00120883" w:rsidP="00120883">
      <w:pPr>
        <w:pStyle w:val="Heading1"/>
      </w:pPr>
      <w:r w:rsidRPr="00CE0424">
        <w:t>Introduction</w:t>
      </w:r>
    </w:p>
    <w:p w14:paraId="76300CF4" w14:textId="1D82FD03" w:rsidR="00120883" w:rsidRPr="007044DE" w:rsidRDefault="00120883" w:rsidP="006E5CA2">
      <w:pPr>
        <w:rPr>
          <w:lang w:val="en-GB"/>
        </w:rPr>
      </w:pPr>
      <w:r w:rsidRPr="007044DE">
        <w:rPr>
          <w:lang w:val="en-GB"/>
        </w:rPr>
        <w:t xml:space="preserve">In the </w:t>
      </w:r>
      <w:r w:rsidR="00BB323A" w:rsidRPr="007044DE">
        <w:rPr>
          <w:lang w:val="en-GB"/>
        </w:rPr>
        <w:t xml:space="preserve">previous meeting </w:t>
      </w:r>
      <w:r w:rsidR="00BA21C5">
        <w:rPr>
          <w:lang w:val="en-GB"/>
        </w:rPr>
        <w:t xml:space="preserve">the issue of </w:t>
      </w:r>
      <w:bookmarkStart w:id="0" w:name="_Hlk40085719"/>
      <w:r w:rsidR="00BA21C5">
        <w:rPr>
          <w:lang w:val="en-GB"/>
        </w:rPr>
        <w:t xml:space="preserve">Measurement Gap deactivation </w:t>
      </w:r>
      <w:bookmarkEnd w:id="0"/>
      <w:r w:rsidR="007D3CE8">
        <w:rPr>
          <w:lang w:val="en-GB"/>
        </w:rPr>
        <w:t>had been discussed</w:t>
      </w:r>
      <w:r w:rsidR="006E5CA2">
        <w:rPr>
          <w:lang w:val="en-GB"/>
        </w:rPr>
        <w:t xml:space="preserve"> and some conclusions were made</w:t>
      </w:r>
      <w:r w:rsidR="007D3CE8">
        <w:rPr>
          <w:lang w:val="en-GB"/>
        </w:rPr>
        <w:t xml:space="preserve">. </w:t>
      </w:r>
      <w:r w:rsidR="006E5CA2">
        <w:t xml:space="preserve">Looking in the TS 38.473, information regarding the </w:t>
      </w:r>
      <w:r w:rsidR="006E5CA2" w:rsidRPr="00ED0E6F">
        <w:rPr>
          <w:i/>
          <w:iCs/>
        </w:rPr>
        <w:t xml:space="preserve">RRC Reconfiguration Complete Indicator </w:t>
      </w:r>
      <w:r w:rsidR="006E5CA2">
        <w:t xml:space="preserve">IE related to </w:t>
      </w:r>
      <w:r w:rsidR="006E5CA2">
        <w:rPr>
          <w:lang w:val="en-GB"/>
        </w:rPr>
        <w:t xml:space="preserve">Measurement Gap activation </w:t>
      </w:r>
      <w:r w:rsidR="006E5CA2">
        <w:t xml:space="preserve">is lacking. </w:t>
      </w:r>
      <w:r w:rsidR="007D3CE8">
        <w:rPr>
          <w:lang w:val="en-GB"/>
        </w:rPr>
        <w:t xml:space="preserve">In the following we </w:t>
      </w:r>
      <w:r w:rsidR="007D3CE8" w:rsidRPr="007044DE">
        <w:rPr>
          <w:lang w:val="en-GB"/>
        </w:rPr>
        <w:t xml:space="preserve">will further elaborate on this </w:t>
      </w:r>
      <w:r w:rsidR="007D3CE8">
        <w:rPr>
          <w:lang w:val="en-GB"/>
        </w:rPr>
        <w:t>issue</w:t>
      </w:r>
      <w:r w:rsidR="007D3CE8" w:rsidRPr="007044DE">
        <w:rPr>
          <w:lang w:val="en-GB"/>
        </w:rPr>
        <w:t xml:space="preserve"> </w:t>
      </w:r>
      <w:r w:rsidR="007D3CE8">
        <w:rPr>
          <w:lang w:val="en-GB"/>
        </w:rPr>
        <w:t>and bring forward our proposals</w:t>
      </w:r>
    </w:p>
    <w:p w14:paraId="2C6DDFA8" w14:textId="71A36710" w:rsidR="00120883" w:rsidRDefault="00120883" w:rsidP="00120883">
      <w:pPr>
        <w:pStyle w:val="Heading1"/>
      </w:pPr>
      <w:bookmarkStart w:id="1" w:name="_Ref178064866"/>
      <w:r w:rsidRPr="00CE0424">
        <w:t>Discussion</w:t>
      </w:r>
      <w:bookmarkEnd w:id="1"/>
    </w:p>
    <w:p w14:paraId="4CA45BAA" w14:textId="353E6BF6" w:rsidR="007D3CE8" w:rsidRDefault="007D3CE8" w:rsidP="007D3CE8">
      <w:pPr>
        <w:rPr>
          <w:rFonts w:cstheme="minorHAnsi"/>
          <w:lang w:val="en-GB"/>
        </w:rPr>
      </w:pPr>
      <w:r>
        <w:rPr>
          <w:rFonts w:cstheme="minorHAnsi"/>
          <w:lang w:val="en-GB"/>
        </w:rPr>
        <w:t xml:space="preserve">In the previous meeting, the issue of </w:t>
      </w:r>
      <w:r>
        <w:rPr>
          <w:lang w:val="en-GB"/>
        </w:rPr>
        <w:t xml:space="preserve">Measurement Gap deactivation </w:t>
      </w:r>
      <w:r>
        <w:rPr>
          <w:rFonts w:cstheme="minorHAnsi"/>
          <w:lang w:val="en-GB"/>
        </w:rPr>
        <w:t xml:space="preserve">was highlighted. After the discussion we read in the </w:t>
      </w:r>
      <w:r w:rsidR="006E5CA2">
        <w:rPr>
          <w:rFonts w:cstheme="minorHAnsi"/>
          <w:lang w:val="en-GB"/>
        </w:rPr>
        <w:t>chairman’s notes</w:t>
      </w:r>
      <w:r>
        <w:rPr>
          <w:rFonts w:cstheme="minorHAnsi"/>
          <w:lang w:val="en-GB"/>
        </w:rPr>
        <w:t xml:space="preserve"> the following:</w:t>
      </w:r>
    </w:p>
    <w:p w14:paraId="245467F5" w14:textId="77777777" w:rsidR="006E5CA2" w:rsidRPr="001E79BF" w:rsidRDefault="006E5CA2" w:rsidP="006E5CA2">
      <w:pPr>
        <w:widowControl w:val="0"/>
        <w:spacing w:after="0"/>
        <w:rPr>
          <w:rFonts w:ascii="Calibri" w:hAnsi="Calibri" w:cs="Calibri"/>
          <w:b/>
          <w:bCs/>
          <w:color w:val="FF0000"/>
          <w:sz w:val="18"/>
          <w:szCs w:val="24"/>
        </w:rPr>
      </w:pPr>
      <w:r w:rsidRPr="001E79BF">
        <w:rPr>
          <w:rFonts w:ascii="Calibri" w:hAnsi="Calibri" w:cs="Calibri"/>
          <w:b/>
          <w:bCs/>
          <w:color w:val="FF0000"/>
          <w:sz w:val="18"/>
          <w:szCs w:val="24"/>
        </w:rPr>
        <w:t>The following is a possible implementation of the current standard:</w:t>
      </w:r>
    </w:p>
    <w:p w14:paraId="5524F579" w14:textId="77777777" w:rsidR="006E5CA2" w:rsidRPr="001E79BF" w:rsidRDefault="006E5CA2" w:rsidP="006E5CA2">
      <w:pPr>
        <w:widowControl w:val="0"/>
        <w:spacing w:after="0"/>
        <w:rPr>
          <w:rFonts w:ascii="Calibri" w:hAnsi="Calibri" w:cs="Calibri"/>
          <w:b/>
          <w:bCs/>
          <w:color w:val="FF0000"/>
          <w:sz w:val="18"/>
          <w:szCs w:val="24"/>
        </w:rPr>
      </w:pPr>
      <w:r w:rsidRPr="001E79BF">
        <w:rPr>
          <w:rFonts w:ascii="Calibri" w:hAnsi="Calibri" w:cs="Calibri"/>
          <w:b/>
          <w:bCs/>
          <w:color w:val="FF0000"/>
          <w:sz w:val="18"/>
          <w:szCs w:val="24"/>
        </w:rPr>
        <w:t xml:space="preserve">Always use the MeasObjectToAddModList IE plus the measObjectToRemoveList IE when adding/modifying/removing measurement objects. </w:t>
      </w:r>
    </w:p>
    <w:p w14:paraId="05EA0A23" w14:textId="77777777" w:rsidR="006E5CA2" w:rsidRPr="001E79BF" w:rsidRDefault="006E5CA2" w:rsidP="006E5CA2">
      <w:pPr>
        <w:widowControl w:val="0"/>
        <w:spacing w:after="0"/>
        <w:rPr>
          <w:rFonts w:ascii="Calibri" w:hAnsi="Calibri" w:cs="Calibri"/>
          <w:b/>
          <w:bCs/>
          <w:color w:val="FF0000"/>
          <w:sz w:val="18"/>
          <w:szCs w:val="24"/>
        </w:rPr>
      </w:pPr>
      <w:r w:rsidRPr="001E79BF">
        <w:rPr>
          <w:rFonts w:ascii="Calibri" w:hAnsi="Calibri" w:cs="Calibri"/>
          <w:b/>
          <w:bCs/>
          <w:color w:val="FF0000"/>
          <w:sz w:val="18"/>
          <w:szCs w:val="24"/>
        </w:rPr>
        <w:t>In this option the measObjectToRemoveList IE is used to remove all measurements previously configured. All measurements that want to be added or modified are present in the MeasObjectToAddModList IE as measurements to be added.</w:t>
      </w:r>
    </w:p>
    <w:p w14:paraId="15777F1E" w14:textId="7E9398C2" w:rsidR="006E5CA2" w:rsidRDefault="006E5CA2" w:rsidP="004823D0">
      <w:pPr>
        <w:rPr>
          <w:color w:val="00B050"/>
          <w:lang w:val="en-GB" w:eastAsia="zh-CN"/>
        </w:rPr>
      </w:pPr>
    </w:p>
    <w:p w14:paraId="6206B5B1" w14:textId="215A6390" w:rsidR="006E5CA2" w:rsidRDefault="006E5CA2" w:rsidP="006E5CA2">
      <w:bookmarkStart w:id="2" w:name="_Hlk509769073"/>
      <w:r>
        <w:t xml:space="preserve">In the past we had argued that in TS 38.473 there </w:t>
      </w:r>
      <w:r w:rsidR="0017072A">
        <w:t>was</w:t>
      </w:r>
      <w:r>
        <w:t xml:space="preserve"> no clear description of the conditions to include the </w:t>
      </w:r>
      <w:r>
        <w:rPr>
          <w:i/>
        </w:rPr>
        <w:t xml:space="preserve">RRC Reconfiguration Complete Indicator </w:t>
      </w:r>
      <w:r>
        <w:t xml:space="preserve">IE from the gNB-CU to the gNB-DU. </w:t>
      </w:r>
      <w:r w:rsidR="0017072A">
        <w:t>As a result the following is now in place in TS 38.473:</w:t>
      </w:r>
    </w:p>
    <w:p w14:paraId="23AA3FEA" w14:textId="51A05E00" w:rsidR="0017072A" w:rsidRDefault="0017072A" w:rsidP="006E5CA2">
      <w:pPr>
        <w:rPr>
          <w:rFonts w:ascii="Calibri" w:hAnsi="Calibri"/>
        </w:rPr>
      </w:pPr>
      <w:r w:rsidRPr="0017072A">
        <w:rPr>
          <w:rFonts w:ascii="Calibri" w:hAnsi="Calibri"/>
          <w:highlight w:val="yellow"/>
        </w:rPr>
        <w:t>If the RRC Reconfiguration Complete Indicator IE is included in the UE CONTEXT MODIFICATION REQUEST message, the gNB-DU shall consider the ongoing reconfiguration procedure involving changes of the L1/L2 configuration at the gNB-DU signalled to the gNB-CU via the CellGroupConfig IE for MR-DC operation or standalone operation has been successfully performed when such IE is set to ‘true’; otherwise (when such IE is set to ‘failure’), the gNB-DU shall consider the ongoing reconfiguration procedure has been failed and it shall continue to use the old L1/L2 configuration.</w:t>
      </w:r>
    </w:p>
    <w:p w14:paraId="2BD68C77" w14:textId="3ACA9C45" w:rsidR="006E5CA2" w:rsidRDefault="006E5CA2" w:rsidP="006E5CA2">
      <w:r>
        <w:t xml:space="preserve">In the above text there is </w:t>
      </w:r>
      <w:r w:rsidR="0017072A">
        <w:t>a</w:t>
      </w:r>
      <w:r>
        <w:t xml:space="preserve"> clear description of</w:t>
      </w:r>
      <w:r>
        <w:rPr>
          <w:lang w:val="en-US"/>
        </w:rPr>
        <w:t xml:space="preserve"> the triggering conditions to send </w:t>
      </w:r>
      <w:r w:rsidR="0017072A">
        <w:t xml:space="preserve">the </w:t>
      </w:r>
      <w:r w:rsidR="0017072A">
        <w:rPr>
          <w:i/>
        </w:rPr>
        <w:t xml:space="preserve">RRC Reconfiguration Complete Indicator </w:t>
      </w:r>
      <w:r w:rsidR="0017072A">
        <w:t>IE</w:t>
      </w:r>
      <w:r>
        <w:rPr>
          <w:lang w:val="en-US"/>
        </w:rPr>
        <w:t xml:space="preserve"> from </w:t>
      </w:r>
      <w:r>
        <w:t>the gNB-CU to the gNB-DU.</w:t>
      </w:r>
    </w:p>
    <w:p w14:paraId="09D9D74A" w14:textId="2E01B8D0" w:rsidR="0017072A" w:rsidRDefault="0017072A" w:rsidP="006E5CA2">
      <w:r>
        <w:t xml:space="preserve">Our concern is though that the triggering conditions are restricted to the case of </w:t>
      </w:r>
      <w:r w:rsidRPr="00ED0E6F">
        <w:rPr>
          <w:i/>
          <w:iCs/>
        </w:rPr>
        <w:t>CellGroupConfig</w:t>
      </w:r>
      <w:r w:rsidRPr="0017072A">
        <w:t xml:space="preserve"> IE</w:t>
      </w:r>
      <w:r>
        <w:t xml:space="preserve"> only. The principle that the above text is built upon is </w:t>
      </w:r>
      <w:r>
        <w:rPr>
          <w:lang w:val="en-US"/>
        </w:rPr>
        <w:t xml:space="preserve">that the </w:t>
      </w:r>
      <w:r w:rsidR="00ED0E6F">
        <w:rPr>
          <w:lang w:val="en-GB"/>
        </w:rPr>
        <w:t>gNB-CU</w:t>
      </w:r>
      <w:r>
        <w:rPr>
          <w:lang w:val="en-US"/>
        </w:rPr>
        <w:t xml:space="preserve"> should inform the </w:t>
      </w:r>
      <w:r w:rsidR="00ED0E6F">
        <w:rPr>
          <w:lang w:val="en-GB"/>
        </w:rPr>
        <w:t>gNB-DU</w:t>
      </w:r>
      <w:r>
        <w:rPr>
          <w:lang w:val="en-US"/>
        </w:rPr>
        <w:t xml:space="preserve"> when the </w:t>
      </w:r>
      <w:r w:rsidR="009A2594">
        <w:rPr>
          <w:lang w:val="en-US"/>
        </w:rPr>
        <w:t>r</w:t>
      </w:r>
      <w:r>
        <w:rPr>
          <w:lang w:val="en-US"/>
        </w:rPr>
        <w:t>econfiguration has been successfully completed (or failed)</w:t>
      </w:r>
      <w:r w:rsidR="00ED0E6F">
        <w:rPr>
          <w:lang w:val="en-US"/>
        </w:rPr>
        <w:t>,</w:t>
      </w:r>
      <w:r>
        <w:rPr>
          <w:lang w:val="en-US"/>
        </w:rPr>
        <w:t xml:space="preserve"> if the RRC Reconfiguration procedure included data received from the </w:t>
      </w:r>
      <w:r w:rsidR="00ED0E6F">
        <w:rPr>
          <w:lang w:val="en-GB"/>
        </w:rPr>
        <w:t>gNB-DU</w:t>
      </w:r>
      <w:r>
        <w:rPr>
          <w:lang w:val="en-US"/>
        </w:rPr>
        <w:t xml:space="preserve">. </w:t>
      </w:r>
      <w:r>
        <w:t xml:space="preserve">We would like to argue that </w:t>
      </w:r>
      <w:r w:rsidR="00DE7744">
        <w:t xml:space="preserve">also in the case that </w:t>
      </w:r>
      <w:r w:rsidR="00DE7744">
        <w:rPr>
          <w:lang w:val="en-GB"/>
        </w:rPr>
        <w:t xml:space="preserve">the </w:t>
      </w:r>
      <w:bookmarkStart w:id="3" w:name="_Hlk52807646"/>
      <w:r w:rsidR="00ED0E6F">
        <w:rPr>
          <w:lang w:val="en-GB"/>
        </w:rPr>
        <w:t>gNB-DU</w:t>
      </w:r>
      <w:r w:rsidR="00DE7744">
        <w:rPr>
          <w:lang w:val="en-GB"/>
        </w:rPr>
        <w:t xml:space="preserve"> sends the </w:t>
      </w:r>
      <w:r w:rsidR="00DE7744" w:rsidRPr="00ED0E6F">
        <w:rPr>
          <w:i/>
          <w:iCs/>
          <w:lang w:val="en-GB"/>
        </w:rPr>
        <w:t>MeasGapConfig</w:t>
      </w:r>
      <w:r w:rsidR="00DE7744">
        <w:rPr>
          <w:lang w:val="en-GB"/>
        </w:rPr>
        <w:t xml:space="preserve"> IE, </w:t>
      </w:r>
      <w:bookmarkEnd w:id="3"/>
      <w:r w:rsidR="00DE7744">
        <w:rPr>
          <w:lang w:val="en-GB"/>
        </w:rPr>
        <w:t xml:space="preserve">it is useful to have a confirmation that the </w:t>
      </w:r>
      <w:r w:rsidR="00DE7744">
        <w:rPr>
          <w:lang w:val="en-GB"/>
        </w:rPr>
        <w:lastRenderedPageBreak/>
        <w:t xml:space="preserve">measurement gaps have been correctly configured by the </w:t>
      </w:r>
      <w:r w:rsidR="00ED0E6F">
        <w:rPr>
          <w:lang w:val="en-GB"/>
        </w:rPr>
        <w:t>gNB-CU</w:t>
      </w:r>
      <w:r w:rsidR="00DE7744">
        <w:rPr>
          <w:lang w:val="en-GB"/>
        </w:rPr>
        <w:t>. By that we would avoid interoperability issues</w:t>
      </w:r>
      <w:r w:rsidR="006717A3">
        <w:rPr>
          <w:lang w:val="en-GB"/>
        </w:rPr>
        <w:t xml:space="preserve"> and unclarities regarding when </w:t>
      </w:r>
      <w:r w:rsidR="006717A3">
        <w:t>the gNB-DU can apply the new measgap configuration.</w:t>
      </w:r>
    </w:p>
    <w:p w14:paraId="056EF4FA" w14:textId="7E09389E" w:rsidR="006E5CA2" w:rsidRDefault="006E5CA2" w:rsidP="006E5CA2">
      <w:r>
        <w:rPr>
          <w:lang w:val="en-US"/>
        </w:rPr>
        <w:t xml:space="preserve">Based on the above we propose that extra clarification is added regarding </w:t>
      </w:r>
      <w:r>
        <w:t xml:space="preserve">the conditions to include the </w:t>
      </w:r>
      <w:r>
        <w:rPr>
          <w:i/>
        </w:rPr>
        <w:t>RRC Reconfiguration Complete Indicator</w:t>
      </w:r>
      <w:r>
        <w:t xml:space="preserve"> IE from the gNB-CU to the gNB-DU and the behaviour of the receiving node</w:t>
      </w:r>
      <w:r w:rsidR="009A2594">
        <w:t xml:space="preserve"> when</w:t>
      </w:r>
      <w:r w:rsidR="00ED0E6F">
        <w:t xml:space="preserve"> the</w:t>
      </w:r>
      <w:r w:rsidR="009A2594">
        <w:t xml:space="preserve"> </w:t>
      </w:r>
      <w:r w:rsidR="00ED0E6F">
        <w:rPr>
          <w:lang w:val="en-GB"/>
        </w:rPr>
        <w:t>gNB-DU</w:t>
      </w:r>
      <w:r w:rsidR="009A2594">
        <w:rPr>
          <w:lang w:val="en-GB"/>
        </w:rPr>
        <w:t xml:space="preserve"> sends the </w:t>
      </w:r>
      <w:r w:rsidR="009A2594" w:rsidRPr="00ED0E6F">
        <w:rPr>
          <w:i/>
          <w:iCs/>
          <w:lang w:val="en-GB"/>
        </w:rPr>
        <w:t>MeasGapConfig</w:t>
      </w:r>
      <w:r w:rsidR="009A2594">
        <w:rPr>
          <w:lang w:val="en-GB"/>
        </w:rPr>
        <w:t xml:space="preserve"> IE</w:t>
      </w:r>
      <w:r>
        <w:t xml:space="preserve">. </w:t>
      </w:r>
    </w:p>
    <w:p w14:paraId="0CB8C5C2" w14:textId="757D9446" w:rsidR="006E5CA2" w:rsidRDefault="006E5CA2" w:rsidP="006E5CA2">
      <w:pPr>
        <w:pStyle w:val="TOC1"/>
        <w:spacing w:after="120"/>
        <w:jc w:val="both"/>
        <w:rPr>
          <w:noProof w:val="0"/>
          <w:szCs w:val="20"/>
          <w:lang w:val="en-GB"/>
        </w:rPr>
      </w:pPr>
      <w:r>
        <w:rPr>
          <w:noProof w:val="0"/>
          <w:szCs w:val="20"/>
          <w:lang w:val="en-GB"/>
        </w:rPr>
        <w:t>Proposal 1:</w:t>
      </w:r>
      <w:r>
        <w:rPr>
          <w:rFonts w:asciiTheme="minorHAnsi" w:eastAsiaTheme="minorEastAsia" w:hAnsiTheme="minorHAnsi" w:cstheme="minorBidi"/>
          <w:b w:val="0"/>
          <w:noProof w:val="0"/>
          <w:szCs w:val="20"/>
          <w:lang w:val="en-GB" w:eastAsia="sv-SE"/>
        </w:rPr>
        <w:t xml:space="preserve"> </w:t>
      </w:r>
      <w:r>
        <w:rPr>
          <w:rFonts w:asciiTheme="minorHAnsi" w:eastAsiaTheme="minorEastAsia" w:hAnsiTheme="minorHAnsi" w:cstheme="minorBidi"/>
          <w:b w:val="0"/>
          <w:noProof w:val="0"/>
          <w:szCs w:val="20"/>
          <w:lang w:val="en-GB" w:eastAsia="sv-SE"/>
        </w:rPr>
        <w:tab/>
      </w:r>
      <w:r>
        <w:rPr>
          <w:lang w:val="en-GB"/>
        </w:rPr>
        <w:t>E</w:t>
      </w:r>
      <w:r>
        <w:rPr>
          <w:lang w:eastAsia="en-US"/>
        </w:rPr>
        <w:t xml:space="preserve">xtra clarification is added regarding the </w:t>
      </w:r>
      <w:r>
        <w:t xml:space="preserve">conditions to include the </w:t>
      </w:r>
      <w:r w:rsidRPr="00ED0E6F">
        <w:rPr>
          <w:i/>
          <w:iCs/>
        </w:rPr>
        <w:t xml:space="preserve">RRC Reconfiguration Complete Indicator </w:t>
      </w:r>
      <w:r>
        <w:t xml:space="preserve">IE from the gNB-CU to the gNB-DU and </w:t>
      </w:r>
      <w:r>
        <w:rPr>
          <w:lang w:eastAsia="en-US"/>
        </w:rPr>
        <w:t xml:space="preserve">the </w:t>
      </w:r>
      <w:r>
        <w:rPr>
          <w:lang w:val="en-GB" w:eastAsia="en-US"/>
        </w:rPr>
        <w:t>behaviour</w:t>
      </w:r>
      <w:r>
        <w:rPr>
          <w:lang w:eastAsia="en-US"/>
        </w:rPr>
        <w:t xml:space="preserve"> of the receiving node</w:t>
      </w:r>
      <w:r w:rsidR="009A2594" w:rsidRPr="009A2594">
        <w:t xml:space="preserve"> </w:t>
      </w:r>
      <w:r w:rsidR="009A2594">
        <w:t xml:space="preserve">when </w:t>
      </w:r>
      <w:r w:rsidR="00090F8B">
        <w:t xml:space="preserve">the </w:t>
      </w:r>
      <w:r w:rsidR="00090F8B">
        <w:rPr>
          <w:lang w:val="en-GB"/>
        </w:rPr>
        <w:t>gNB-DU</w:t>
      </w:r>
      <w:r w:rsidR="009A2594" w:rsidRPr="009A2594">
        <w:rPr>
          <w:lang w:eastAsia="en-US"/>
        </w:rPr>
        <w:t xml:space="preserve"> sends the </w:t>
      </w:r>
      <w:r w:rsidR="009A2594" w:rsidRPr="00ED0E6F">
        <w:rPr>
          <w:i/>
          <w:iCs/>
          <w:lang w:eastAsia="en-US"/>
        </w:rPr>
        <w:t>MeasGapConfig</w:t>
      </w:r>
      <w:r w:rsidR="009A2594" w:rsidRPr="009A2594">
        <w:rPr>
          <w:lang w:eastAsia="en-US"/>
        </w:rPr>
        <w:t xml:space="preserve"> IE</w:t>
      </w:r>
      <w:r>
        <w:t xml:space="preserve">. </w:t>
      </w:r>
    </w:p>
    <w:bookmarkEnd w:id="2"/>
    <w:p w14:paraId="0E957B03" w14:textId="77777777" w:rsidR="006E5CA2" w:rsidRDefault="006E5CA2" w:rsidP="006E5CA2">
      <w:pPr>
        <w:pStyle w:val="TOC1"/>
        <w:spacing w:after="120"/>
        <w:jc w:val="both"/>
        <w:rPr>
          <w:noProof w:val="0"/>
          <w:lang w:val="en-GB"/>
        </w:rPr>
      </w:pPr>
      <w:r>
        <w:rPr>
          <w:noProof w:val="0"/>
          <w:lang w:val="en-GB"/>
        </w:rPr>
        <w:t xml:space="preserve">    </w:t>
      </w:r>
    </w:p>
    <w:p w14:paraId="7F584595" w14:textId="78724FC0" w:rsidR="006E5CA2" w:rsidRDefault="006E5CA2" w:rsidP="004823D0">
      <w:pPr>
        <w:rPr>
          <w:color w:val="00B050"/>
          <w:lang w:val="en-GB" w:eastAsia="zh-CN"/>
        </w:rPr>
      </w:pPr>
    </w:p>
    <w:p w14:paraId="546A64DF" w14:textId="77777777" w:rsidR="006E5CA2" w:rsidRDefault="006E5CA2" w:rsidP="004823D0">
      <w:pPr>
        <w:rPr>
          <w:color w:val="00B050"/>
          <w:lang w:val="en-GB" w:eastAsia="zh-CN"/>
        </w:rPr>
      </w:pPr>
    </w:p>
    <w:p w14:paraId="5B3AD777" w14:textId="77777777" w:rsidR="0025244D" w:rsidRPr="007044DE" w:rsidRDefault="0025244D" w:rsidP="0025244D">
      <w:pPr>
        <w:rPr>
          <w:b/>
          <w:lang w:val="en-GB" w:eastAsia="zh-CN"/>
        </w:rPr>
      </w:pPr>
    </w:p>
    <w:p w14:paraId="7B68E498" w14:textId="77777777" w:rsidR="0025244D" w:rsidRPr="00CE0424" w:rsidRDefault="0025244D" w:rsidP="0025244D">
      <w:pPr>
        <w:pStyle w:val="Heading1"/>
      </w:pPr>
      <w:r w:rsidRPr="00CE0424">
        <w:t>Conclusion</w:t>
      </w:r>
    </w:p>
    <w:p w14:paraId="02168F70" w14:textId="77777777" w:rsidR="0025244D" w:rsidRDefault="0025244D" w:rsidP="0025244D">
      <w:pPr>
        <w:pStyle w:val="Heading3"/>
        <w:numPr>
          <w:ilvl w:val="0"/>
          <w:numId w:val="0"/>
        </w:numPr>
        <w:rPr>
          <w:rFonts w:asciiTheme="minorHAnsi" w:hAnsiTheme="minorHAnsi" w:cstheme="minorHAnsi"/>
          <w:sz w:val="22"/>
          <w:szCs w:val="22"/>
        </w:rPr>
      </w:pPr>
      <w:r w:rsidRPr="00A64F55">
        <w:rPr>
          <w:rFonts w:asciiTheme="minorHAnsi" w:hAnsiTheme="minorHAnsi" w:cstheme="minorHAnsi"/>
          <w:sz w:val="22"/>
          <w:szCs w:val="22"/>
        </w:rPr>
        <w:t>In this contribution</w:t>
      </w:r>
      <w:r>
        <w:rPr>
          <w:rFonts w:asciiTheme="minorHAnsi" w:hAnsiTheme="minorHAnsi" w:cstheme="minorHAnsi"/>
          <w:sz w:val="22"/>
          <w:szCs w:val="22"/>
        </w:rPr>
        <w:t xml:space="preserve"> the issue of </w:t>
      </w:r>
      <w:r w:rsidRPr="0084652F">
        <w:rPr>
          <w:rFonts w:asciiTheme="minorHAnsi" w:hAnsiTheme="minorHAnsi" w:cstheme="minorHAnsi"/>
          <w:sz w:val="22"/>
          <w:szCs w:val="22"/>
        </w:rPr>
        <w:t xml:space="preserve">Measurement Gap deactivation </w:t>
      </w:r>
      <w:r>
        <w:rPr>
          <w:rFonts w:asciiTheme="minorHAnsi" w:hAnsiTheme="minorHAnsi" w:cstheme="minorHAnsi"/>
          <w:sz w:val="22"/>
          <w:szCs w:val="22"/>
        </w:rPr>
        <w:t xml:space="preserve">over F1 AP </w:t>
      </w:r>
      <w:r w:rsidRPr="00A64F55">
        <w:rPr>
          <w:rFonts w:asciiTheme="minorHAnsi" w:hAnsiTheme="minorHAnsi" w:cstheme="minorHAnsi"/>
          <w:sz w:val="22"/>
          <w:szCs w:val="22"/>
        </w:rPr>
        <w:t>has been discussed and the following proposal</w:t>
      </w:r>
      <w:r>
        <w:rPr>
          <w:rFonts w:asciiTheme="minorHAnsi" w:hAnsiTheme="minorHAnsi" w:cstheme="minorHAnsi"/>
          <w:sz w:val="22"/>
          <w:szCs w:val="22"/>
        </w:rPr>
        <w:t xml:space="preserve"> was</w:t>
      </w:r>
      <w:r w:rsidRPr="00A64F55">
        <w:rPr>
          <w:rFonts w:asciiTheme="minorHAnsi" w:hAnsiTheme="minorHAnsi" w:cstheme="minorHAnsi"/>
          <w:sz w:val="22"/>
          <w:szCs w:val="22"/>
        </w:rPr>
        <w:t xml:space="preserve"> made:</w:t>
      </w:r>
    </w:p>
    <w:p w14:paraId="07A16083" w14:textId="29B37D01" w:rsidR="006B0C67" w:rsidRDefault="006B0C67" w:rsidP="006B0C67">
      <w:pPr>
        <w:pStyle w:val="TOC1"/>
        <w:spacing w:after="120"/>
        <w:jc w:val="both"/>
        <w:rPr>
          <w:noProof w:val="0"/>
          <w:szCs w:val="20"/>
          <w:lang w:val="en-GB"/>
        </w:rPr>
      </w:pPr>
      <w:r>
        <w:rPr>
          <w:noProof w:val="0"/>
          <w:szCs w:val="20"/>
          <w:lang w:val="en-GB"/>
        </w:rPr>
        <w:t>Proposal 1:</w:t>
      </w:r>
      <w:r>
        <w:rPr>
          <w:rFonts w:asciiTheme="minorHAnsi" w:eastAsiaTheme="minorEastAsia" w:hAnsiTheme="minorHAnsi" w:cstheme="minorBidi"/>
          <w:b w:val="0"/>
          <w:noProof w:val="0"/>
          <w:szCs w:val="20"/>
          <w:lang w:val="en-GB" w:eastAsia="sv-SE"/>
        </w:rPr>
        <w:t xml:space="preserve"> </w:t>
      </w:r>
      <w:r>
        <w:rPr>
          <w:rFonts w:asciiTheme="minorHAnsi" w:eastAsiaTheme="minorEastAsia" w:hAnsiTheme="minorHAnsi" w:cstheme="minorBidi"/>
          <w:b w:val="0"/>
          <w:noProof w:val="0"/>
          <w:szCs w:val="20"/>
          <w:lang w:val="en-GB" w:eastAsia="sv-SE"/>
        </w:rPr>
        <w:tab/>
      </w:r>
      <w:r>
        <w:rPr>
          <w:lang w:val="en-GB"/>
        </w:rPr>
        <w:t>E</w:t>
      </w:r>
      <w:r>
        <w:rPr>
          <w:lang w:eastAsia="en-US"/>
        </w:rPr>
        <w:t xml:space="preserve">xtra clarification is added regarding the </w:t>
      </w:r>
      <w:r>
        <w:t xml:space="preserve">conditions to include the </w:t>
      </w:r>
      <w:r w:rsidRPr="00ED0E6F">
        <w:rPr>
          <w:i/>
          <w:iCs/>
        </w:rPr>
        <w:t>RRC Reconfiguration Complete Indicator</w:t>
      </w:r>
      <w:r>
        <w:t xml:space="preserve"> IE from the gNB-CU to the gNB-DU and </w:t>
      </w:r>
      <w:r>
        <w:rPr>
          <w:lang w:eastAsia="en-US"/>
        </w:rPr>
        <w:t xml:space="preserve">the </w:t>
      </w:r>
      <w:r>
        <w:rPr>
          <w:lang w:val="en-GB" w:eastAsia="en-US"/>
        </w:rPr>
        <w:t>behaviour</w:t>
      </w:r>
      <w:r>
        <w:rPr>
          <w:lang w:eastAsia="en-US"/>
        </w:rPr>
        <w:t xml:space="preserve"> of the receiving node</w:t>
      </w:r>
      <w:r w:rsidRPr="009A2594">
        <w:t xml:space="preserve"> </w:t>
      </w:r>
      <w:r>
        <w:t xml:space="preserve">when </w:t>
      </w:r>
      <w:r w:rsidR="00ED0E6F">
        <w:t xml:space="preserve">the </w:t>
      </w:r>
      <w:r w:rsidR="00ED0E6F">
        <w:rPr>
          <w:lang w:val="en-GB"/>
        </w:rPr>
        <w:t>gNB-DU</w:t>
      </w:r>
      <w:r w:rsidRPr="009A2594">
        <w:rPr>
          <w:lang w:eastAsia="en-US"/>
        </w:rPr>
        <w:t xml:space="preserve"> sends the </w:t>
      </w:r>
      <w:r w:rsidRPr="00090F8B">
        <w:rPr>
          <w:i/>
          <w:iCs/>
          <w:lang w:eastAsia="en-US"/>
        </w:rPr>
        <w:t>MeasGapConfig</w:t>
      </w:r>
      <w:r w:rsidRPr="009A2594">
        <w:rPr>
          <w:lang w:eastAsia="en-US"/>
        </w:rPr>
        <w:t xml:space="preserve"> IE</w:t>
      </w:r>
      <w:r>
        <w:t xml:space="preserve">. </w:t>
      </w:r>
    </w:p>
    <w:p w14:paraId="4FE80209" w14:textId="77777777" w:rsidR="0025244D" w:rsidRPr="007044DE" w:rsidRDefault="0025244D" w:rsidP="0025244D">
      <w:pPr>
        <w:rPr>
          <w:lang w:val="en-GB"/>
        </w:rPr>
      </w:pPr>
    </w:p>
    <w:p w14:paraId="12A3052A" w14:textId="1E66B850" w:rsidR="0025244D" w:rsidRPr="005C5E3B" w:rsidRDefault="0025244D" w:rsidP="0025244D">
      <w:pPr>
        <w:pStyle w:val="Proposal"/>
        <w:numPr>
          <w:ilvl w:val="0"/>
          <w:numId w:val="0"/>
        </w:numPr>
        <w:tabs>
          <w:tab w:val="clear" w:pos="1701"/>
        </w:tabs>
        <w:spacing w:line="256" w:lineRule="auto"/>
        <w:jc w:val="both"/>
        <w:rPr>
          <w:b w:val="0"/>
          <w:lang w:val="en-US"/>
        </w:rPr>
      </w:pPr>
      <w:r w:rsidRPr="00057C4E">
        <w:rPr>
          <w:b w:val="0"/>
          <w:lang w:val="en-US"/>
        </w:rPr>
        <w:t>CR</w:t>
      </w:r>
      <w:r>
        <w:rPr>
          <w:b w:val="0"/>
          <w:lang w:val="en-US"/>
        </w:rPr>
        <w:t>s</w:t>
      </w:r>
      <w:r w:rsidRPr="00057C4E">
        <w:rPr>
          <w:b w:val="0"/>
          <w:lang w:val="en-US"/>
        </w:rPr>
        <w:t xml:space="preserve"> reflecting the proposal above </w:t>
      </w:r>
      <w:r>
        <w:rPr>
          <w:b w:val="0"/>
          <w:lang w:val="en-US"/>
        </w:rPr>
        <w:t>are</w:t>
      </w:r>
      <w:r w:rsidRPr="00057C4E">
        <w:rPr>
          <w:b w:val="0"/>
          <w:lang w:val="en-US"/>
        </w:rPr>
        <w:t xml:space="preserve"> available in </w:t>
      </w:r>
      <w:r w:rsidRPr="00BC255A">
        <w:rPr>
          <w:b w:val="0"/>
          <w:lang w:val="en-US"/>
        </w:rPr>
        <w:t>R3-</w:t>
      </w:r>
      <w:r w:rsidRPr="00B73C04">
        <w:rPr>
          <w:b w:val="0"/>
          <w:lang w:val="en-US"/>
        </w:rPr>
        <w:t>20</w:t>
      </w:r>
      <w:r w:rsidR="009A3AB7">
        <w:rPr>
          <w:b w:val="0"/>
          <w:lang w:val="en-US"/>
        </w:rPr>
        <w:t>6761</w:t>
      </w:r>
      <w:r>
        <w:rPr>
          <w:b w:val="0"/>
          <w:lang w:val="en-US"/>
        </w:rPr>
        <w:t xml:space="preserve"> and in R3-20</w:t>
      </w:r>
      <w:r w:rsidR="009A3AB7">
        <w:rPr>
          <w:b w:val="0"/>
          <w:lang w:val="en-US"/>
        </w:rPr>
        <w:t>6762</w:t>
      </w:r>
      <w:bookmarkStart w:id="4" w:name="_GoBack"/>
      <w:bookmarkEnd w:id="4"/>
      <w:r>
        <w:rPr>
          <w:b w:val="0"/>
          <w:lang w:val="en-US"/>
        </w:rPr>
        <w:t>.</w:t>
      </w:r>
    </w:p>
    <w:p w14:paraId="1309D355" w14:textId="77777777" w:rsidR="0025244D" w:rsidRDefault="0025244D" w:rsidP="0025244D">
      <w:pPr>
        <w:rPr>
          <w:lang w:val="en-GB"/>
        </w:rPr>
      </w:pPr>
      <w:bookmarkStart w:id="5" w:name="_In-sequence_SDU_delivery"/>
      <w:bookmarkEnd w:id="5"/>
    </w:p>
    <w:p w14:paraId="7AFD2AC2" w14:textId="77777777" w:rsidR="0025244D" w:rsidRPr="00CE0424" w:rsidRDefault="0025244D" w:rsidP="0025244D">
      <w:pPr>
        <w:pStyle w:val="Heading1"/>
      </w:pPr>
      <w:r>
        <w:t>References</w:t>
      </w:r>
    </w:p>
    <w:p w14:paraId="5D5E4E3C" w14:textId="77777777" w:rsidR="0025244D" w:rsidRDefault="0025244D" w:rsidP="0025244D">
      <w:pPr>
        <w:rPr>
          <w:lang w:val="en-GB"/>
        </w:rPr>
      </w:pPr>
    </w:p>
    <w:p w14:paraId="213A4B74" w14:textId="77777777" w:rsidR="0025244D" w:rsidRPr="00981BA2" w:rsidRDefault="0025244D" w:rsidP="0025244D">
      <w:pPr>
        <w:rPr>
          <w:lang w:val="en-GB"/>
        </w:rPr>
      </w:pPr>
    </w:p>
    <w:p w14:paraId="644D2552" w14:textId="77777777" w:rsidR="0025244D" w:rsidRDefault="0025244D" w:rsidP="00582AD8">
      <w:pPr>
        <w:spacing w:after="0"/>
        <w:rPr>
          <w:rFonts w:cstheme="minorHAnsi"/>
          <w:lang w:val="en-US"/>
        </w:rPr>
      </w:pPr>
    </w:p>
    <w:p w14:paraId="4F569C6E" w14:textId="48BBF762" w:rsidR="00841310" w:rsidRDefault="00841310" w:rsidP="00582AD8">
      <w:pPr>
        <w:spacing w:after="0"/>
        <w:rPr>
          <w:rFonts w:cstheme="minorHAnsi"/>
          <w:lang w:val="en-US"/>
        </w:rPr>
      </w:pPr>
    </w:p>
    <w:p w14:paraId="7A90E4FE" w14:textId="23ADE53A" w:rsidR="0084652F" w:rsidRDefault="0084652F" w:rsidP="0084652F">
      <w:pPr>
        <w:spacing w:after="0"/>
        <w:rPr>
          <w:rFonts w:cstheme="minorHAnsi"/>
          <w:lang w:val="en-US"/>
        </w:rPr>
      </w:pPr>
    </w:p>
    <w:sectPr w:rsidR="0084652F" w:rsidSect="003B6CD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2C933530"/>
    <w:multiLevelType w:val="hybridMultilevel"/>
    <w:tmpl w:val="2318CE84"/>
    <w:lvl w:ilvl="0" w:tplc="4A70069E">
      <w:start w:val="1"/>
      <w:numFmt w:val="bullet"/>
      <w:lvlText w:val="-"/>
      <w:lvlJc w:val="left"/>
      <w:pPr>
        <w:ind w:left="405" w:hanging="360"/>
      </w:pPr>
      <w:rPr>
        <w:rFonts w:ascii="Segoe UI" w:eastAsia="Times New Roman" w:hAnsi="Segoe UI" w:cs="Segoe UI" w:hint="default"/>
        <w:sz w:val="18"/>
      </w:rPr>
    </w:lvl>
    <w:lvl w:ilvl="1" w:tplc="04090003">
      <w:start w:val="1"/>
      <w:numFmt w:val="bullet"/>
      <w:lvlText w:val="o"/>
      <w:lvlJc w:val="left"/>
      <w:pPr>
        <w:ind w:left="1125" w:hanging="360"/>
      </w:pPr>
      <w:rPr>
        <w:rFonts w:ascii="Courier New" w:hAnsi="Courier New" w:cs="Courier New" w:hint="default"/>
      </w:rPr>
    </w:lvl>
    <w:lvl w:ilvl="2" w:tplc="04090005">
      <w:start w:val="1"/>
      <w:numFmt w:val="bullet"/>
      <w:lvlText w:val=""/>
      <w:lvlJc w:val="left"/>
      <w:pPr>
        <w:ind w:left="1845" w:hanging="360"/>
      </w:pPr>
      <w:rPr>
        <w:rFonts w:ascii="Wingdings" w:hAnsi="Wingdings" w:hint="default"/>
      </w:rPr>
    </w:lvl>
    <w:lvl w:ilvl="3" w:tplc="04090001">
      <w:start w:val="1"/>
      <w:numFmt w:val="bullet"/>
      <w:lvlText w:val=""/>
      <w:lvlJc w:val="left"/>
      <w:pPr>
        <w:ind w:left="2565" w:hanging="360"/>
      </w:pPr>
      <w:rPr>
        <w:rFonts w:ascii="Symbol" w:hAnsi="Symbol" w:hint="default"/>
      </w:rPr>
    </w:lvl>
    <w:lvl w:ilvl="4" w:tplc="04090003">
      <w:start w:val="1"/>
      <w:numFmt w:val="bullet"/>
      <w:lvlText w:val="o"/>
      <w:lvlJc w:val="left"/>
      <w:pPr>
        <w:ind w:left="3285" w:hanging="360"/>
      </w:pPr>
      <w:rPr>
        <w:rFonts w:ascii="Courier New" w:hAnsi="Courier New" w:cs="Courier New" w:hint="default"/>
      </w:rPr>
    </w:lvl>
    <w:lvl w:ilvl="5" w:tplc="04090005">
      <w:start w:val="1"/>
      <w:numFmt w:val="bullet"/>
      <w:lvlText w:val=""/>
      <w:lvlJc w:val="left"/>
      <w:pPr>
        <w:ind w:left="4005" w:hanging="360"/>
      </w:pPr>
      <w:rPr>
        <w:rFonts w:ascii="Wingdings" w:hAnsi="Wingdings" w:hint="default"/>
      </w:rPr>
    </w:lvl>
    <w:lvl w:ilvl="6" w:tplc="04090001">
      <w:start w:val="1"/>
      <w:numFmt w:val="bullet"/>
      <w:lvlText w:val=""/>
      <w:lvlJc w:val="left"/>
      <w:pPr>
        <w:ind w:left="4725" w:hanging="360"/>
      </w:pPr>
      <w:rPr>
        <w:rFonts w:ascii="Symbol" w:hAnsi="Symbol" w:hint="default"/>
      </w:rPr>
    </w:lvl>
    <w:lvl w:ilvl="7" w:tplc="04090003">
      <w:start w:val="1"/>
      <w:numFmt w:val="bullet"/>
      <w:lvlText w:val="o"/>
      <w:lvlJc w:val="left"/>
      <w:pPr>
        <w:ind w:left="5445" w:hanging="360"/>
      </w:pPr>
      <w:rPr>
        <w:rFonts w:ascii="Courier New" w:hAnsi="Courier New" w:cs="Courier New" w:hint="default"/>
      </w:rPr>
    </w:lvl>
    <w:lvl w:ilvl="8" w:tplc="04090005">
      <w:start w:val="1"/>
      <w:numFmt w:val="bullet"/>
      <w:lvlText w:val=""/>
      <w:lvlJc w:val="left"/>
      <w:pPr>
        <w:ind w:left="6165" w:hanging="360"/>
      </w:pPr>
      <w:rPr>
        <w:rFonts w:ascii="Wingdings" w:hAnsi="Wingdings" w:hint="default"/>
      </w:rPr>
    </w:lvl>
  </w:abstractNum>
  <w:abstractNum w:abstractNumId="4" w15:restartNumberingAfterBreak="0">
    <w:nsid w:val="3078214E"/>
    <w:multiLevelType w:val="hybridMultilevel"/>
    <w:tmpl w:val="E31EA6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2154"/>
        </w:tabs>
        <w:ind w:left="215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48F1449"/>
    <w:multiLevelType w:val="hybridMultilevel"/>
    <w:tmpl w:val="F8BC09F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C521B48"/>
    <w:multiLevelType w:val="hybridMultilevel"/>
    <w:tmpl w:val="7AB2A538"/>
    <w:lvl w:ilvl="0" w:tplc="6DB2CD82">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FC447BE"/>
    <w:multiLevelType w:val="hybridMultilevel"/>
    <w:tmpl w:val="3432E952"/>
    <w:lvl w:ilvl="0" w:tplc="5874BE3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7"/>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0"/>
  </w:num>
  <w:num w:numId="9">
    <w:abstractNumId w:val="3"/>
  </w:num>
  <w:num w:numId="10">
    <w:abstractNumId w:val="4"/>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883"/>
    <w:rsid w:val="0002212B"/>
    <w:rsid w:val="00040A41"/>
    <w:rsid w:val="00090495"/>
    <w:rsid w:val="00090F8B"/>
    <w:rsid w:val="000F60F3"/>
    <w:rsid w:val="00120883"/>
    <w:rsid w:val="00130563"/>
    <w:rsid w:val="0017072A"/>
    <w:rsid w:val="001B502F"/>
    <w:rsid w:val="002161C5"/>
    <w:rsid w:val="00233033"/>
    <w:rsid w:val="00246AED"/>
    <w:rsid w:val="0025244D"/>
    <w:rsid w:val="00294356"/>
    <w:rsid w:val="00325537"/>
    <w:rsid w:val="003A21D4"/>
    <w:rsid w:val="003B6CD9"/>
    <w:rsid w:val="00432735"/>
    <w:rsid w:val="00446172"/>
    <w:rsid w:val="004815B1"/>
    <w:rsid w:val="004823D0"/>
    <w:rsid w:val="00485E04"/>
    <w:rsid w:val="005008F3"/>
    <w:rsid w:val="00554328"/>
    <w:rsid w:val="005663AE"/>
    <w:rsid w:val="00580098"/>
    <w:rsid w:val="00582AD8"/>
    <w:rsid w:val="005E305E"/>
    <w:rsid w:val="005F2A8D"/>
    <w:rsid w:val="0067070D"/>
    <w:rsid w:val="006717A3"/>
    <w:rsid w:val="006B0C67"/>
    <w:rsid w:val="006E5CA2"/>
    <w:rsid w:val="007044DE"/>
    <w:rsid w:val="0075675C"/>
    <w:rsid w:val="007D3CE8"/>
    <w:rsid w:val="00812051"/>
    <w:rsid w:val="00841310"/>
    <w:rsid w:val="0084652F"/>
    <w:rsid w:val="008A33DB"/>
    <w:rsid w:val="008C2F5F"/>
    <w:rsid w:val="00905785"/>
    <w:rsid w:val="00907CCD"/>
    <w:rsid w:val="00954965"/>
    <w:rsid w:val="00981BA2"/>
    <w:rsid w:val="009A2594"/>
    <w:rsid w:val="009A3AB7"/>
    <w:rsid w:val="009B067E"/>
    <w:rsid w:val="009C6371"/>
    <w:rsid w:val="00A17483"/>
    <w:rsid w:val="00A570DA"/>
    <w:rsid w:val="00A64F55"/>
    <w:rsid w:val="00AA404A"/>
    <w:rsid w:val="00AD0740"/>
    <w:rsid w:val="00B31945"/>
    <w:rsid w:val="00B642DA"/>
    <w:rsid w:val="00BA0B1B"/>
    <w:rsid w:val="00BA21C5"/>
    <w:rsid w:val="00BB323A"/>
    <w:rsid w:val="00BD2547"/>
    <w:rsid w:val="00C15784"/>
    <w:rsid w:val="00C37447"/>
    <w:rsid w:val="00C550C0"/>
    <w:rsid w:val="00C814D0"/>
    <w:rsid w:val="00CA0850"/>
    <w:rsid w:val="00CA30C1"/>
    <w:rsid w:val="00DB34C2"/>
    <w:rsid w:val="00DB7EEA"/>
    <w:rsid w:val="00DD7D34"/>
    <w:rsid w:val="00DE7744"/>
    <w:rsid w:val="00E55732"/>
    <w:rsid w:val="00E64EC2"/>
    <w:rsid w:val="00EA3344"/>
    <w:rsid w:val="00ED0A39"/>
    <w:rsid w:val="00ED0E6F"/>
    <w:rsid w:val="00EE4B8C"/>
    <w:rsid w:val="00EE5F4F"/>
    <w:rsid w:val="00F31F5C"/>
    <w:rsid w:val="00F84E4E"/>
  </w:rsids>
  <m:mathPr>
    <m:mathFont m:val="Cambria Math"/>
    <m:brkBin m:val="before"/>
    <m:brkBinSub m:val="--"/>
    <m:smallFrac m:val="0"/>
    <m:dispDef/>
    <m:lMargin m:val="0"/>
    <m:rMargin m:val="0"/>
    <m:defJc m:val="centerGroup"/>
    <m:wrapIndent m:val="1440"/>
    <m:intLim m:val="subSup"/>
    <m:naryLim m:val="undOvr"/>
  </m:mathPr>
  <w:themeFontLang w:val="sv-SE"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38A07"/>
  <w15:chartTrackingRefBased/>
  <w15:docId w15:val="{BE9B8170-355B-45B2-A157-39062B27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0883"/>
  </w:style>
  <w:style w:type="paragraph" w:styleId="Heading1">
    <w:name w:val="heading 1"/>
    <w:next w:val="Normal"/>
    <w:link w:val="Heading1Char"/>
    <w:qFormat/>
    <w:rsid w:val="0012088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120883"/>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120883"/>
    <w:pPr>
      <w:numPr>
        <w:ilvl w:val="2"/>
      </w:numPr>
      <w:spacing w:before="120"/>
      <w:outlineLvl w:val="2"/>
    </w:pPr>
    <w:rPr>
      <w:sz w:val="28"/>
      <w:szCs w:val="28"/>
    </w:rPr>
  </w:style>
  <w:style w:type="paragraph" w:styleId="Heading4">
    <w:name w:val="heading 4"/>
    <w:basedOn w:val="Heading3"/>
    <w:next w:val="Normal"/>
    <w:link w:val="Heading4Char"/>
    <w:qFormat/>
    <w:rsid w:val="00120883"/>
    <w:pPr>
      <w:numPr>
        <w:ilvl w:val="3"/>
      </w:numPr>
      <w:outlineLvl w:val="3"/>
    </w:pPr>
    <w:rPr>
      <w:sz w:val="24"/>
      <w:szCs w:val="24"/>
    </w:rPr>
  </w:style>
  <w:style w:type="paragraph" w:styleId="Heading5">
    <w:name w:val="heading 5"/>
    <w:basedOn w:val="Heading4"/>
    <w:next w:val="Normal"/>
    <w:link w:val="Heading5Char"/>
    <w:qFormat/>
    <w:rsid w:val="00120883"/>
    <w:pPr>
      <w:numPr>
        <w:ilvl w:val="4"/>
      </w:numPr>
      <w:outlineLvl w:val="4"/>
    </w:pPr>
    <w:rPr>
      <w:sz w:val="22"/>
      <w:szCs w:val="22"/>
    </w:rPr>
  </w:style>
  <w:style w:type="paragraph" w:styleId="Heading6">
    <w:name w:val="heading 6"/>
    <w:basedOn w:val="Normal"/>
    <w:next w:val="Normal"/>
    <w:link w:val="Heading6Char"/>
    <w:qFormat/>
    <w:rsid w:val="00120883"/>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120883"/>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120883"/>
    <w:pPr>
      <w:numPr>
        <w:ilvl w:val="7"/>
      </w:numPr>
      <w:outlineLvl w:val="7"/>
    </w:pPr>
  </w:style>
  <w:style w:type="paragraph" w:styleId="Heading9">
    <w:name w:val="heading 9"/>
    <w:basedOn w:val="Heading8"/>
    <w:next w:val="Normal"/>
    <w:link w:val="Heading9Char"/>
    <w:qFormat/>
    <w:rsid w:val="001208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0883"/>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120883"/>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120883"/>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12088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120883"/>
    <w:rPr>
      <w:rFonts w:ascii="Arial" w:eastAsia="Times New Roman" w:hAnsi="Arial" w:cs="Arial"/>
      <w:lang w:val="en-GB" w:eastAsia="zh-CN"/>
    </w:rPr>
  </w:style>
  <w:style w:type="character" w:customStyle="1" w:styleId="Heading6Char">
    <w:name w:val="Heading 6 Char"/>
    <w:basedOn w:val="DefaultParagraphFont"/>
    <w:link w:val="Heading6"/>
    <w:rsid w:val="00120883"/>
    <w:rPr>
      <w:rFonts w:cs="Arial"/>
    </w:rPr>
  </w:style>
  <w:style w:type="character" w:customStyle="1" w:styleId="Heading7Char">
    <w:name w:val="Heading 7 Char"/>
    <w:basedOn w:val="DefaultParagraphFont"/>
    <w:link w:val="Heading7"/>
    <w:rsid w:val="00120883"/>
    <w:rPr>
      <w:rFonts w:cs="Arial"/>
    </w:rPr>
  </w:style>
  <w:style w:type="character" w:customStyle="1" w:styleId="Heading8Char">
    <w:name w:val="Heading 8 Char"/>
    <w:basedOn w:val="DefaultParagraphFont"/>
    <w:link w:val="Heading8"/>
    <w:rsid w:val="00120883"/>
    <w:rPr>
      <w:rFonts w:cs="Arial"/>
    </w:rPr>
  </w:style>
  <w:style w:type="character" w:customStyle="1" w:styleId="Heading9Char">
    <w:name w:val="Heading 9 Char"/>
    <w:basedOn w:val="DefaultParagraphFont"/>
    <w:link w:val="Heading9"/>
    <w:rsid w:val="00120883"/>
    <w:rPr>
      <w:rFonts w:cs="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20883"/>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20883"/>
    <w:rPr>
      <w:rFonts w:ascii="Arial" w:eastAsia="Times New Roman" w:hAnsi="Arial" w:cs="Arial"/>
      <w:b/>
      <w:bCs/>
      <w:noProof/>
      <w:sz w:val="18"/>
      <w:szCs w:val="18"/>
      <w:lang w:val="en-US" w:eastAsia="zh-CN"/>
    </w:rPr>
  </w:style>
  <w:style w:type="paragraph" w:customStyle="1" w:styleId="3GPPHeader">
    <w:name w:val="3GPP_Header"/>
    <w:basedOn w:val="Normal"/>
    <w:rsid w:val="00120883"/>
    <w:pPr>
      <w:tabs>
        <w:tab w:val="left" w:pos="1701"/>
        <w:tab w:val="right" w:pos="9639"/>
      </w:tabs>
      <w:spacing w:after="240"/>
    </w:pPr>
    <w:rPr>
      <w:b/>
      <w:sz w:val="24"/>
    </w:rPr>
  </w:style>
  <w:style w:type="paragraph" w:customStyle="1" w:styleId="Reference">
    <w:name w:val="Reference"/>
    <w:basedOn w:val="Normal"/>
    <w:rsid w:val="00120883"/>
    <w:pPr>
      <w:numPr>
        <w:numId w:val="2"/>
      </w:numPr>
    </w:pPr>
  </w:style>
  <w:style w:type="paragraph" w:styleId="BodyText">
    <w:name w:val="Body Text"/>
    <w:basedOn w:val="Normal"/>
    <w:link w:val="BodyTextChar"/>
    <w:rsid w:val="00120883"/>
  </w:style>
  <w:style w:type="character" w:customStyle="1" w:styleId="BodyTextChar">
    <w:name w:val="Body Text Char"/>
    <w:basedOn w:val="DefaultParagraphFont"/>
    <w:link w:val="BodyText"/>
    <w:rsid w:val="00120883"/>
  </w:style>
  <w:style w:type="paragraph" w:customStyle="1" w:styleId="Proposal">
    <w:name w:val="Proposal"/>
    <w:basedOn w:val="Normal"/>
    <w:qFormat/>
    <w:rsid w:val="00120883"/>
    <w:pPr>
      <w:numPr>
        <w:numId w:val="3"/>
      </w:numPr>
      <w:tabs>
        <w:tab w:val="left" w:pos="1701"/>
      </w:tabs>
    </w:pPr>
    <w:rPr>
      <w:b/>
      <w:bCs/>
    </w:rPr>
  </w:style>
  <w:style w:type="paragraph" w:customStyle="1" w:styleId="CRCoverPage">
    <w:name w:val="CR Cover Page"/>
    <w:link w:val="CRCoverPageZchn"/>
    <w:rsid w:val="00120883"/>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120883"/>
    <w:rPr>
      <w:rFonts w:ascii="Arial" w:eastAsia="Times New Roman" w:hAnsi="Arial" w:cs="Times New Roman"/>
      <w:sz w:val="20"/>
      <w:szCs w:val="20"/>
      <w:lang w:val="en-GB"/>
    </w:rPr>
  </w:style>
  <w:style w:type="paragraph" w:styleId="ListParagraph">
    <w:name w:val="List Paragraph"/>
    <w:basedOn w:val="Normal"/>
    <w:uiPriority w:val="34"/>
    <w:qFormat/>
    <w:rsid w:val="00B31945"/>
    <w:pPr>
      <w:overflowPunct w:val="0"/>
      <w:autoSpaceDE w:val="0"/>
      <w:autoSpaceDN w:val="0"/>
      <w:adjustRightInd w:val="0"/>
      <w:spacing w:after="120" w:line="240" w:lineRule="auto"/>
      <w:ind w:left="720"/>
      <w:contextualSpacing/>
      <w:jc w:val="both"/>
      <w:textAlignment w:val="baseline"/>
    </w:pPr>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3194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1945"/>
    <w:rPr>
      <w:rFonts w:ascii="Segoe UI" w:hAnsi="Segoe UI" w:cs="Segoe UI"/>
      <w:sz w:val="18"/>
      <w:szCs w:val="18"/>
    </w:rPr>
  </w:style>
  <w:style w:type="paragraph" w:customStyle="1" w:styleId="TAL">
    <w:name w:val="TAL"/>
    <w:basedOn w:val="Normal"/>
    <w:link w:val="TALChar"/>
    <w:qFormat/>
    <w:rsid w:val="002943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TAC"/>
    <w:link w:val="TAHChar"/>
    <w:qFormat/>
    <w:rsid w:val="00294356"/>
    <w:rPr>
      <w:b/>
    </w:rPr>
  </w:style>
  <w:style w:type="paragraph" w:customStyle="1" w:styleId="TAC">
    <w:name w:val="TAC"/>
    <w:basedOn w:val="TAL"/>
    <w:link w:val="TACChar"/>
    <w:rsid w:val="00294356"/>
    <w:pPr>
      <w:jc w:val="center"/>
    </w:pPr>
  </w:style>
  <w:style w:type="character" w:customStyle="1" w:styleId="TALChar">
    <w:name w:val="TAL Char"/>
    <w:link w:val="TAL"/>
    <w:rsid w:val="00294356"/>
    <w:rPr>
      <w:rFonts w:ascii="Arial" w:eastAsia="Times New Roman" w:hAnsi="Arial" w:cs="Times New Roman"/>
      <w:sz w:val="18"/>
      <w:szCs w:val="20"/>
      <w:lang w:val="en-GB" w:eastAsia="en-GB"/>
    </w:rPr>
  </w:style>
  <w:style w:type="character" w:customStyle="1" w:styleId="TAHChar">
    <w:name w:val="TAH Char"/>
    <w:link w:val="TAH"/>
    <w:rsid w:val="00294356"/>
    <w:rPr>
      <w:rFonts w:ascii="Arial" w:eastAsia="Times New Roman" w:hAnsi="Arial" w:cs="Times New Roman"/>
      <w:b/>
      <w:sz w:val="18"/>
      <w:szCs w:val="20"/>
      <w:lang w:val="en-GB" w:eastAsia="en-GB"/>
    </w:rPr>
  </w:style>
  <w:style w:type="character" w:customStyle="1" w:styleId="TACChar">
    <w:name w:val="TAC Char"/>
    <w:link w:val="TAC"/>
    <w:locked/>
    <w:rsid w:val="00294356"/>
    <w:rPr>
      <w:rFonts w:ascii="Arial" w:eastAsia="Times New Roman" w:hAnsi="Arial" w:cs="Times New Roman"/>
      <w:sz w:val="18"/>
      <w:szCs w:val="20"/>
      <w:lang w:val="en-GB" w:eastAsia="en-GB"/>
    </w:rPr>
  </w:style>
  <w:style w:type="paragraph" w:customStyle="1" w:styleId="PL">
    <w:name w:val="PL"/>
    <w:link w:val="PLChar"/>
    <w:qFormat/>
    <w:rsid w:val="00C550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550C0"/>
    <w:rPr>
      <w:rFonts w:ascii="Courier New" w:eastAsia="Times New Roman" w:hAnsi="Courier New" w:cs="Times New Roman"/>
      <w:noProof/>
      <w:sz w:val="16"/>
      <w:szCs w:val="20"/>
      <w:shd w:val="clear" w:color="auto" w:fill="E6E6E6"/>
      <w:lang w:val="en-GB" w:eastAsia="en-GB"/>
    </w:rPr>
  </w:style>
  <w:style w:type="character" w:customStyle="1" w:styleId="TALCar">
    <w:name w:val="TAL Car"/>
    <w:qFormat/>
    <w:rsid w:val="00C550C0"/>
    <w:rPr>
      <w:rFonts w:ascii="Arial" w:eastAsia="Times New Roman" w:hAnsi="Arial"/>
      <w:sz w:val="18"/>
      <w:lang w:val="en-GB" w:eastAsia="ja-JP"/>
    </w:rPr>
  </w:style>
  <w:style w:type="character" w:customStyle="1" w:styleId="TAHCar">
    <w:name w:val="TAH Car"/>
    <w:qFormat/>
    <w:locked/>
    <w:rsid w:val="00C550C0"/>
    <w:rPr>
      <w:rFonts w:ascii="Arial" w:eastAsia="Times New Roman" w:hAnsi="Arial"/>
      <w:b/>
      <w:sz w:val="18"/>
      <w:lang w:val="en-GB" w:eastAsia="ja-JP"/>
    </w:rPr>
  </w:style>
  <w:style w:type="paragraph" w:customStyle="1" w:styleId="TH">
    <w:name w:val="TH"/>
    <w:basedOn w:val="Normal"/>
    <w:link w:val="THChar"/>
    <w:qFormat/>
    <w:rsid w:val="00C550C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ja-JP"/>
    </w:rPr>
  </w:style>
  <w:style w:type="character" w:customStyle="1" w:styleId="THChar">
    <w:name w:val="TH Char"/>
    <w:link w:val="TH"/>
    <w:qFormat/>
    <w:rsid w:val="00C550C0"/>
    <w:rPr>
      <w:rFonts w:ascii="Arial" w:eastAsia="Times New Roman" w:hAnsi="Arial" w:cs="Times New Roman"/>
      <w:b/>
      <w:sz w:val="20"/>
      <w:szCs w:val="20"/>
      <w:lang w:val="en-GB" w:eastAsia="ja-JP"/>
    </w:rPr>
  </w:style>
  <w:style w:type="paragraph" w:customStyle="1" w:styleId="B1">
    <w:name w:val="B1"/>
    <w:basedOn w:val="List"/>
    <w:link w:val="B1Char1"/>
    <w:qFormat/>
    <w:rsid w:val="00841310"/>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1">
    <w:name w:val="B1 Char1"/>
    <w:link w:val="B1"/>
    <w:qFormat/>
    <w:rsid w:val="00841310"/>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841310"/>
    <w:pPr>
      <w:ind w:left="283" w:hanging="283"/>
      <w:contextualSpacing/>
    </w:pPr>
  </w:style>
  <w:style w:type="character" w:styleId="CommentReference">
    <w:name w:val="annotation reference"/>
    <w:basedOn w:val="DefaultParagraphFont"/>
    <w:uiPriority w:val="99"/>
    <w:semiHidden/>
    <w:unhideWhenUsed/>
    <w:rsid w:val="00ED0A39"/>
    <w:rPr>
      <w:sz w:val="16"/>
      <w:szCs w:val="16"/>
    </w:rPr>
  </w:style>
  <w:style w:type="paragraph" w:styleId="CommentText">
    <w:name w:val="annotation text"/>
    <w:basedOn w:val="Normal"/>
    <w:link w:val="CommentTextChar"/>
    <w:uiPriority w:val="99"/>
    <w:semiHidden/>
    <w:unhideWhenUsed/>
    <w:rsid w:val="00ED0A39"/>
    <w:pPr>
      <w:spacing w:line="240" w:lineRule="auto"/>
    </w:pPr>
    <w:rPr>
      <w:sz w:val="20"/>
      <w:szCs w:val="20"/>
    </w:rPr>
  </w:style>
  <w:style w:type="character" w:customStyle="1" w:styleId="CommentTextChar">
    <w:name w:val="Comment Text Char"/>
    <w:basedOn w:val="DefaultParagraphFont"/>
    <w:link w:val="CommentText"/>
    <w:uiPriority w:val="99"/>
    <w:semiHidden/>
    <w:rsid w:val="00ED0A39"/>
    <w:rPr>
      <w:sz w:val="20"/>
      <w:szCs w:val="20"/>
    </w:rPr>
  </w:style>
  <w:style w:type="paragraph" w:styleId="CommentSubject">
    <w:name w:val="annotation subject"/>
    <w:basedOn w:val="CommentText"/>
    <w:next w:val="CommentText"/>
    <w:link w:val="CommentSubjectChar"/>
    <w:uiPriority w:val="99"/>
    <w:semiHidden/>
    <w:unhideWhenUsed/>
    <w:rsid w:val="00ED0A39"/>
    <w:rPr>
      <w:b/>
      <w:bCs/>
    </w:rPr>
  </w:style>
  <w:style w:type="character" w:customStyle="1" w:styleId="CommentSubjectChar">
    <w:name w:val="Comment Subject Char"/>
    <w:basedOn w:val="CommentTextChar"/>
    <w:link w:val="CommentSubject"/>
    <w:uiPriority w:val="99"/>
    <w:semiHidden/>
    <w:rsid w:val="00ED0A39"/>
    <w:rPr>
      <w:b/>
      <w:bCs/>
      <w:sz w:val="20"/>
      <w:szCs w:val="20"/>
    </w:rPr>
  </w:style>
  <w:style w:type="paragraph" w:styleId="TOC1">
    <w:name w:val="toc 1"/>
    <w:aliases w:val="Observation TOC2"/>
    <w:autoRedefine/>
    <w:uiPriority w:val="39"/>
    <w:semiHidden/>
    <w:unhideWhenUsed/>
    <w:rsid w:val="006E5CA2"/>
    <w:pPr>
      <w:keepNext/>
      <w:keepLines/>
      <w:widowControl w:val="0"/>
      <w:tabs>
        <w:tab w:val="left" w:pos="1701"/>
      </w:tabs>
      <w:overflowPunct w:val="0"/>
      <w:autoSpaceDE w:val="0"/>
      <w:autoSpaceDN w:val="0"/>
      <w:adjustRightInd w:val="0"/>
      <w:spacing w:before="120" w:after="0" w:line="240" w:lineRule="auto"/>
      <w:ind w:left="1701" w:hanging="1701"/>
    </w:pPr>
    <w:rPr>
      <w:rFonts w:ascii="Arial" w:eastAsia="Times New Roman" w:hAnsi="Arial" w:cs="Times New Roman"/>
      <w:b/>
      <w:noProof/>
      <w:sz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643036">
      <w:bodyDiv w:val="1"/>
      <w:marLeft w:val="0"/>
      <w:marRight w:val="0"/>
      <w:marTop w:val="0"/>
      <w:marBottom w:val="0"/>
      <w:divBdr>
        <w:top w:val="none" w:sz="0" w:space="0" w:color="auto"/>
        <w:left w:val="none" w:sz="0" w:space="0" w:color="auto"/>
        <w:bottom w:val="none" w:sz="0" w:space="0" w:color="auto"/>
        <w:right w:val="none" w:sz="0" w:space="0" w:color="auto"/>
      </w:divBdr>
    </w:div>
    <w:div w:id="439034352">
      <w:bodyDiv w:val="1"/>
      <w:marLeft w:val="0"/>
      <w:marRight w:val="0"/>
      <w:marTop w:val="0"/>
      <w:marBottom w:val="0"/>
      <w:divBdr>
        <w:top w:val="none" w:sz="0" w:space="0" w:color="auto"/>
        <w:left w:val="none" w:sz="0" w:space="0" w:color="auto"/>
        <w:bottom w:val="none" w:sz="0" w:space="0" w:color="auto"/>
        <w:right w:val="none" w:sz="0" w:space="0" w:color="auto"/>
      </w:divBdr>
    </w:div>
    <w:div w:id="732435525">
      <w:bodyDiv w:val="1"/>
      <w:marLeft w:val="0"/>
      <w:marRight w:val="0"/>
      <w:marTop w:val="0"/>
      <w:marBottom w:val="0"/>
      <w:divBdr>
        <w:top w:val="none" w:sz="0" w:space="0" w:color="auto"/>
        <w:left w:val="none" w:sz="0" w:space="0" w:color="auto"/>
        <w:bottom w:val="none" w:sz="0" w:space="0" w:color="auto"/>
        <w:right w:val="none" w:sz="0" w:space="0" w:color="auto"/>
      </w:divBdr>
    </w:div>
    <w:div w:id="1374889179">
      <w:bodyDiv w:val="1"/>
      <w:marLeft w:val="0"/>
      <w:marRight w:val="0"/>
      <w:marTop w:val="0"/>
      <w:marBottom w:val="0"/>
      <w:divBdr>
        <w:top w:val="none" w:sz="0" w:space="0" w:color="auto"/>
        <w:left w:val="none" w:sz="0" w:space="0" w:color="auto"/>
        <w:bottom w:val="none" w:sz="0" w:space="0" w:color="auto"/>
        <w:right w:val="none" w:sz="0" w:space="0" w:color="auto"/>
      </w:divBdr>
    </w:div>
    <w:div w:id="1554652784">
      <w:bodyDiv w:val="1"/>
      <w:marLeft w:val="0"/>
      <w:marRight w:val="0"/>
      <w:marTop w:val="0"/>
      <w:marBottom w:val="0"/>
      <w:divBdr>
        <w:top w:val="none" w:sz="0" w:space="0" w:color="auto"/>
        <w:left w:val="none" w:sz="0" w:space="0" w:color="auto"/>
        <w:bottom w:val="none" w:sz="0" w:space="0" w:color="auto"/>
        <w:right w:val="none" w:sz="0" w:space="0" w:color="auto"/>
      </w:divBdr>
    </w:div>
    <w:div w:id="1565793601">
      <w:bodyDiv w:val="1"/>
      <w:marLeft w:val="0"/>
      <w:marRight w:val="0"/>
      <w:marTop w:val="0"/>
      <w:marBottom w:val="0"/>
      <w:divBdr>
        <w:top w:val="none" w:sz="0" w:space="0" w:color="auto"/>
        <w:left w:val="none" w:sz="0" w:space="0" w:color="auto"/>
        <w:bottom w:val="none" w:sz="0" w:space="0" w:color="auto"/>
        <w:right w:val="none" w:sz="0" w:space="0" w:color="auto"/>
      </w:divBdr>
    </w:div>
    <w:div w:id="1938050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1E5341-10EE-4363-9A0B-7AFEE4841AB9}">
  <ds:schemaRefs>
    <ds:schemaRef ds:uri="http://schemas.microsoft.com/sharepoint/v3/contenttype/forms"/>
  </ds:schemaRefs>
</ds:datastoreItem>
</file>

<file path=customXml/itemProps2.xml><?xml version="1.0" encoding="utf-8"?>
<ds:datastoreItem xmlns:ds="http://schemas.openxmlformats.org/officeDocument/2006/customXml" ds:itemID="{1517F98F-6F1D-4087-B63C-FB2D7CE2F7A9}">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64328EFE-BDA0-4C02-83DF-3D0E9F546E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565</Words>
  <Characters>3227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6</cp:revision>
  <dcterms:created xsi:type="dcterms:W3CDTF">2020-10-22T15:17:00Z</dcterms:created>
  <dcterms:modified xsi:type="dcterms:W3CDTF">2020-10-23T05:34:00Z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