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41604EA7" w:rsidR="001E2093" w:rsidRDefault="001E2093" w:rsidP="001E2093">
      <w:pPr>
        <w:pStyle w:val="Header"/>
        <w:tabs>
          <w:tab w:val="right" w:pos="9923"/>
        </w:tabs>
        <w:ind w:right="-7"/>
        <w:rPr>
          <w:rFonts w:cs="Arial"/>
          <w:bCs/>
          <w:i/>
          <w:noProof w:val="0"/>
          <w:sz w:val="32"/>
          <w:lang w:eastAsia="ja-JP"/>
        </w:rPr>
      </w:pPr>
      <w:r w:rsidRPr="00E52A58">
        <w:rPr>
          <w:rFonts w:cs="Arial"/>
          <w:bCs/>
          <w:noProof w:val="0"/>
          <w:sz w:val="24"/>
        </w:rPr>
        <w:t>3GPP TSG-RAN WG3 Meeting #</w:t>
      </w:r>
      <w:r>
        <w:rPr>
          <w:rFonts w:cs="Arial"/>
          <w:bCs/>
          <w:noProof w:val="0"/>
          <w:sz w:val="24"/>
        </w:rPr>
        <w:t>103bis</w:t>
      </w:r>
      <w:r>
        <w:rPr>
          <w:rFonts w:cs="Arial"/>
          <w:bCs/>
          <w:noProof w:val="0"/>
          <w:sz w:val="24"/>
        </w:rPr>
        <w:tab/>
      </w:r>
      <w:r w:rsidR="009668D9" w:rsidRPr="009668D9">
        <w:rPr>
          <w:rFonts w:cs="Arial"/>
          <w:bCs/>
          <w:noProof w:val="0"/>
          <w:sz w:val="24"/>
          <w:lang w:eastAsia="ja-JP"/>
        </w:rPr>
        <w:t>R3-191694</w:t>
      </w:r>
    </w:p>
    <w:p w14:paraId="28CA7D2F" w14:textId="77777777" w:rsidR="001E2093" w:rsidRDefault="001E2093" w:rsidP="001E2093">
      <w:pPr>
        <w:pStyle w:val="CRCoverPage"/>
        <w:outlineLvl w:val="0"/>
        <w:rPr>
          <w:b/>
          <w:noProof/>
          <w:sz w:val="24"/>
        </w:rPr>
      </w:pPr>
      <w:r>
        <w:rPr>
          <w:b/>
          <w:noProof/>
          <w:sz w:val="24"/>
        </w:rPr>
        <w:t>Xian, P.R. China, 8</w:t>
      </w:r>
      <w:r w:rsidRPr="00C8482E">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4332BCF4" w14:textId="77777777" w:rsidR="00015561" w:rsidRPr="00015561" w:rsidRDefault="00015561" w:rsidP="00246389">
      <w:pPr>
        <w:pStyle w:val="BodyText"/>
        <w:rPr>
          <w:noProof/>
        </w:rPr>
      </w:pPr>
    </w:p>
    <w:p w14:paraId="0C87B9C8" w14:textId="610FF13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1C655A">
        <w:rPr>
          <w:rFonts w:cs="Arial"/>
          <w:b/>
          <w:bCs/>
          <w:sz w:val="24"/>
          <w:szCs w:val="24"/>
          <w:lang w:val="en-US"/>
        </w:rPr>
        <w:t>08.1</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E8B61D0"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7F6EB2">
        <w:rPr>
          <w:rFonts w:cs="Arial"/>
          <w:b/>
          <w:bCs/>
          <w:color w:val="000000"/>
          <w:sz w:val="24"/>
          <w:szCs w:val="24"/>
        </w:rPr>
        <w:t xml:space="preserve">Discussion on </w:t>
      </w:r>
      <w:r w:rsidR="00367F7D">
        <w:rPr>
          <w:rFonts w:cs="Arial"/>
          <w:b/>
          <w:bCs/>
          <w:color w:val="000000"/>
          <w:sz w:val="24"/>
          <w:szCs w:val="24"/>
        </w:rPr>
        <w:t xml:space="preserve">Annex B solution for Key Issue 7: </w:t>
      </w:r>
      <w:r w:rsidR="007F6EB2" w:rsidRPr="007F6EB2">
        <w:rPr>
          <w:rFonts w:cs="Arial"/>
          <w:b/>
          <w:bCs/>
          <w:color w:val="000000"/>
          <w:sz w:val="24"/>
          <w:szCs w:val="24"/>
        </w:rPr>
        <w:t>Automatic Restoration of GFBR QOS</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41ACB689" w:rsidR="0020311B" w:rsidRDefault="00C8482E" w:rsidP="0020311B">
      <w:pPr>
        <w:pStyle w:val="Heading1"/>
        <w:ind w:left="0" w:firstLine="0"/>
        <w:rPr>
          <w:lang w:eastAsia="zh-CN"/>
        </w:rPr>
      </w:pPr>
      <w:r>
        <w:rPr>
          <w:lang w:eastAsia="zh-CN"/>
        </w:rPr>
        <w:t>1</w:t>
      </w:r>
      <w:r w:rsidR="00F20E2F">
        <w:rPr>
          <w:lang w:eastAsia="zh-CN"/>
        </w:rPr>
        <w:tab/>
      </w:r>
      <w:r w:rsidR="007F6EB2">
        <w:rPr>
          <w:lang w:eastAsia="zh-CN"/>
        </w:rPr>
        <w:t>Information</w:t>
      </w:r>
    </w:p>
    <w:p w14:paraId="75F5FC5C" w14:textId="40F54E6C" w:rsidR="00FE7763" w:rsidRDefault="00FE7763" w:rsidP="00432C3F">
      <w:r>
        <w:t xml:space="preserve">In [1], SA2 request feedback from RAN2 and RAN3 on one solution proposed </w:t>
      </w:r>
      <w:r w:rsidR="003B1D12">
        <w:t>in Annex B (as well as other solutions captured</w:t>
      </w:r>
      <w:r w:rsidR="005737B9">
        <w:t xml:space="preserve"> already in the TR) </w:t>
      </w:r>
      <w:r>
        <w:t xml:space="preserve">for Key Issue #7 </w:t>
      </w:r>
      <w:r w:rsidRPr="00FE7763">
        <w:t>Automatic GBR service recovery after handover</w:t>
      </w:r>
      <w:r>
        <w:t>.</w:t>
      </w:r>
    </w:p>
    <w:p w14:paraId="1DCE5C61" w14:textId="0D3F3013" w:rsidR="00E91409" w:rsidRPr="00211C33" w:rsidRDefault="00E91409" w:rsidP="00432C3F">
      <w:pPr>
        <w:rPr>
          <w:b/>
        </w:rPr>
      </w:pPr>
      <w:r w:rsidRPr="00211C33">
        <w:rPr>
          <w:b/>
        </w:rPr>
        <w:t>Key issue #7 as described in TR 23.725 can be summarized as follows:</w:t>
      </w:r>
      <w:r>
        <w:rPr>
          <w:b/>
        </w:rPr>
        <w:t xml:space="preserve"> (quotes in italics)</w:t>
      </w:r>
    </w:p>
    <w:tbl>
      <w:tblPr>
        <w:tblStyle w:val="TableGrid"/>
        <w:tblW w:w="0" w:type="auto"/>
        <w:tblLook w:val="04A0" w:firstRow="1" w:lastRow="0" w:firstColumn="1" w:lastColumn="0" w:noHBand="0" w:noVBand="1"/>
      </w:tblPr>
      <w:tblGrid>
        <w:gridCol w:w="9855"/>
      </w:tblGrid>
      <w:tr w:rsidR="00926C50" w14:paraId="0732F778" w14:textId="77777777" w:rsidTr="00926C50">
        <w:tc>
          <w:tcPr>
            <w:tcW w:w="9855" w:type="dxa"/>
          </w:tcPr>
          <w:p w14:paraId="234400BB" w14:textId="77777777" w:rsidR="00926C50" w:rsidRDefault="00926C50" w:rsidP="00E91409">
            <w:pPr>
              <w:rPr>
                <w:i/>
                <w:lang w:eastAsia="ko-KR"/>
              </w:rPr>
            </w:pPr>
          </w:p>
          <w:p w14:paraId="47BBB59C" w14:textId="13EDC24F" w:rsidR="00926C50" w:rsidRPr="00926C50" w:rsidRDefault="00926C50" w:rsidP="00E91409">
            <w:pPr>
              <w:rPr>
                <w:lang w:eastAsia="ko-KR"/>
              </w:rPr>
            </w:pPr>
            <w:r w:rsidRPr="00211C33">
              <w:rPr>
                <w:i/>
                <w:lang w:eastAsia="ko-KR"/>
              </w:rPr>
              <w:t xml:space="preserve">When a machine needs a Guaranteed Bit Rate service, it is likely to need that quality level </w:t>
            </w:r>
            <w:proofErr w:type="gramStart"/>
            <w:r w:rsidRPr="00211C33">
              <w:rPr>
                <w:i/>
                <w:lang w:eastAsia="ko-KR"/>
              </w:rPr>
              <w:t>in order to</w:t>
            </w:r>
            <w:proofErr w:type="gramEnd"/>
            <w:r w:rsidRPr="00211C33">
              <w:rPr>
                <w:i/>
                <w:lang w:eastAsia="ko-KR"/>
              </w:rPr>
              <w:t xml:space="preserve"> do its job.</w:t>
            </w:r>
            <w:r>
              <w:t xml:space="preserve"> Hence, solutions are required for applications where GBR resources are required.</w:t>
            </w:r>
            <w:r>
              <w:rPr>
                <w:lang w:eastAsia="ko-KR"/>
              </w:rPr>
              <w:t xml:space="preserve"> To avoid unnecessary signalling at resource setup including handover or due to temporary unavailability of GBR resources, a solution is desirable that avoids signalling stemming from releasing and setting up resources anew, probably requiring multiple re-attempts from the CN.</w:t>
            </w:r>
          </w:p>
        </w:tc>
      </w:tr>
    </w:tbl>
    <w:p w14:paraId="6B3D063C" w14:textId="77777777" w:rsidR="00926C50" w:rsidRDefault="00926C50" w:rsidP="00432C3F">
      <w:pPr>
        <w:rPr>
          <w:lang w:eastAsia="ko-KR"/>
        </w:rPr>
      </w:pPr>
    </w:p>
    <w:p w14:paraId="4B1255E1" w14:textId="2708AC3F" w:rsidR="00FE7763" w:rsidRPr="00211C33" w:rsidRDefault="00FE7763" w:rsidP="00432C3F">
      <w:pPr>
        <w:rPr>
          <w:b/>
        </w:rPr>
      </w:pPr>
      <w:r w:rsidRPr="00211C33">
        <w:t>The solution</w:t>
      </w:r>
      <w:r w:rsidR="005737B9" w:rsidRPr="00211C33">
        <w:t xml:space="preserve"> to be discussed particularly in this paper</w:t>
      </w:r>
      <w:r w:rsidRPr="00211C33">
        <w:t xml:space="preserve"> is copied below for your convenience.</w:t>
      </w:r>
    </w:p>
    <w:tbl>
      <w:tblPr>
        <w:tblStyle w:val="TableGrid"/>
        <w:tblW w:w="0" w:type="auto"/>
        <w:tblLook w:val="04A0" w:firstRow="1" w:lastRow="0" w:firstColumn="1" w:lastColumn="0" w:noHBand="0" w:noVBand="1"/>
      </w:tblPr>
      <w:tblGrid>
        <w:gridCol w:w="9855"/>
      </w:tblGrid>
      <w:tr w:rsidR="00FE7763" w14:paraId="31B80679" w14:textId="77777777" w:rsidTr="00FE7763">
        <w:tc>
          <w:tcPr>
            <w:tcW w:w="9855" w:type="dxa"/>
          </w:tcPr>
          <w:p w14:paraId="3ADD6BAF" w14:textId="02A2138D" w:rsidR="00C932CF" w:rsidRPr="00655D26" w:rsidRDefault="00C932CF" w:rsidP="00C932CF">
            <w:pPr>
              <w:rPr>
                <w:b/>
                <w:sz w:val="28"/>
                <w:szCs w:val="28"/>
              </w:rPr>
            </w:pPr>
            <w:r w:rsidRPr="00655D26">
              <w:rPr>
                <w:b/>
                <w:sz w:val="28"/>
                <w:szCs w:val="28"/>
              </w:rPr>
              <w:t>Annex B: Solution proposal by one company for KI#7</w:t>
            </w:r>
          </w:p>
          <w:p w14:paraId="7BDD20CD" w14:textId="69A76BF1" w:rsidR="00FE7763" w:rsidRPr="0023658A" w:rsidRDefault="00FE7763" w:rsidP="00FE7763">
            <w:pPr>
              <w:rPr>
                <w:sz w:val="22"/>
              </w:rPr>
            </w:pPr>
            <w:r w:rsidRPr="0023658A">
              <w:rPr>
                <w:b/>
                <w:u w:val="single"/>
              </w:rPr>
              <w:t>A)</w:t>
            </w:r>
            <w:r w:rsidRPr="0023658A">
              <w:t xml:space="preserve"> Use a new parameter in the QoS related signalling to indicate to the RAN that this is </w:t>
            </w:r>
            <w:r w:rsidRPr="0023658A">
              <w:rPr>
                <w:b/>
                <w:bCs/>
              </w:rPr>
              <w:t xml:space="preserve">an </w:t>
            </w:r>
            <w:r>
              <w:rPr>
                <w:b/>
                <w:bCs/>
              </w:rPr>
              <w:t>"</w:t>
            </w:r>
            <w:bookmarkStart w:id="0" w:name="_Hlk4071930"/>
            <w:r w:rsidRPr="0023658A">
              <w:rPr>
                <w:b/>
                <w:bCs/>
              </w:rPr>
              <w:t>auto-restore GFBR</w:t>
            </w:r>
            <w:bookmarkEnd w:id="0"/>
            <w:r>
              <w:rPr>
                <w:b/>
                <w:bCs/>
              </w:rPr>
              <w:t>"</w:t>
            </w:r>
            <w:r w:rsidRPr="0023658A">
              <w:rPr>
                <w:b/>
                <w:bCs/>
              </w:rPr>
              <w:t xml:space="preserve"> </w:t>
            </w:r>
            <w:r w:rsidRPr="0023658A">
              <w:t>flow rather than a ‘</w:t>
            </w:r>
            <w:r w:rsidRPr="0023658A">
              <w:rPr>
                <w:b/>
                <w:bCs/>
              </w:rPr>
              <w:t>release when GBR cannot be met</w:t>
            </w:r>
            <w:r w:rsidRPr="0023658A">
              <w:t>’ flow.</w:t>
            </w:r>
            <w:r w:rsidRPr="0023658A">
              <w:br/>
            </w:r>
            <w:r w:rsidRPr="0023658A">
              <w:rPr>
                <w:sz w:val="22"/>
              </w:rPr>
              <w:t>1) a new parameter (rather than new resource type) enables GFBR 5QI characteristics to be reused</w:t>
            </w:r>
          </w:p>
          <w:p w14:paraId="6D40584C" w14:textId="77777777" w:rsidR="00FE7763" w:rsidRPr="0023658A" w:rsidRDefault="00FE7763" w:rsidP="00FE7763">
            <w:r w:rsidRPr="0023658A">
              <w:rPr>
                <w:sz w:val="22"/>
              </w:rPr>
              <w:t>2) the new parameter points to the new RAN functionality that is needed (see next few bullets).</w:t>
            </w:r>
          </w:p>
          <w:p w14:paraId="58885751" w14:textId="77777777" w:rsidR="00FE7763" w:rsidRPr="0023658A" w:rsidRDefault="00FE7763" w:rsidP="00FE7763">
            <w:r w:rsidRPr="0023658A">
              <w:br/>
            </w:r>
            <w:r w:rsidRPr="0023658A">
              <w:rPr>
                <w:b/>
                <w:u w:val="single"/>
              </w:rPr>
              <w:t xml:space="preserve">B) </w:t>
            </w:r>
            <w:r w:rsidRPr="0023658A">
              <w:t xml:space="preserve">At Flow Establishment and Handover, the RAN performs </w:t>
            </w:r>
            <w:r>
              <w:t>"</w:t>
            </w:r>
            <w:r w:rsidRPr="0023658A">
              <w:t>3 step admission control</w:t>
            </w:r>
            <w:r>
              <w:t>"</w:t>
            </w:r>
            <w:r w:rsidRPr="0023658A">
              <w:t xml:space="preserve"> </w:t>
            </w:r>
          </w:p>
          <w:p w14:paraId="018A9413" w14:textId="77777777" w:rsidR="00FE7763" w:rsidRPr="0023658A" w:rsidRDefault="00FE7763" w:rsidP="00FE7763">
            <w:pPr>
              <w:rPr>
                <w:sz w:val="22"/>
                <w:szCs w:val="22"/>
              </w:rPr>
            </w:pPr>
            <w:r w:rsidRPr="0023658A">
              <w:rPr>
                <w:sz w:val="22"/>
                <w:szCs w:val="22"/>
              </w:rPr>
              <w:t xml:space="preserve">1) perform GFBR admission. </w:t>
            </w:r>
          </w:p>
          <w:p w14:paraId="3C5F419E" w14:textId="77777777" w:rsidR="00FE7763" w:rsidRPr="0023658A" w:rsidRDefault="00FE7763" w:rsidP="00FE7763">
            <w:pPr>
              <w:rPr>
                <w:sz w:val="22"/>
                <w:szCs w:val="22"/>
              </w:rPr>
            </w:pPr>
            <w:r w:rsidRPr="0023658A">
              <w:rPr>
                <w:sz w:val="22"/>
                <w:szCs w:val="22"/>
              </w:rPr>
              <w:t>2) If step one is unsuccessful, the RAN checks that there is a reasonable chance to serve the request for GFBR in the future (e.g. that the UE does not request more GBR resources than the complete cell can support).</w:t>
            </w:r>
          </w:p>
          <w:p w14:paraId="2D652464" w14:textId="77777777" w:rsidR="00FE7763" w:rsidRPr="0023658A" w:rsidRDefault="00FE7763" w:rsidP="00FE7763">
            <w:r w:rsidRPr="0023658A">
              <w:rPr>
                <w:sz w:val="22"/>
                <w:szCs w:val="22"/>
              </w:rPr>
              <w:t xml:space="preserve">3) if the request is </w:t>
            </w:r>
            <w:r>
              <w:rPr>
                <w:sz w:val="22"/>
                <w:szCs w:val="22"/>
              </w:rPr>
              <w:t>"</w:t>
            </w:r>
            <w:r w:rsidRPr="0023658A">
              <w:rPr>
                <w:sz w:val="22"/>
                <w:szCs w:val="22"/>
              </w:rPr>
              <w:t>reasonable</w:t>
            </w:r>
            <w:r>
              <w:rPr>
                <w:sz w:val="22"/>
                <w:szCs w:val="22"/>
              </w:rPr>
              <w:t>"</w:t>
            </w:r>
            <w:r w:rsidRPr="0023658A">
              <w:rPr>
                <w:sz w:val="22"/>
                <w:szCs w:val="22"/>
              </w:rPr>
              <w:t>, the RAN performs admission control as for a non-GFBR flow with arbitrary, low quality, QoS.</w:t>
            </w:r>
          </w:p>
          <w:p w14:paraId="1C31D50A" w14:textId="77777777" w:rsidR="00FE7763" w:rsidRPr="0023658A" w:rsidRDefault="00FE7763" w:rsidP="00FE7763">
            <w:r w:rsidRPr="0023658A">
              <w:t> </w:t>
            </w:r>
          </w:p>
          <w:p w14:paraId="3EC6A9C3" w14:textId="77777777" w:rsidR="00FE7763" w:rsidRPr="0023658A" w:rsidRDefault="00FE7763" w:rsidP="00FE7763">
            <w:pPr>
              <w:rPr>
                <w:sz w:val="22"/>
              </w:rPr>
            </w:pPr>
            <w:r w:rsidRPr="0023658A">
              <w:rPr>
                <w:b/>
                <w:u w:val="single"/>
              </w:rPr>
              <w:t>C)</w:t>
            </w:r>
            <w:r w:rsidRPr="0023658A">
              <w:t xml:space="preserve"> The core network AND UE are informed of the outcome of the admission control. Both are informed if subsequently the QoS cannot be guaranteed / when it can be guaranteed again. </w:t>
            </w:r>
            <w:r w:rsidRPr="0023658A">
              <w:br/>
            </w:r>
            <w:r w:rsidRPr="0023658A">
              <w:rPr>
                <w:sz w:val="22"/>
              </w:rPr>
              <w:t xml:space="preserve">1) RRC signalling is used to inform the UE of the lack of Guarantee / restoration of the Guarantee.   </w:t>
            </w:r>
          </w:p>
          <w:p w14:paraId="666B8277" w14:textId="77777777" w:rsidR="00FE7763" w:rsidRPr="0023658A" w:rsidRDefault="00FE7763" w:rsidP="00FE7763">
            <w:pPr>
              <w:rPr>
                <w:sz w:val="22"/>
              </w:rPr>
            </w:pPr>
            <w:r w:rsidRPr="0023658A">
              <w:rPr>
                <w:sz w:val="22"/>
              </w:rPr>
              <w:t>2) if the DRB and Logical Channel Group are configured for the GFBR flow by performing step 3 of B, the UE discards uplink packets for that flow when their [survival time] expires </w:t>
            </w:r>
          </w:p>
          <w:p w14:paraId="45790D43" w14:textId="77777777" w:rsidR="00FE7763" w:rsidRPr="0023658A" w:rsidRDefault="00FE7763" w:rsidP="00FE7763"/>
          <w:p w14:paraId="4FFE8ABF" w14:textId="77777777" w:rsidR="00FE7763" w:rsidRPr="0023658A" w:rsidRDefault="00FE7763" w:rsidP="00FE7763">
            <w:r w:rsidRPr="0023658A">
              <w:rPr>
                <w:b/>
                <w:u w:val="single"/>
              </w:rPr>
              <w:lastRenderedPageBreak/>
              <w:t>D</w:t>
            </w:r>
            <w:r w:rsidRPr="0080744C">
              <w:t xml:space="preserve">) </w:t>
            </w:r>
            <w:r w:rsidRPr="0023658A">
              <w:t xml:space="preserve">Implementation specific RAN mechanisms attempt to restore the QoS As Soon As possible (e.g. re-attempt ‘legacy’ admission control every 250ms, and restart after 4 </w:t>
            </w:r>
            <w:r>
              <w:t>"</w:t>
            </w:r>
            <w:r w:rsidRPr="0023658A">
              <w:t>successes</w:t>
            </w:r>
            <w:r>
              <w:t>"</w:t>
            </w:r>
            <w:r w:rsidRPr="0023658A">
              <w:t>.)</w:t>
            </w:r>
          </w:p>
          <w:p w14:paraId="731D9F32" w14:textId="77777777" w:rsidR="00FE7763" w:rsidRPr="0023658A" w:rsidRDefault="00FE7763" w:rsidP="00FE7763">
            <w:r w:rsidRPr="0023658A">
              <w:t> </w:t>
            </w:r>
          </w:p>
          <w:p w14:paraId="4C3247A6" w14:textId="7DF3FAD7" w:rsidR="00C932CF" w:rsidRPr="0023658A" w:rsidRDefault="00FE7763" w:rsidP="00FE7763">
            <w:r w:rsidRPr="0023658A">
              <w:rPr>
                <w:b/>
                <w:u w:val="single"/>
              </w:rPr>
              <w:t>E)</w:t>
            </w:r>
            <w:r w:rsidRPr="0023658A">
              <w:t xml:space="preserve">  </w:t>
            </w:r>
            <w:proofErr w:type="spellStart"/>
            <w:r w:rsidRPr="0023658A">
              <w:t>Xn</w:t>
            </w:r>
            <w:proofErr w:type="spellEnd"/>
            <w:r w:rsidRPr="0023658A">
              <w:t>-AP (and N2-AP) Handover signalling parameters are added to allow the source RAN to consider handover to other target cells if the first target cell cannot Guarantee the GFBR flow</w:t>
            </w:r>
          </w:p>
          <w:p w14:paraId="34EE36C5" w14:textId="77777777" w:rsidR="00FE7763" w:rsidRDefault="00FE7763" w:rsidP="00432C3F"/>
        </w:tc>
      </w:tr>
    </w:tbl>
    <w:p w14:paraId="4337E8EE" w14:textId="77777777" w:rsidR="00FE7763" w:rsidRPr="00FE7763" w:rsidRDefault="00FE7763" w:rsidP="00432C3F"/>
    <w:p w14:paraId="6FC2A85E" w14:textId="19C21F7A" w:rsidR="007F6EB2" w:rsidRDefault="007F6EB2" w:rsidP="00432C3F">
      <w:pPr>
        <w:rPr>
          <w:b/>
          <w:lang w:val="en-US"/>
        </w:rPr>
      </w:pPr>
    </w:p>
    <w:p w14:paraId="473E5294" w14:textId="3CF2C7A4" w:rsidR="007F6EB2" w:rsidRDefault="007F6EB2" w:rsidP="00432C3F">
      <w:pPr>
        <w:rPr>
          <w:b/>
          <w:lang w:val="en-US"/>
        </w:rPr>
      </w:pPr>
    </w:p>
    <w:p w14:paraId="144A8B1E" w14:textId="45840DC9" w:rsidR="007F6EB2" w:rsidRDefault="007F6EB2" w:rsidP="007F6EB2">
      <w:pPr>
        <w:pStyle w:val="Heading1"/>
        <w:ind w:left="0" w:firstLine="0"/>
        <w:rPr>
          <w:lang w:eastAsia="zh-CN"/>
        </w:rPr>
      </w:pPr>
      <w:r>
        <w:rPr>
          <w:lang w:eastAsia="zh-CN"/>
        </w:rPr>
        <w:t>2</w:t>
      </w:r>
      <w:r>
        <w:rPr>
          <w:lang w:eastAsia="zh-CN"/>
        </w:rPr>
        <w:tab/>
        <w:t>Discussion</w:t>
      </w:r>
    </w:p>
    <w:p w14:paraId="75AFB7BF" w14:textId="7A9FA346" w:rsidR="00C433CE" w:rsidRDefault="00C433CE" w:rsidP="00C433CE">
      <w:pPr>
        <w:pStyle w:val="Heading2"/>
        <w:rPr>
          <w:lang w:eastAsia="ko-KR"/>
        </w:rPr>
      </w:pPr>
      <w:r>
        <w:rPr>
          <w:lang w:eastAsia="ko-KR"/>
        </w:rPr>
        <w:t>2.</w:t>
      </w:r>
      <w:r w:rsidR="00DC61B7">
        <w:rPr>
          <w:lang w:eastAsia="ko-KR"/>
        </w:rPr>
        <w:t>1</w:t>
      </w:r>
      <w:r>
        <w:rPr>
          <w:lang w:eastAsia="ko-KR"/>
        </w:rPr>
        <w:tab/>
      </w:r>
      <w:r w:rsidR="00580326">
        <w:rPr>
          <w:lang w:eastAsia="ko-KR"/>
        </w:rPr>
        <w:t>Reasonable</w:t>
      </w:r>
      <w:r>
        <w:rPr>
          <w:lang w:eastAsia="ko-KR"/>
        </w:rPr>
        <w:t xml:space="preserve"> admission</w:t>
      </w:r>
      <w:r w:rsidR="003F031C">
        <w:rPr>
          <w:lang w:eastAsia="ko-KR"/>
        </w:rPr>
        <w:t>, component A/B/C</w:t>
      </w:r>
    </w:p>
    <w:p w14:paraId="693A2E78" w14:textId="465BE2E5" w:rsidR="0007340C" w:rsidRPr="006C5DF7" w:rsidRDefault="0007340C" w:rsidP="0007340C">
      <w:pPr>
        <w:rPr>
          <w:lang w:eastAsia="ko-KR"/>
        </w:rPr>
      </w:pPr>
      <w:r>
        <w:rPr>
          <w:lang w:eastAsia="ko-KR"/>
        </w:rPr>
        <w:t>In the solution component A): it says to introduce an “</w:t>
      </w:r>
      <w:r w:rsidRPr="0007340C">
        <w:rPr>
          <w:lang w:eastAsia="ko-KR"/>
        </w:rPr>
        <w:t>auto-restore GFBR</w:t>
      </w:r>
      <w:r>
        <w:rPr>
          <w:lang w:eastAsia="ko-KR"/>
        </w:rPr>
        <w:t xml:space="preserve">” to indicate </w:t>
      </w:r>
      <w:r w:rsidR="00E75DF9">
        <w:rPr>
          <w:lang w:eastAsia="ko-KR"/>
        </w:rPr>
        <w:t xml:space="preserve">that RAN should do “reasonable admission”. </w:t>
      </w:r>
    </w:p>
    <w:p w14:paraId="0AC7C0AA" w14:textId="520DDC0F" w:rsidR="007F6EB2" w:rsidRDefault="00E75DF9" w:rsidP="007F6EB2">
      <w:r>
        <w:t>In Component B, the solution says that upon the reception of the indication, RAN should do “reasonable admission”, and may accept the QoS flow as “</w:t>
      </w:r>
      <w:r w:rsidRPr="00E75DF9">
        <w:t>a non-GFBR flow with arbitrary, low quality, QoS.</w:t>
      </w:r>
      <w:r>
        <w:t>”</w:t>
      </w:r>
      <w:r w:rsidR="00C7506D">
        <w:t xml:space="preserve"> However, this seems to contradict the Key Issue description, where applications should be targeted that rely on the availability of GBR resources. So, the low-end QoS can only mean “lower-GBR”. </w:t>
      </w:r>
      <w:proofErr w:type="gramStart"/>
      <w:r w:rsidR="00C7506D">
        <w:t>Also</w:t>
      </w:r>
      <w:proofErr w:type="gramEnd"/>
      <w:r w:rsidR="00C7506D">
        <w:t xml:space="preserve"> from an implementation point of view, it comes along with more complexity to first serve a GBR QoS flow with non-GBR resources and then “switch” to GBR treatment.</w:t>
      </w:r>
    </w:p>
    <w:p w14:paraId="4A4A5CA7" w14:textId="33247F66" w:rsidR="004A4C8A" w:rsidRDefault="00E75DF9" w:rsidP="007F6EB2">
      <w:r>
        <w:rPr>
          <w:b/>
          <w:lang w:val="en-US"/>
        </w:rPr>
        <w:t xml:space="preserve">Observation </w:t>
      </w:r>
      <w:r w:rsidR="00DC61B7">
        <w:rPr>
          <w:b/>
          <w:lang w:val="en-US"/>
        </w:rPr>
        <w:t>1</w:t>
      </w:r>
      <w:r>
        <w:rPr>
          <w:b/>
          <w:lang w:val="en-US"/>
        </w:rPr>
        <w:t xml:space="preserve">: the GBR service, when flagged as “auto-restore GFBR” </w:t>
      </w:r>
      <w:r w:rsidR="00C7506D">
        <w:rPr>
          <w:b/>
          <w:lang w:val="en-US"/>
        </w:rPr>
        <w:t>should always</w:t>
      </w:r>
      <w:r w:rsidR="00926C50">
        <w:rPr>
          <w:b/>
          <w:lang w:val="en-US"/>
        </w:rPr>
        <w:t xml:space="preserve"> be</w:t>
      </w:r>
      <w:r w:rsidR="00C7506D">
        <w:rPr>
          <w:b/>
          <w:lang w:val="en-US"/>
        </w:rPr>
        <w:t xml:space="preserve"> treated as “GBR” service.</w:t>
      </w:r>
    </w:p>
    <w:p w14:paraId="2C36E72A" w14:textId="5E930C43" w:rsidR="007F6EB2" w:rsidRDefault="00820829" w:rsidP="007F6EB2">
      <w:pPr>
        <w:rPr>
          <w:lang w:eastAsia="ko-KR"/>
        </w:rPr>
      </w:pPr>
      <w:r>
        <w:rPr>
          <w:lang w:eastAsia="ko-KR"/>
        </w:rPr>
        <w:t>In Component C, the CN and UE are informed by RAN the outcome</w:t>
      </w:r>
      <w:r w:rsidR="00727CA4">
        <w:rPr>
          <w:lang w:eastAsia="ko-KR"/>
        </w:rPr>
        <w:t xml:space="preserve"> of the admission control. </w:t>
      </w:r>
      <w:r w:rsidR="00727CA4" w:rsidRPr="00727CA4">
        <w:rPr>
          <w:lang w:eastAsia="ko-KR"/>
        </w:rPr>
        <w:t>Both are informed if subsequently the QoS cannot be guaranteed / when it can be guaranteed again.</w:t>
      </w:r>
    </w:p>
    <w:p w14:paraId="1BA611B4" w14:textId="14B53F6D" w:rsidR="00DE4DDD" w:rsidRDefault="00DE4DDD" w:rsidP="00DE4DDD">
      <w:pPr>
        <w:rPr>
          <w:b/>
          <w:lang w:val="en-US"/>
        </w:rPr>
      </w:pPr>
      <w:r>
        <w:rPr>
          <w:b/>
          <w:lang w:val="en-US"/>
        </w:rPr>
        <w:t xml:space="preserve">Observation 2: </w:t>
      </w:r>
      <w:r w:rsidR="00B21466">
        <w:rPr>
          <w:b/>
          <w:lang w:val="en-US"/>
        </w:rPr>
        <w:t>Legacy: w</w:t>
      </w:r>
      <w:r>
        <w:rPr>
          <w:b/>
          <w:lang w:val="en-US"/>
        </w:rPr>
        <w:t>hen RAN sets up the QoS flow successfully, it already implicitly indicated the outcome of the admission control (successful).</w:t>
      </w:r>
      <w:r w:rsidR="00B21466">
        <w:rPr>
          <w:b/>
          <w:lang w:val="en-US"/>
        </w:rPr>
        <w:t xml:space="preserve"> For the GBR QoS flows, when the QoS is fulfilled or not fulfilled, RAN would notify CN</w:t>
      </w:r>
      <w:r w:rsidR="00C7506D">
        <w:rPr>
          <w:b/>
          <w:lang w:val="en-US"/>
        </w:rPr>
        <w:t>, probably with similar means as of today’s Notification Control</w:t>
      </w:r>
      <w:r w:rsidR="00B21466">
        <w:rPr>
          <w:b/>
          <w:lang w:val="en-US"/>
        </w:rPr>
        <w:t>.</w:t>
      </w:r>
    </w:p>
    <w:p w14:paraId="5DE05A0B" w14:textId="17AD68EC" w:rsidR="00DE4DDD" w:rsidRDefault="00DE4DDD" w:rsidP="00DE4DDD">
      <w:r>
        <w:t xml:space="preserve">In our view, we should not create a totally new handling of how the QoS flows are setup or handover for </w:t>
      </w:r>
      <w:r w:rsidRPr="00DE4DDD">
        <w:t>auto-restore GFBR</w:t>
      </w:r>
      <w:r>
        <w:t>.</w:t>
      </w:r>
    </w:p>
    <w:p w14:paraId="79CA6BC9" w14:textId="77777777" w:rsidR="007F3E4E" w:rsidRDefault="00C7506D" w:rsidP="00DE4DDD">
      <w:r>
        <w:t xml:space="preserve">RAN nodes implementing Rel-15 Notification Control </w:t>
      </w:r>
      <w:proofErr w:type="gramStart"/>
      <w:r>
        <w:t>are able to</w:t>
      </w:r>
      <w:proofErr w:type="gramEnd"/>
      <w:r>
        <w:t xml:space="preserve"> keep GBR QoS flows in a “Notification Control” state, where the QoS flow is either served with a lower </w:t>
      </w:r>
      <w:r w:rsidR="00EE6D3D">
        <w:t xml:space="preserve">bit rate than </w:t>
      </w:r>
      <w:r>
        <w:t>G</w:t>
      </w:r>
      <w:r w:rsidR="00BC14D6">
        <w:t>F</w:t>
      </w:r>
      <w:r>
        <w:t xml:space="preserve">BR or no resources can be provided at all. </w:t>
      </w:r>
    </w:p>
    <w:p w14:paraId="457A8B90" w14:textId="3F4B9D6B" w:rsidR="007F3E4E" w:rsidRPr="007F3E4E" w:rsidRDefault="007F3E4E" w:rsidP="00DE4DDD">
      <w:pPr>
        <w:rPr>
          <w:b/>
          <w:lang w:eastAsia="ko-KR"/>
        </w:rPr>
      </w:pPr>
      <w:r w:rsidRPr="003B0498">
        <w:rPr>
          <w:b/>
          <w:lang w:eastAsia="ko-KR"/>
        </w:rPr>
        <w:t xml:space="preserve">Observation </w:t>
      </w:r>
      <w:r>
        <w:rPr>
          <w:b/>
          <w:lang w:eastAsia="ko-KR"/>
        </w:rPr>
        <w:t>3</w:t>
      </w:r>
      <w:r w:rsidRPr="003B0498">
        <w:rPr>
          <w:b/>
          <w:lang w:eastAsia="ko-KR"/>
        </w:rPr>
        <w:t>: The notification control mechanism is currently not specified to be applied at initial admission control or handover.</w:t>
      </w:r>
    </w:p>
    <w:p w14:paraId="729ED28A" w14:textId="6595F8E6" w:rsidR="00C7506D" w:rsidRDefault="00C7506D" w:rsidP="00DE4DDD">
      <w:r>
        <w:t>RAN nodes implementing the enhanced Notification Control function, would put the GBR QoS flow into such “Notification Control” state already at the time of setup or handover.</w:t>
      </w:r>
    </w:p>
    <w:p w14:paraId="4E58D978" w14:textId="14E3D010" w:rsidR="00DE4DDD" w:rsidRDefault="00B21466" w:rsidP="00DE4DDD">
      <w:r>
        <w:t>When the QoS flow is flagged with “</w:t>
      </w:r>
      <w:r w:rsidRPr="00B21466">
        <w:t>auto-restore GFBR</w:t>
      </w:r>
      <w:r>
        <w:t>”</w:t>
      </w:r>
      <w:r w:rsidR="00954347">
        <w:t xml:space="preserve">, </w:t>
      </w:r>
      <w:r w:rsidR="00FF6763">
        <w:t xml:space="preserve">RAN could </w:t>
      </w:r>
      <w:r w:rsidR="00C7506D">
        <w:t>allow GBR</w:t>
      </w:r>
      <w:r w:rsidR="00FF6763">
        <w:t xml:space="preserve"> admission control </w:t>
      </w:r>
      <w:r w:rsidR="00C7506D">
        <w:t xml:space="preserve">to </w:t>
      </w:r>
      <w:r w:rsidR="00BF3D85">
        <w:t xml:space="preserve">be </w:t>
      </w:r>
      <w:r w:rsidR="00FF6763">
        <w:t xml:space="preserve">set up. </w:t>
      </w:r>
      <w:r w:rsidR="00C7506D">
        <w:t>T</w:t>
      </w:r>
      <w:r w:rsidR="00FF6763">
        <w:t xml:space="preserve">he QoS flows are still be treated as GBR. </w:t>
      </w:r>
      <w:r w:rsidR="00C7506D">
        <w:t xml:space="preserve">How to keep QoS flows “in evidence” should be a RAN internal implementation matter. </w:t>
      </w:r>
      <w:r w:rsidR="00AE6C84">
        <w:t>Also</w:t>
      </w:r>
      <w:r w:rsidR="002B0575">
        <w:t xml:space="preserve">, it should be RAN internal implementation matter how to decide when </w:t>
      </w:r>
      <w:r w:rsidR="00A97C01">
        <w:t xml:space="preserve">the QoS requirements of </w:t>
      </w:r>
      <w:r w:rsidR="002B0575">
        <w:t>a QoS flow can be</w:t>
      </w:r>
      <w:r w:rsidR="00A97C01">
        <w:t xml:space="preserve"> fulfilled again.</w:t>
      </w:r>
    </w:p>
    <w:p w14:paraId="605BF78B" w14:textId="56DDD313" w:rsidR="005B1BA5" w:rsidRDefault="005B1BA5" w:rsidP="00DE4DDD">
      <w:r>
        <w:t xml:space="preserve">RAN node would try to keep the QoS flow as it does with the other GBR QoS flows. In the worst case, </w:t>
      </w:r>
      <w:r w:rsidR="00C7506D">
        <w:t xml:space="preserve">As in Rel-15, </w:t>
      </w:r>
      <w:r>
        <w:t xml:space="preserve">RAN may </w:t>
      </w:r>
      <w:r w:rsidR="00C7506D">
        <w:t>at any time</w:t>
      </w:r>
      <w:r>
        <w:t xml:space="preserve"> </w:t>
      </w:r>
      <w:r w:rsidR="00C7506D">
        <w:t xml:space="preserve">decide to release the QoS flow and </w:t>
      </w:r>
      <w:r>
        <w:t xml:space="preserve">indicate </w:t>
      </w:r>
      <w:r w:rsidR="00C7506D">
        <w:t xml:space="preserve">this </w:t>
      </w:r>
      <w:r>
        <w:t xml:space="preserve">to </w:t>
      </w:r>
      <w:r w:rsidR="00C7506D">
        <w:t xml:space="preserve">the </w:t>
      </w:r>
      <w:r>
        <w:t>CN.</w:t>
      </w:r>
    </w:p>
    <w:p w14:paraId="6035B228" w14:textId="3F44E7ED" w:rsidR="00727CA4" w:rsidRDefault="005B1BA5" w:rsidP="007F6EB2">
      <w:pPr>
        <w:rPr>
          <w:lang w:eastAsia="ko-KR"/>
        </w:rPr>
      </w:pPr>
      <w:r>
        <w:rPr>
          <w:lang w:eastAsia="ko-KR"/>
        </w:rPr>
        <w:t>We see no need to indicate to UE about the QoS flows being “reasonably admitted”, “not fulfilled” or “fulfilled again.</w:t>
      </w:r>
    </w:p>
    <w:p w14:paraId="5A96CA1F" w14:textId="0118ABCD" w:rsidR="00D71285" w:rsidRDefault="00D71285" w:rsidP="00D71285">
      <w:pPr>
        <w:rPr>
          <w:b/>
          <w:lang w:val="en-US"/>
        </w:rPr>
      </w:pPr>
      <w:r>
        <w:rPr>
          <w:b/>
          <w:lang w:val="en-US"/>
        </w:rPr>
        <w:t>Proposal 1</w:t>
      </w:r>
      <w:r w:rsidRPr="00520AB0">
        <w:rPr>
          <w:b/>
          <w:lang w:val="en-US"/>
        </w:rPr>
        <w:t>:   RAN3 to</w:t>
      </w:r>
      <w:r>
        <w:rPr>
          <w:b/>
          <w:lang w:val="en-US"/>
        </w:rPr>
        <w:t xml:space="preserve"> agree to enhance the Rel-15 Notification Control function to also be applied at admission control. NG-RAN shall be allowed to temporarily </w:t>
      </w:r>
      <w:r w:rsidR="008C6319">
        <w:rPr>
          <w:b/>
          <w:lang w:val="en-US"/>
        </w:rPr>
        <w:t>fail</w:t>
      </w:r>
      <w:r>
        <w:rPr>
          <w:b/>
          <w:lang w:val="en-US"/>
        </w:rPr>
        <w:t xml:space="preserve"> the admission control at resource setup / handover</w:t>
      </w:r>
      <w:r w:rsidR="008C6319">
        <w:rPr>
          <w:b/>
          <w:lang w:val="en-US"/>
        </w:rPr>
        <w:t>, t</w:t>
      </w:r>
      <w:r>
        <w:rPr>
          <w:b/>
          <w:lang w:val="en-US"/>
        </w:rPr>
        <w:t>he QoS flow</w:t>
      </w:r>
      <w:r w:rsidR="005E5C98">
        <w:rPr>
          <w:b/>
          <w:lang w:val="en-US"/>
        </w:rPr>
        <w:t xml:space="preserve"> </w:t>
      </w:r>
      <w:r w:rsidR="005E5C98" w:rsidRPr="005E5C98">
        <w:rPr>
          <w:b/>
          <w:lang w:val="en-US"/>
        </w:rPr>
        <w:t xml:space="preserve">is accepted to be setup in NG-RAN, </w:t>
      </w:r>
      <w:r>
        <w:rPr>
          <w:b/>
          <w:lang w:val="en-US"/>
        </w:rPr>
        <w:t xml:space="preserve">treated as a GBR QoS flow, but </w:t>
      </w:r>
      <w:r w:rsidR="009E667C">
        <w:rPr>
          <w:b/>
          <w:lang w:val="en-US"/>
        </w:rPr>
        <w:t xml:space="preserve">it is </w:t>
      </w:r>
      <w:r>
        <w:rPr>
          <w:b/>
          <w:lang w:val="en-US"/>
        </w:rPr>
        <w:t xml:space="preserve">in a “Notification Control” state. It is RAN internal implementation matter how to decide when a QoS flow can be put out of the “Notification state. </w:t>
      </w:r>
    </w:p>
    <w:p w14:paraId="65D4DEB3" w14:textId="77777777" w:rsidR="00D71285" w:rsidRDefault="00D71285" w:rsidP="00D71285">
      <w:pPr>
        <w:rPr>
          <w:b/>
          <w:lang w:val="en-US"/>
        </w:rPr>
      </w:pPr>
      <w:r>
        <w:rPr>
          <w:b/>
          <w:lang w:val="en-US"/>
        </w:rPr>
        <w:lastRenderedPageBreak/>
        <w:t>Proposal 2: RAN3 to agree that there is no need to indicate to UE that the QoS flow is setup with “reasonable admission”, or if the QoS flow is fulfilled/not fulfilled.</w:t>
      </w:r>
    </w:p>
    <w:p w14:paraId="780B7A79" w14:textId="667122DA" w:rsidR="00203579" w:rsidRDefault="00203579" w:rsidP="00203579">
      <w:pPr>
        <w:pStyle w:val="Heading2"/>
        <w:rPr>
          <w:lang w:eastAsia="ko-KR"/>
        </w:rPr>
      </w:pPr>
      <w:r>
        <w:rPr>
          <w:lang w:eastAsia="ko-KR"/>
        </w:rPr>
        <w:t>2.2</w:t>
      </w:r>
      <w:r>
        <w:rPr>
          <w:lang w:eastAsia="ko-KR"/>
        </w:rPr>
        <w:tab/>
        <w:t>Implementation aspect, component D</w:t>
      </w:r>
    </w:p>
    <w:p w14:paraId="7CF4E3D8" w14:textId="48A7E1C2" w:rsidR="00203579" w:rsidRDefault="003A635A" w:rsidP="007F6EB2">
      <w:pPr>
        <w:rPr>
          <w:lang w:eastAsia="ko-KR"/>
        </w:rPr>
      </w:pPr>
      <w:r>
        <w:rPr>
          <w:lang w:eastAsia="ko-KR"/>
        </w:rPr>
        <w:t>In the component D), it says:</w:t>
      </w:r>
    </w:p>
    <w:p w14:paraId="0C9EED3E" w14:textId="5DB7EE3E" w:rsidR="003A635A" w:rsidRDefault="00203579" w:rsidP="007F6EB2">
      <w:pPr>
        <w:rPr>
          <w:lang w:eastAsia="ko-KR"/>
        </w:rPr>
      </w:pPr>
      <w:r w:rsidRPr="00203579">
        <w:rPr>
          <w:lang w:eastAsia="ko-KR"/>
        </w:rPr>
        <w:t>D) Implementation specific RAN mechanisms attempt to restore the QoS As Soon As possible (e.g. re-attempt ‘legacy’ admission control every 250ms, and restart after 4 "successes".)</w:t>
      </w:r>
    </w:p>
    <w:p w14:paraId="36ADAF7E" w14:textId="496E15B1" w:rsidR="006258D5" w:rsidRDefault="003A635A" w:rsidP="007F6EB2">
      <w:pPr>
        <w:rPr>
          <w:lang w:eastAsia="ko-KR"/>
        </w:rPr>
      </w:pPr>
      <w:r>
        <w:rPr>
          <w:lang w:eastAsia="ko-KR"/>
        </w:rPr>
        <w:t xml:space="preserve">In our view, </w:t>
      </w:r>
      <w:r w:rsidR="006258D5">
        <w:rPr>
          <w:lang w:eastAsia="ko-KR"/>
        </w:rPr>
        <w:t>it up to implementation.</w:t>
      </w:r>
    </w:p>
    <w:p w14:paraId="7CC016DF" w14:textId="7D6A2597" w:rsidR="00975C99" w:rsidRPr="00432C3F" w:rsidRDefault="00975C99" w:rsidP="00975C99">
      <w:pPr>
        <w:rPr>
          <w:b/>
          <w:lang w:val="en-US"/>
        </w:rPr>
      </w:pPr>
      <w:r>
        <w:rPr>
          <w:b/>
          <w:lang w:val="en-US"/>
        </w:rPr>
        <w:t xml:space="preserve">Proposal 3: It is up to implementation for </w:t>
      </w:r>
      <w:r w:rsidRPr="00975C99">
        <w:rPr>
          <w:b/>
          <w:lang w:val="en-US"/>
        </w:rPr>
        <w:t>RAN mechanisms attempt to restore the QoS</w:t>
      </w:r>
      <w:r>
        <w:rPr>
          <w:b/>
          <w:lang w:val="en-US"/>
        </w:rPr>
        <w:t>.</w:t>
      </w:r>
    </w:p>
    <w:p w14:paraId="35B6226E" w14:textId="77777777" w:rsidR="006258D5" w:rsidRPr="00975C99" w:rsidRDefault="006258D5" w:rsidP="007F6EB2">
      <w:pPr>
        <w:rPr>
          <w:lang w:val="en-US" w:eastAsia="ko-KR"/>
        </w:rPr>
      </w:pPr>
    </w:p>
    <w:p w14:paraId="0E227CBE" w14:textId="1DF3F3FE" w:rsidR="0080744C" w:rsidRDefault="0080744C" w:rsidP="0080744C">
      <w:pPr>
        <w:pStyle w:val="Heading2"/>
        <w:rPr>
          <w:lang w:eastAsia="ko-KR"/>
        </w:rPr>
      </w:pPr>
      <w:r>
        <w:rPr>
          <w:lang w:eastAsia="ko-KR"/>
        </w:rPr>
        <w:t>2.</w:t>
      </w:r>
      <w:r w:rsidR="00203579">
        <w:rPr>
          <w:lang w:eastAsia="ko-KR"/>
        </w:rPr>
        <w:t>3</w:t>
      </w:r>
      <w:r>
        <w:rPr>
          <w:lang w:eastAsia="ko-KR"/>
        </w:rPr>
        <w:tab/>
      </w:r>
      <w:r w:rsidR="006C5DF7">
        <w:rPr>
          <w:lang w:eastAsia="ko-KR"/>
        </w:rPr>
        <w:t>Handover to another target</w:t>
      </w:r>
      <w:r w:rsidR="003F031C">
        <w:rPr>
          <w:lang w:eastAsia="ko-KR"/>
        </w:rPr>
        <w:t>, component E</w:t>
      </w:r>
    </w:p>
    <w:p w14:paraId="2A296643" w14:textId="16947865" w:rsidR="006C5DF7" w:rsidRPr="006C5DF7" w:rsidRDefault="006C5DF7" w:rsidP="006C5DF7">
      <w:pPr>
        <w:rPr>
          <w:lang w:eastAsia="ko-KR"/>
        </w:rPr>
      </w:pPr>
      <w:r>
        <w:rPr>
          <w:lang w:eastAsia="ko-KR"/>
        </w:rPr>
        <w:t xml:space="preserve">In the solution </w:t>
      </w:r>
      <w:r w:rsidR="002D5C17">
        <w:rPr>
          <w:lang w:eastAsia="ko-KR"/>
        </w:rPr>
        <w:t>component</w:t>
      </w:r>
      <w:r>
        <w:rPr>
          <w:lang w:eastAsia="ko-KR"/>
        </w:rPr>
        <w:t xml:space="preserve"> E): it says:</w:t>
      </w:r>
    </w:p>
    <w:p w14:paraId="22A0DC92" w14:textId="77777777" w:rsidR="0080744C" w:rsidRPr="0023658A" w:rsidRDefault="0080744C" w:rsidP="0080744C">
      <w:r w:rsidRPr="0023658A">
        <w:rPr>
          <w:b/>
          <w:u w:val="single"/>
        </w:rPr>
        <w:t>E)</w:t>
      </w:r>
      <w:r w:rsidRPr="0023658A">
        <w:t xml:space="preserve">  </w:t>
      </w:r>
      <w:proofErr w:type="spellStart"/>
      <w:r w:rsidRPr="0023658A">
        <w:t>Xn</w:t>
      </w:r>
      <w:proofErr w:type="spellEnd"/>
      <w:r w:rsidRPr="0023658A">
        <w:t>-AP (and N2-AP) Handover signalling parameters are added to allow the source RAN to consider handover to other target cells if the first target cell cannot Guarantee the GFBR flow</w:t>
      </w:r>
    </w:p>
    <w:p w14:paraId="35C6B1D4" w14:textId="5B79A043" w:rsidR="0080744C" w:rsidRDefault="0080744C" w:rsidP="0080744C">
      <w:pPr>
        <w:rPr>
          <w:lang w:eastAsia="ko-KR"/>
        </w:rPr>
      </w:pPr>
    </w:p>
    <w:p w14:paraId="64061795" w14:textId="4CBB1EB5" w:rsidR="006C5DF7" w:rsidRDefault="002F2D4A" w:rsidP="0080744C">
      <w:pPr>
        <w:rPr>
          <w:lang w:eastAsia="ko-KR"/>
        </w:rPr>
      </w:pPr>
      <w:r>
        <w:rPr>
          <w:lang w:eastAsia="ko-KR"/>
        </w:rPr>
        <w:t>In our view, when the handover is failed at the first target, the source RAN can always retry on another target, depends on its knowledge either based on the UE measurements or configuration.</w:t>
      </w:r>
    </w:p>
    <w:p w14:paraId="514F12F2" w14:textId="6E6E7686" w:rsidR="007F6EB2" w:rsidRPr="00927304" w:rsidRDefault="002F2D4A" w:rsidP="007F6EB2">
      <w:pPr>
        <w:rPr>
          <w:lang w:eastAsia="ko-KR"/>
        </w:rPr>
      </w:pPr>
      <w:r>
        <w:rPr>
          <w:lang w:eastAsia="ko-KR"/>
        </w:rPr>
        <w:t>To choose the target cell in the handover has always been the responsibility of source RAN, and this should be not changed.</w:t>
      </w:r>
    </w:p>
    <w:p w14:paraId="5111E5BE" w14:textId="59F1E0C0" w:rsidR="00CE2EBE" w:rsidRDefault="00CE2EBE" w:rsidP="00CE2EBE">
      <w:pPr>
        <w:rPr>
          <w:b/>
          <w:lang w:val="en-US"/>
        </w:rPr>
      </w:pPr>
      <w:r>
        <w:rPr>
          <w:b/>
          <w:lang w:val="en-US"/>
        </w:rPr>
        <w:t>Proposal 4</w:t>
      </w:r>
      <w:r w:rsidRPr="00520AB0">
        <w:rPr>
          <w:b/>
          <w:lang w:val="en-US"/>
        </w:rPr>
        <w:t>:   RAN3 to</w:t>
      </w:r>
      <w:r>
        <w:rPr>
          <w:b/>
          <w:lang w:val="en-US"/>
        </w:rPr>
        <w:t xml:space="preserve"> agree to answer to SA2 that it is the source RAN to decide the handover target and it is already possible that the source RAN will choose a new target in the failure of handover to the first target.</w:t>
      </w:r>
      <w:r w:rsidR="001F1570">
        <w:rPr>
          <w:b/>
          <w:lang w:val="en-US"/>
        </w:rPr>
        <w:t xml:space="preserve"> Target may feedback that it cannot </w:t>
      </w:r>
      <w:r w:rsidR="001F1570" w:rsidRPr="001F1570">
        <w:rPr>
          <w:b/>
          <w:lang w:val="en-US"/>
        </w:rPr>
        <w:t>Guarantee the GFBR flow</w:t>
      </w:r>
      <w:r w:rsidR="001F1570">
        <w:rPr>
          <w:b/>
          <w:lang w:val="en-US"/>
        </w:rPr>
        <w:t>.</w:t>
      </w:r>
    </w:p>
    <w:p w14:paraId="333C74AF" w14:textId="7C8CD100" w:rsidR="00DA36A2" w:rsidRPr="00432C3F" w:rsidRDefault="00DA36A2" w:rsidP="00432C3F">
      <w:pPr>
        <w:rPr>
          <w:b/>
          <w:lang w:val="en-US"/>
        </w:rPr>
      </w:pPr>
      <w:r>
        <w:rPr>
          <w:b/>
          <w:lang w:val="en-US"/>
        </w:rPr>
        <w:t xml:space="preserve">Proposal </w:t>
      </w:r>
      <w:r w:rsidR="003D18B5">
        <w:rPr>
          <w:b/>
          <w:lang w:val="en-US"/>
        </w:rPr>
        <w:t>5</w:t>
      </w:r>
      <w:r>
        <w:rPr>
          <w:b/>
          <w:lang w:val="en-US"/>
        </w:rPr>
        <w:t>: To communicate our agreements to SA2.</w:t>
      </w:r>
    </w:p>
    <w:p w14:paraId="5C97E3F4" w14:textId="218D6354" w:rsidR="00F20E2F" w:rsidRPr="004A5FA8" w:rsidRDefault="007F6EB2" w:rsidP="00F20E2F">
      <w:pPr>
        <w:pStyle w:val="Heading1"/>
        <w:rPr>
          <w:lang w:val="en-US"/>
        </w:rPr>
      </w:pPr>
      <w:r>
        <w:rPr>
          <w:lang w:eastAsia="zh-CN"/>
        </w:rPr>
        <w:t>3</w:t>
      </w:r>
      <w:r w:rsidR="00F20E2F">
        <w:rPr>
          <w:lang w:eastAsia="zh-CN"/>
        </w:rPr>
        <w:tab/>
        <w:t>Proposal</w:t>
      </w:r>
    </w:p>
    <w:p w14:paraId="6F890539" w14:textId="2D8A98C1" w:rsidR="00E673A2" w:rsidRDefault="00650CE8" w:rsidP="00EE1B1B">
      <w:pPr>
        <w:rPr>
          <w:b/>
          <w:lang w:val="en-US"/>
        </w:rPr>
      </w:pPr>
      <w:r>
        <w:rPr>
          <w:b/>
          <w:lang w:val="en-US"/>
        </w:rPr>
        <w:t xml:space="preserve">Observation </w:t>
      </w:r>
      <w:r w:rsidR="007F3E4E">
        <w:rPr>
          <w:b/>
          <w:lang w:val="en-US"/>
        </w:rPr>
        <w:t>1</w:t>
      </w:r>
      <w:r>
        <w:rPr>
          <w:b/>
          <w:lang w:val="en-US"/>
        </w:rPr>
        <w:t>: the GBR service, when flagged as “auto-restore GFBR” should always be treated as “GBR” service.</w:t>
      </w:r>
    </w:p>
    <w:p w14:paraId="3912FBC8" w14:textId="49E42B61" w:rsidR="007F3E4E" w:rsidRPr="00A84D49" w:rsidRDefault="00A84D49" w:rsidP="00EE1B1B">
      <w:pPr>
        <w:rPr>
          <w:b/>
          <w:lang w:val="en-US"/>
        </w:rPr>
      </w:pPr>
      <w:r>
        <w:rPr>
          <w:b/>
          <w:lang w:val="en-US"/>
        </w:rPr>
        <w:t>Observation 2: Legacy: when RAN sets up the QoS flow successfully, it already implicitly indicated the outcome of the admission control (successful). For the GBR QoS flows, when the QoS is fulfilled or not fulfilled, RAN would notify CN, probably with similar means as of today’s Notification Control.</w:t>
      </w:r>
    </w:p>
    <w:p w14:paraId="2A69BB7D" w14:textId="77777777" w:rsidR="007F3E4E" w:rsidRPr="007F3E4E" w:rsidRDefault="007F3E4E" w:rsidP="007F3E4E">
      <w:pPr>
        <w:rPr>
          <w:b/>
          <w:lang w:eastAsia="ko-KR"/>
        </w:rPr>
      </w:pPr>
      <w:r w:rsidRPr="003B0498">
        <w:rPr>
          <w:b/>
          <w:lang w:eastAsia="ko-KR"/>
        </w:rPr>
        <w:t xml:space="preserve">Observation </w:t>
      </w:r>
      <w:r>
        <w:rPr>
          <w:b/>
          <w:lang w:eastAsia="ko-KR"/>
        </w:rPr>
        <w:t>3</w:t>
      </w:r>
      <w:r w:rsidRPr="003B0498">
        <w:rPr>
          <w:b/>
          <w:lang w:eastAsia="ko-KR"/>
        </w:rPr>
        <w:t>: The notification control mechanism is currently not specified to be applied at initial admission control or handover.</w:t>
      </w:r>
    </w:p>
    <w:p w14:paraId="6A4D169F" w14:textId="77777777" w:rsidR="007F3E4E" w:rsidRPr="007F3E4E" w:rsidRDefault="007F3E4E" w:rsidP="00EE1B1B"/>
    <w:p w14:paraId="7ABD6BD0" w14:textId="2CBE0132" w:rsidR="005B041A" w:rsidRDefault="005B041A" w:rsidP="005B041A">
      <w:pPr>
        <w:rPr>
          <w:b/>
          <w:lang w:val="en-US"/>
        </w:rPr>
      </w:pPr>
      <w:r>
        <w:rPr>
          <w:b/>
          <w:lang w:val="en-US"/>
        </w:rPr>
        <w:t>Proposal 1</w:t>
      </w:r>
      <w:r w:rsidRPr="00520AB0">
        <w:rPr>
          <w:b/>
          <w:lang w:val="en-US"/>
        </w:rPr>
        <w:t>:   RAN3 to</w:t>
      </w:r>
      <w:r>
        <w:rPr>
          <w:b/>
          <w:lang w:val="en-US"/>
        </w:rPr>
        <w:t xml:space="preserve"> agree to enhance the Rel-15 Notification Control function to also be applied at admission control. NG-RAN shall be allowed to temporarily fail the admission control at resource setup / handover, the QoS flow </w:t>
      </w:r>
      <w:r w:rsidRPr="005E5C98">
        <w:rPr>
          <w:b/>
          <w:lang w:val="en-US"/>
        </w:rPr>
        <w:t xml:space="preserve">is accepted to be setup in NG-RAN, </w:t>
      </w:r>
      <w:r>
        <w:rPr>
          <w:b/>
          <w:lang w:val="en-US"/>
        </w:rPr>
        <w:t xml:space="preserve">treated as a GBR QoS flow, but </w:t>
      </w:r>
      <w:r w:rsidR="009E667C">
        <w:rPr>
          <w:b/>
          <w:lang w:val="en-US"/>
        </w:rPr>
        <w:t xml:space="preserve">it is </w:t>
      </w:r>
      <w:r>
        <w:rPr>
          <w:b/>
          <w:lang w:val="en-US"/>
        </w:rPr>
        <w:t xml:space="preserve">in a “Notification Control” state. It is RAN internal implementation matter how to decide when a QoS flow can be put out of the “Notification state. </w:t>
      </w:r>
    </w:p>
    <w:p w14:paraId="75F8C366" w14:textId="77777777" w:rsidR="0098726D" w:rsidRDefault="0098726D" w:rsidP="0098726D">
      <w:pPr>
        <w:rPr>
          <w:b/>
          <w:lang w:val="en-US"/>
        </w:rPr>
      </w:pPr>
      <w:r>
        <w:rPr>
          <w:b/>
          <w:lang w:val="en-US"/>
        </w:rPr>
        <w:t>Proposal 2: RAN3 to agree that there is no need to indicate to UE that the QoS flow is setup with “reasonable admission”, or if the QoS flow is fulfilled/not fulfilled.</w:t>
      </w:r>
    </w:p>
    <w:p w14:paraId="387BE2A5" w14:textId="2D2922CE" w:rsidR="0098726D" w:rsidRPr="009C0BB7" w:rsidRDefault="009C0BB7" w:rsidP="00EE1B1B">
      <w:pPr>
        <w:rPr>
          <w:b/>
          <w:lang w:val="en-US"/>
        </w:rPr>
      </w:pPr>
      <w:r>
        <w:rPr>
          <w:b/>
          <w:lang w:val="en-US"/>
        </w:rPr>
        <w:t xml:space="preserve">Proposal 3: It is up to implementation for </w:t>
      </w:r>
      <w:r w:rsidRPr="00975C99">
        <w:rPr>
          <w:b/>
          <w:lang w:val="en-US"/>
        </w:rPr>
        <w:t>RAN mechanisms attempt to restore the QoS</w:t>
      </w:r>
      <w:r>
        <w:rPr>
          <w:b/>
          <w:lang w:val="en-US"/>
        </w:rPr>
        <w:t>.</w:t>
      </w:r>
    </w:p>
    <w:p w14:paraId="319047A8" w14:textId="77777777" w:rsidR="001F1570" w:rsidRDefault="002F2D4A" w:rsidP="001F1570">
      <w:pPr>
        <w:rPr>
          <w:b/>
          <w:lang w:val="en-US"/>
        </w:rPr>
      </w:pPr>
      <w:r>
        <w:rPr>
          <w:b/>
          <w:lang w:val="en-US"/>
        </w:rPr>
        <w:t xml:space="preserve">Proposal </w:t>
      </w:r>
      <w:r w:rsidR="009C0BB7">
        <w:rPr>
          <w:b/>
          <w:lang w:val="en-US"/>
        </w:rPr>
        <w:t>4</w:t>
      </w:r>
      <w:r w:rsidRPr="00520AB0">
        <w:rPr>
          <w:b/>
          <w:lang w:val="en-US"/>
        </w:rPr>
        <w:t>:   RAN3 to</w:t>
      </w:r>
      <w:r>
        <w:rPr>
          <w:b/>
          <w:lang w:val="en-US"/>
        </w:rPr>
        <w:t xml:space="preserve"> agree to answer to SA2 that it is the source RAN to decide the handover target and it is already possible that the source RAN will choose a new target in the failure of handover to the first target. </w:t>
      </w:r>
      <w:r w:rsidR="001F1570">
        <w:rPr>
          <w:b/>
          <w:lang w:val="en-US"/>
        </w:rPr>
        <w:t xml:space="preserve">Target may feedback that it cannot </w:t>
      </w:r>
      <w:r w:rsidR="001F1570" w:rsidRPr="001F1570">
        <w:rPr>
          <w:b/>
          <w:lang w:val="en-US"/>
        </w:rPr>
        <w:t>Guarantee the GFBR flow</w:t>
      </w:r>
      <w:r w:rsidR="001F1570">
        <w:rPr>
          <w:b/>
          <w:lang w:val="en-US"/>
        </w:rPr>
        <w:t>.</w:t>
      </w:r>
    </w:p>
    <w:p w14:paraId="22ED2B89" w14:textId="5E9C69B6" w:rsidR="007F6EB2" w:rsidRDefault="002F2D4A" w:rsidP="008F5635">
      <w:pPr>
        <w:rPr>
          <w:b/>
          <w:lang w:val="en-US"/>
        </w:rPr>
      </w:pPr>
      <w:r>
        <w:rPr>
          <w:b/>
          <w:lang w:val="en-US"/>
        </w:rPr>
        <w:lastRenderedPageBreak/>
        <w:t>.</w:t>
      </w:r>
    </w:p>
    <w:p w14:paraId="2592AAC0" w14:textId="059AA442" w:rsidR="0098726D" w:rsidRPr="00432C3F" w:rsidRDefault="0098726D" w:rsidP="0098726D">
      <w:pPr>
        <w:rPr>
          <w:b/>
          <w:lang w:val="en-US"/>
        </w:rPr>
      </w:pPr>
      <w:r>
        <w:rPr>
          <w:b/>
          <w:lang w:val="en-US"/>
        </w:rPr>
        <w:t xml:space="preserve">Proposal </w:t>
      </w:r>
      <w:r w:rsidR="009C0BB7">
        <w:rPr>
          <w:b/>
          <w:lang w:val="en-US"/>
        </w:rPr>
        <w:t>5:</w:t>
      </w:r>
      <w:r>
        <w:rPr>
          <w:b/>
          <w:lang w:val="en-US"/>
        </w:rPr>
        <w:t xml:space="preserve"> To communicate our agreements to SA2</w:t>
      </w:r>
      <w:r w:rsidR="00411583">
        <w:rPr>
          <w:b/>
          <w:lang w:val="en-US"/>
        </w:rPr>
        <w:t>, in [2]</w:t>
      </w:r>
    </w:p>
    <w:p w14:paraId="328B5041" w14:textId="77777777" w:rsidR="0098726D" w:rsidRPr="002F2D4A" w:rsidRDefault="0098726D" w:rsidP="008F5635">
      <w:pPr>
        <w:rPr>
          <w:b/>
          <w:lang w:val="en-US"/>
        </w:rPr>
      </w:pPr>
    </w:p>
    <w:p w14:paraId="24FF3B3A" w14:textId="2A9FC645" w:rsidR="007F6EB2" w:rsidRPr="008F5635" w:rsidRDefault="007F6EB2" w:rsidP="00B973F1">
      <w:pPr>
        <w:pStyle w:val="Heading1"/>
        <w:rPr>
          <w:lang w:val="en-US"/>
        </w:rPr>
      </w:pPr>
      <w:r>
        <w:rPr>
          <w:lang w:eastAsia="zh-CN"/>
        </w:rPr>
        <w:t>4</w:t>
      </w:r>
      <w:r>
        <w:rPr>
          <w:lang w:eastAsia="zh-CN"/>
        </w:rPr>
        <w:tab/>
        <w:t>Reference</w:t>
      </w:r>
    </w:p>
    <w:p w14:paraId="1F550029" w14:textId="23E98A26" w:rsidR="007F6EB2" w:rsidRDefault="007F6EB2" w:rsidP="007F6EB2">
      <w:pPr>
        <w:ind w:left="720"/>
        <w:rPr>
          <w:lang w:val="en-US"/>
        </w:rPr>
      </w:pPr>
      <w:r>
        <w:rPr>
          <w:lang w:val="en-US"/>
        </w:rPr>
        <w:t>[1]</w:t>
      </w:r>
      <w:r>
        <w:rPr>
          <w:lang w:val="en-US"/>
        </w:rPr>
        <w:tab/>
      </w:r>
      <w:r w:rsidR="00B7438A">
        <w:rPr>
          <w:lang w:val="en-US"/>
        </w:rPr>
        <w:t>R3</w:t>
      </w:r>
      <w:r w:rsidRPr="007F6EB2">
        <w:rPr>
          <w:lang w:val="en-US"/>
        </w:rPr>
        <w:t>-19</w:t>
      </w:r>
      <w:r w:rsidR="00B7438A">
        <w:rPr>
          <w:lang w:val="en-US"/>
        </w:rPr>
        <w:t>1208</w:t>
      </w:r>
      <w:r>
        <w:rPr>
          <w:lang w:val="en-US"/>
        </w:rPr>
        <w:tab/>
      </w:r>
      <w:r w:rsidRPr="007F6EB2">
        <w:rPr>
          <w:lang w:val="en-US"/>
        </w:rPr>
        <w:t>LS on Automatic Restoration of GFBR QOS</w:t>
      </w:r>
      <w:r>
        <w:rPr>
          <w:lang w:val="en-US"/>
        </w:rPr>
        <w:t>, SA2</w:t>
      </w:r>
    </w:p>
    <w:p w14:paraId="6487A5D9" w14:textId="4A433231" w:rsidR="00411583" w:rsidRPr="008F5635" w:rsidRDefault="00411583" w:rsidP="00411583">
      <w:pPr>
        <w:ind w:left="720"/>
        <w:rPr>
          <w:lang w:val="en-US"/>
        </w:rPr>
      </w:pPr>
      <w:r>
        <w:rPr>
          <w:lang w:val="en-US"/>
        </w:rPr>
        <w:t>[2]</w:t>
      </w:r>
      <w:r>
        <w:rPr>
          <w:lang w:val="en-US"/>
        </w:rPr>
        <w:tab/>
      </w:r>
      <w:r w:rsidR="000B1539" w:rsidRPr="000B1539">
        <w:rPr>
          <w:lang w:val="en-US"/>
        </w:rPr>
        <w:t>R3-19169</w:t>
      </w:r>
      <w:r w:rsidR="000B1539">
        <w:rPr>
          <w:lang w:val="en-US"/>
        </w:rPr>
        <w:t>5</w:t>
      </w:r>
      <w:bookmarkStart w:id="1" w:name="_GoBack"/>
      <w:bookmarkEnd w:id="1"/>
      <w:r>
        <w:rPr>
          <w:lang w:val="en-US"/>
        </w:rPr>
        <w:tab/>
      </w:r>
      <w:r w:rsidR="00B7438A" w:rsidRPr="00B7438A">
        <w:rPr>
          <w:lang w:val="en-US"/>
        </w:rPr>
        <w:t xml:space="preserve">Draft reply LS </w:t>
      </w:r>
      <w:r w:rsidR="00B7438A" w:rsidRPr="007F6EB2">
        <w:rPr>
          <w:lang w:val="en-US"/>
        </w:rPr>
        <w:t xml:space="preserve">on </w:t>
      </w:r>
      <w:r w:rsidR="00A57133" w:rsidRPr="00A57133">
        <w:rPr>
          <w:lang w:val="en-US"/>
        </w:rPr>
        <w:t>Automatic Restoration of GFBR QOS</w:t>
      </w:r>
      <w:r>
        <w:rPr>
          <w:lang w:val="en-US"/>
        </w:rPr>
        <w:t>, Ericsson</w:t>
      </w:r>
    </w:p>
    <w:p w14:paraId="613A400F" w14:textId="4DE85166" w:rsidR="00411583" w:rsidRPr="008F5635" w:rsidRDefault="00411583" w:rsidP="007F6EB2">
      <w:pPr>
        <w:ind w:left="720"/>
        <w:rPr>
          <w:lang w:val="en-US"/>
        </w:rPr>
      </w:pPr>
    </w:p>
    <w:sectPr w:rsidR="00411583"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953DE" w14:textId="77777777" w:rsidR="00F956F7" w:rsidRDefault="00F956F7">
      <w:pPr>
        <w:spacing w:after="0"/>
      </w:pPr>
      <w:r>
        <w:separator/>
      </w:r>
    </w:p>
  </w:endnote>
  <w:endnote w:type="continuationSeparator" w:id="0">
    <w:p w14:paraId="0C7441C8" w14:textId="77777777" w:rsidR="00F956F7" w:rsidRDefault="00F956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10EB4" w14:textId="77777777" w:rsidR="00F956F7" w:rsidRDefault="00F956F7">
      <w:pPr>
        <w:spacing w:after="0"/>
      </w:pPr>
      <w:r>
        <w:separator/>
      </w:r>
    </w:p>
  </w:footnote>
  <w:footnote w:type="continuationSeparator" w:id="0">
    <w:p w14:paraId="365ECBB5" w14:textId="77777777" w:rsidR="00F956F7" w:rsidRDefault="00F956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11"/>
  </w:num>
  <w:num w:numId="4">
    <w:abstractNumId w:val="7"/>
  </w:num>
  <w:num w:numId="5">
    <w:abstractNumId w:val="2"/>
  </w:num>
  <w:num w:numId="6">
    <w:abstractNumId w:val="15"/>
  </w:num>
  <w:num w:numId="7">
    <w:abstractNumId w:val="3"/>
  </w:num>
  <w:num w:numId="8">
    <w:abstractNumId w:val="10"/>
  </w:num>
  <w:num w:numId="9">
    <w:abstractNumId w:val="9"/>
  </w:num>
  <w:num w:numId="10">
    <w:abstractNumId w:val="14"/>
  </w:num>
  <w:num w:numId="11">
    <w:abstractNumId w:val="12"/>
  </w:num>
  <w:num w:numId="12">
    <w:abstractNumId w:val="0"/>
  </w:num>
  <w:num w:numId="13">
    <w:abstractNumId w:val="17"/>
  </w:num>
  <w:num w:numId="14">
    <w:abstractNumId w:val="16"/>
  </w:num>
  <w:num w:numId="15">
    <w:abstractNumId w:val="4"/>
  </w:num>
  <w:num w:numId="16">
    <w:abstractNumId w:val="1"/>
  </w:num>
  <w:num w:numId="17">
    <w:abstractNumId w:val="23"/>
  </w:num>
  <w:num w:numId="18">
    <w:abstractNumId w:val="21"/>
  </w:num>
  <w:num w:numId="19">
    <w:abstractNumId w:val="13"/>
  </w:num>
  <w:num w:numId="20">
    <w:abstractNumId w:val="6"/>
  </w:num>
  <w:num w:numId="21">
    <w:abstractNumId w:val="5"/>
  </w:num>
  <w:num w:numId="22">
    <w:abstractNumId w:val="8"/>
  </w:num>
  <w:num w:numId="23">
    <w:abstractNumId w:val="20"/>
  </w:num>
  <w:num w:numId="24">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6218"/>
    <w:rsid w:val="0002710A"/>
    <w:rsid w:val="000275C2"/>
    <w:rsid w:val="00032A3D"/>
    <w:rsid w:val="0003318D"/>
    <w:rsid w:val="00034F96"/>
    <w:rsid w:val="000352E6"/>
    <w:rsid w:val="00036372"/>
    <w:rsid w:val="00037418"/>
    <w:rsid w:val="0004170C"/>
    <w:rsid w:val="00043A56"/>
    <w:rsid w:val="00045418"/>
    <w:rsid w:val="00051EF1"/>
    <w:rsid w:val="00052481"/>
    <w:rsid w:val="00052ACC"/>
    <w:rsid w:val="00052C2A"/>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470A"/>
    <w:rsid w:val="00084976"/>
    <w:rsid w:val="00084A1A"/>
    <w:rsid w:val="00090F1D"/>
    <w:rsid w:val="000933D3"/>
    <w:rsid w:val="00095F23"/>
    <w:rsid w:val="00096F96"/>
    <w:rsid w:val="00097AFE"/>
    <w:rsid w:val="000A0F8C"/>
    <w:rsid w:val="000A31C9"/>
    <w:rsid w:val="000A4924"/>
    <w:rsid w:val="000B0645"/>
    <w:rsid w:val="000B13AB"/>
    <w:rsid w:val="000B1539"/>
    <w:rsid w:val="000B67CB"/>
    <w:rsid w:val="000B75D3"/>
    <w:rsid w:val="000C0771"/>
    <w:rsid w:val="000C2B8B"/>
    <w:rsid w:val="000C3FCD"/>
    <w:rsid w:val="000C49A0"/>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4FF1"/>
    <w:rsid w:val="001061B5"/>
    <w:rsid w:val="0011026A"/>
    <w:rsid w:val="00120199"/>
    <w:rsid w:val="00123FF4"/>
    <w:rsid w:val="001307B0"/>
    <w:rsid w:val="0013096F"/>
    <w:rsid w:val="00131266"/>
    <w:rsid w:val="0013281A"/>
    <w:rsid w:val="001346E6"/>
    <w:rsid w:val="001367AD"/>
    <w:rsid w:val="00136B1D"/>
    <w:rsid w:val="00141227"/>
    <w:rsid w:val="00141482"/>
    <w:rsid w:val="001423AA"/>
    <w:rsid w:val="0014617A"/>
    <w:rsid w:val="001463F9"/>
    <w:rsid w:val="00147072"/>
    <w:rsid w:val="00150518"/>
    <w:rsid w:val="001524A5"/>
    <w:rsid w:val="00154EFB"/>
    <w:rsid w:val="00156A9B"/>
    <w:rsid w:val="00161886"/>
    <w:rsid w:val="00163EF4"/>
    <w:rsid w:val="0017021F"/>
    <w:rsid w:val="00170416"/>
    <w:rsid w:val="001714C1"/>
    <w:rsid w:val="00171E9E"/>
    <w:rsid w:val="001751D0"/>
    <w:rsid w:val="00175718"/>
    <w:rsid w:val="00180BE7"/>
    <w:rsid w:val="00182C64"/>
    <w:rsid w:val="001835CB"/>
    <w:rsid w:val="00183C1A"/>
    <w:rsid w:val="00185C8F"/>
    <w:rsid w:val="00194427"/>
    <w:rsid w:val="001959BB"/>
    <w:rsid w:val="001A4232"/>
    <w:rsid w:val="001A669C"/>
    <w:rsid w:val="001A6B09"/>
    <w:rsid w:val="001A77C1"/>
    <w:rsid w:val="001A7893"/>
    <w:rsid w:val="001B07D3"/>
    <w:rsid w:val="001B173A"/>
    <w:rsid w:val="001B1DB2"/>
    <w:rsid w:val="001B5212"/>
    <w:rsid w:val="001B6E72"/>
    <w:rsid w:val="001B778A"/>
    <w:rsid w:val="001B7E93"/>
    <w:rsid w:val="001C01D2"/>
    <w:rsid w:val="001C140C"/>
    <w:rsid w:val="001C655A"/>
    <w:rsid w:val="001C6B66"/>
    <w:rsid w:val="001C718C"/>
    <w:rsid w:val="001D173C"/>
    <w:rsid w:val="001D17FA"/>
    <w:rsid w:val="001D2049"/>
    <w:rsid w:val="001D23DC"/>
    <w:rsid w:val="001D2903"/>
    <w:rsid w:val="001D4939"/>
    <w:rsid w:val="001D7282"/>
    <w:rsid w:val="001D73DD"/>
    <w:rsid w:val="001E11DA"/>
    <w:rsid w:val="001E1F5C"/>
    <w:rsid w:val="001E2093"/>
    <w:rsid w:val="001F1570"/>
    <w:rsid w:val="001F437B"/>
    <w:rsid w:val="001F65A7"/>
    <w:rsid w:val="0020311B"/>
    <w:rsid w:val="00203579"/>
    <w:rsid w:val="00204B34"/>
    <w:rsid w:val="00206576"/>
    <w:rsid w:val="00206876"/>
    <w:rsid w:val="00210E72"/>
    <w:rsid w:val="00211C33"/>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0BA4"/>
    <w:rsid w:val="00253517"/>
    <w:rsid w:val="00253DBD"/>
    <w:rsid w:val="0025412E"/>
    <w:rsid w:val="0025450E"/>
    <w:rsid w:val="002603ED"/>
    <w:rsid w:val="00260EE4"/>
    <w:rsid w:val="002645E2"/>
    <w:rsid w:val="00264AD8"/>
    <w:rsid w:val="00264C3A"/>
    <w:rsid w:val="00265959"/>
    <w:rsid w:val="002672F8"/>
    <w:rsid w:val="00267A07"/>
    <w:rsid w:val="002701EE"/>
    <w:rsid w:val="00273123"/>
    <w:rsid w:val="00276F7B"/>
    <w:rsid w:val="00277CC9"/>
    <w:rsid w:val="00290E4D"/>
    <w:rsid w:val="00291A94"/>
    <w:rsid w:val="00292430"/>
    <w:rsid w:val="00293236"/>
    <w:rsid w:val="00295261"/>
    <w:rsid w:val="00296159"/>
    <w:rsid w:val="002967A2"/>
    <w:rsid w:val="002970F6"/>
    <w:rsid w:val="002A18FF"/>
    <w:rsid w:val="002A49B0"/>
    <w:rsid w:val="002A66DA"/>
    <w:rsid w:val="002A6E64"/>
    <w:rsid w:val="002B0575"/>
    <w:rsid w:val="002B79A6"/>
    <w:rsid w:val="002C4CD3"/>
    <w:rsid w:val="002D1332"/>
    <w:rsid w:val="002D1FBB"/>
    <w:rsid w:val="002D2189"/>
    <w:rsid w:val="002D3106"/>
    <w:rsid w:val="002D5C17"/>
    <w:rsid w:val="002D67F3"/>
    <w:rsid w:val="002D7F54"/>
    <w:rsid w:val="002E2DB8"/>
    <w:rsid w:val="002E400B"/>
    <w:rsid w:val="002E43B0"/>
    <w:rsid w:val="002E4DF2"/>
    <w:rsid w:val="002E79E3"/>
    <w:rsid w:val="002E7D34"/>
    <w:rsid w:val="002E7EC8"/>
    <w:rsid w:val="002F00F4"/>
    <w:rsid w:val="002F1425"/>
    <w:rsid w:val="002F1940"/>
    <w:rsid w:val="002F2D4A"/>
    <w:rsid w:val="002F501B"/>
    <w:rsid w:val="002F73B4"/>
    <w:rsid w:val="00301FCF"/>
    <w:rsid w:val="0030717C"/>
    <w:rsid w:val="0030723B"/>
    <w:rsid w:val="00310BF1"/>
    <w:rsid w:val="0031139C"/>
    <w:rsid w:val="00311454"/>
    <w:rsid w:val="003115ED"/>
    <w:rsid w:val="00312232"/>
    <w:rsid w:val="0031619A"/>
    <w:rsid w:val="00321CF2"/>
    <w:rsid w:val="00322A0A"/>
    <w:rsid w:val="003256F0"/>
    <w:rsid w:val="00326430"/>
    <w:rsid w:val="00327913"/>
    <w:rsid w:val="003301E8"/>
    <w:rsid w:val="003309D9"/>
    <w:rsid w:val="0033153B"/>
    <w:rsid w:val="003317CD"/>
    <w:rsid w:val="0033223B"/>
    <w:rsid w:val="0034038A"/>
    <w:rsid w:val="00340CD3"/>
    <w:rsid w:val="003441DF"/>
    <w:rsid w:val="0034456F"/>
    <w:rsid w:val="00344CD0"/>
    <w:rsid w:val="00345030"/>
    <w:rsid w:val="003452E1"/>
    <w:rsid w:val="00345E50"/>
    <w:rsid w:val="003471BC"/>
    <w:rsid w:val="00355672"/>
    <w:rsid w:val="00355837"/>
    <w:rsid w:val="00355A58"/>
    <w:rsid w:val="0035712A"/>
    <w:rsid w:val="0036354C"/>
    <w:rsid w:val="00363E36"/>
    <w:rsid w:val="00363F4D"/>
    <w:rsid w:val="0036531B"/>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512"/>
    <w:rsid w:val="003A635A"/>
    <w:rsid w:val="003A655F"/>
    <w:rsid w:val="003B0498"/>
    <w:rsid w:val="003B05B1"/>
    <w:rsid w:val="003B1D12"/>
    <w:rsid w:val="003B34A4"/>
    <w:rsid w:val="003B6329"/>
    <w:rsid w:val="003B6D6E"/>
    <w:rsid w:val="003B6DEC"/>
    <w:rsid w:val="003B7DAB"/>
    <w:rsid w:val="003C2025"/>
    <w:rsid w:val="003C3872"/>
    <w:rsid w:val="003C4057"/>
    <w:rsid w:val="003C43EF"/>
    <w:rsid w:val="003D00A2"/>
    <w:rsid w:val="003D18B5"/>
    <w:rsid w:val="003D1AC2"/>
    <w:rsid w:val="003D207E"/>
    <w:rsid w:val="003D2956"/>
    <w:rsid w:val="003D3F18"/>
    <w:rsid w:val="003D457D"/>
    <w:rsid w:val="003E6944"/>
    <w:rsid w:val="003F031C"/>
    <w:rsid w:val="003F24B2"/>
    <w:rsid w:val="003F41D0"/>
    <w:rsid w:val="003F4968"/>
    <w:rsid w:val="003F4B95"/>
    <w:rsid w:val="003F6601"/>
    <w:rsid w:val="003F6D9A"/>
    <w:rsid w:val="003F7FBE"/>
    <w:rsid w:val="00403CD5"/>
    <w:rsid w:val="00403F15"/>
    <w:rsid w:val="00411583"/>
    <w:rsid w:val="00411F13"/>
    <w:rsid w:val="0041364A"/>
    <w:rsid w:val="00415426"/>
    <w:rsid w:val="004156CD"/>
    <w:rsid w:val="004213FC"/>
    <w:rsid w:val="00423E17"/>
    <w:rsid w:val="00424105"/>
    <w:rsid w:val="0042544B"/>
    <w:rsid w:val="00425FCA"/>
    <w:rsid w:val="00427A11"/>
    <w:rsid w:val="00430481"/>
    <w:rsid w:val="0043179F"/>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5E6B"/>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40B4"/>
    <w:rsid w:val="004A4C8A"/>
    <w:rsid w:val="004A5FA8"/>
    <w:rsid w:val="004B0BB0"/>
    <w:rsid w:val="004B209C"/>
    <w:rsid w:val="004B2438"/>
    <w:rsid w:val="004B74D5"/>
    <w:rsid w:val="004B7621"/>
    <w:rsid w:val="004C01A5"/>
    <w:rsid w:val="004C1750"/>
    <w:rsid w:val="004C2ED1"/>
    <w:rsid w:val="004C53EA"/>
    <w:rsid w:val="004D485E"/>
    <w:rsid w:val="004D5B59"/>
    <w:rsid w:val="004D6222"/>
    <w:rsid w:val="004D70E3"/>
    <w:rsid w:val="004E0FE2"/>
    <w:rsid w:val="004E3686"/>
    <w:rsid w:val="004E3939"/>
    <w:rsid w:val="004E4682"/>
    <w:rsid w:val="004E5DDF"/>
    <w:rsid w:val="004E6612"/>
    <w:rsid w:val="004E66BB"/>
    <w:rsid w:val="004F2F8C"/>
    <w:rsid w:val="004F3A8D"/>
    <w:rsid w:val="004F3FD1"/>
    <w:rsid w:val="004F53BF"/>
    <w:rsid w:val="004F54D6"/>
    <w:rsid w:val="004F7116"/>
    <w:rsid w:val="004F78AE"/>
    <w:rsid w:val="00501CBC"/>
    <w:rsid w:val="00503F31"/>
    <w:rsid w:val="0050544D"/>
    <w:rsid w:val="00511214"/>
    <w:rsid w:val="00511A56"/>
    <w:rsid w:val="0051227E"/>
    <w:rsid w:val="00512522"/>
    <w:rsid w:val="00513DD9"/>
    <w:rsid w:val="00514511"/>
    <w:rsid w:val="005155F8"/>
    <w:rsid w:val="00515805"/>
    <w:rsid w:val="005175C0"/>
    <w:rsid w:val="00517943"/>
    <w:rsid w:val="00520766"/>
    <w:rsid w:val="00520AB0"/>
    <w:rsid w:val="0052101F"/>
    <w:rsid w:val="0052370D"/>
    <w:rsid w:val="0052708E"/>
    <w:rsid w:val="00530F4E"/>
    <w:rsid w:val="0053262B"/>
    <w:rsid w:val="0053565A"/>
    <w:rsid w:val="005364EC"/>
    <w:rsid w:val="00537628"/>
    <w:rsid w:val="00543A43"/>
    <w:rsid w:val="005449E6"/>
    <w:rsid w:val="005465EC"/>
    <w:rsid w:val="005512C9"/>
    <w:rsid w:val="00551678"/>
    <w:rsid w:val="00552FA4"/>
    <w:rsid w:val="005706DE"/>
    <w:rsid w:val="00570E77"/>
    <w:rsid w:val="00571043"/>
    <w:rsid w:val="00571E21"/>
    <w:rsid w:val="005727FD"/>
    <w:rsid w:val="00573519"/>
    <w:rsid w:val="005737B9"/>
    <w:rsid w:val="00573DED"/>
    <w:rsid w:val="005746EE"/>
    <w:rsid w:val="00575B1E"/>
    <w:rsid w:val="00580326"/>
    <w:rsid w:val="00580FD3"/>
    <w:rsid w:val="005911CD"/>
    <w:rsid w:val="00593D85"/>
    <w:rsid w:val="00597648"/>
    <w:rsid w:val="00597B8D"/>
    <w:rsid w:val="005A1B30"/>
    <w:rsid w:val="005A41A1"/>
    <w:rsid w:val="005A7864"/>
    <w:rsid w:val="005A7FAB"/>
    <w:rsid w:val="005B041A"/>
    <w:rsid w:val="005B1BA5"/>
    <w:rsid w:val="005B3F65"/>
    <w:rsid w:val="005B4457"/>
    <w:rsid w:val="005B5477"/>
    <w:rsid w:val="005B6FA8"/>
    <w:rsid w:val="005C1E42"/>
    <w:rsid w:val="005C32E8"/>
    <w:rsid w:val="005C492F"/>
    <w:rsid w:val="005C49C3"/>
    <w:rsid w:val="005C54FF"/>
    <w:rsid w:val="005D495F"/>
    <w:rsid w:val="005E5C98"/>
    <w:rsid w:val="005F0150"/>
    <w:rsid w:val="005F1FA5"/>
    <w:rsid w:val="005F23D1"/>
    <w:rsid w:val="005F3055"/>
    <w:rsid w:val="005F38E4"/>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50CE8"/>
    <w:rsid w:val="00654086"/>
    <w:rsid w:val="0065425F"/>
    <w:rsid w:val="00655AD0"/>
    <w:rsid w:val="00655D26"/>
    <w:rsid w:val="00655DC0"/>
    <w:rsid w:val="00666432"/>
    <w:rsid w:val="00673C3C"/>
    <w:rsid w:val="00673F3F"/>
    <w:rsid w:val="00673F64"/>
    <w:rsid w:val="0067551B"/>
    <w:rsid w:val="00684D52"/>
    <w:rsid w:val="00685872"/>
    <w:rsid w:val="006875DE"/>
    <w:rsid w:val="00687D39"/>
    <w:rsid w:val="0069044A"/>
    <w:rsid w:val="006922A2"/>
    <w:rsid w:val="006924B6"/>
    <w:rsid w:val="006938C5"/>
    <w:rsid w:val="006978D2"/>
    <w:rsid w:val="006A31C8"/>
    <w:rsid w:val="006A464E"/>
    <w:rsid w:val="006A58AF"/>
    <w:rsid w:val="006A5E2A"/>
    <w:rsid w:val="006A5F4F"/>
    <w:rsid w:val="006A63F4"/>
    <w:rsid w:val="006B17F4"/>
    <w:rsid w:val="006B25BA"/>
    <w:rsid w:val="006B4A30"/>
    <w:rsid w:val="006C10D2"/>
    <w:rsid w:val="006C5DF7"/>
    <w:rsid w:val="006D47ED"/>
    <w:rsid w:val="006D5125"/>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1EBA"/>
    <w:rsid w:val="00703B5D"/>
    <w:rsid w:val="00706209"/>
    <w:rsid w:val="00706920"/>
    <w:rsid w:val="00706DC7"/>
    <w:rsid w:val="00707B2E"/>
    <w:rsid w:val="007119BC"/>
    <w:rsid w:val="00712739"/>
    <w:rsid w:val="007147FB"/>
    <w:rsid w:val="00716514"/>
    <w:rsid w:val="00717A41"/>
    <w:rsid w:val="00720D1E"/>
    <w:rsid w:val="00722AB3"/>
    <w:rsid w:val="00723E52"/>
    <w:rsid w:val="0072459F"/>
    <w:rsid w:val="0072606E"/>
    <w:rsid w:val="007278B6"/>
    <w:rsid w:val="00727CA4"/>
    <w:rsid w:val="00727F8A"/>
    <w:rsid w:val="00731A11"/>
    <w:rsid w:val="00734651"/>
    <w:rsid w:val="00735CA3"/>
    <w:rsid w:val="00736CDD"/>
    <w:rsid w:val="00737D0C"/>
    <w:rsid w:val="00741C8A"/>
    <w:rsid w:val="00745EF3"/>
    <w:rsid w:val="0074752A"/>
    <w:rsid w:val="0075024C"/>
    <w:rsid w:val="00751164"/>
    <w:rsid w:val="007531DC"/>
    <w:rsid w:val="00753F87"/>
    <w:rsid w:val="00754D43"/>
    <w:rsid w:val="00755CAD"/>
    <w:rsid w:val="00757280"/>
    <w:rsid w:val="00757884"/>
    <w:rsid w:val="00757C14"/>
    <w:rsid w:val="00760A52"/>
    <w:rsid w:val="00761ADC"/>
    <w:rsid w:val="00762CAE"/>
    <w:rsid w:val="0076375F"/>
    <w:rsid w:val="00765596"/>
    <w:rsid w:val="007677F9"/>
    <w:rsid w:val="00772F84"/>
    <w:rsid w:val="00773EF9"/>
    <w:rsid w:val="00774973"/>
    <w:rsid w:val="007752A4"/>
    <w:rsid w:val="0078580F"/>
    <w:rsid w:val="00786339"/>
    <w:rsid w:val="0079324C"/>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226"/>
    <w:rsid w:val="007D669D"/>
    <w:rsid w:val="007D6BE0"/>
    <w:rsid w:val="007D711E"/>
    <w:rsid w:val="007D7340"/>
    <w:rsid w:val="007E165D"/>
    <w:rsid w:val="007E48B6"/>
    <w:rsid w:val="007E6A97"/>
    <w:rsid w:val="007E6AEB"/>
    <w:rsid w:val="007F3E4E"/>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34D2"/>
    <w:rsid w:val="00864605"/>
    <w:rsid w:val="00866B74"/>
    <w:rsid w:val="00866D68"/>
    <w:rsid w:val="00866E54"/>
    <w:rsid w:val="0087038C"/>
    <w:rsid w:val="00870E2F"/>
    <w:rsid w:val="00870FEE"/>
    <w:rsid w:val="0087132C"/>
    <w:rsid w:val="00871773"/>
    <w:rsid w:val="0087265C"/>
    <w:rsid w:val="00876073"/>
    <w:rsid w:val="008765AD"/>
    <w:rsid w:val="00877494"/>
    <w:rsid w:val="008775A4"/>
    <w:rsid w:val="008833AF"/>
    <w:rsid w:val="00883C38"/>
    <w:rsid w:val="0088430D"/>
    <w:rsid w:val="00884BC8"/>
    <w:rsid w:val="00884BE4"/>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C6319"/>
    <w:rsid w:val="008D2023"/>
    <w:rsid w:val="008D3FFE"/>
    <w:rsid w:val="008D47CC"/>
    <w:rsid w:val="008D4A93"/>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3A3E"/>
    <w:rsid w:val="009158A2"/>
    <w:rsid w:val="00922D2D"/>
    <w:rsid w:val="009260C9"/>
    <w:rsid w:val="00926C50"/>
    <w:rsid w:val="00927304"/>
    <w:rsid w:val="00935577"/>
    <w:rsid w:val="00940BCE"/>
    <w:rsid w:val="00942559"/>
    <w:rsid w:val="00943245"/>
    <w:rsid w:val="009444BB"/>
    <w:rsid w:val="00944A0F"/>
    <w:rsid w:val="0094547B"/>
    <w:rsid w:val="00945EA8"/>
    <w:rsid w:val="009465CA"/>
    <w:rsid w:val="00947CEF"/>
    <w:rsid w:val="00952BE3"/>
    <w:rsid w:val="00952C88"/>
    <w:rsid w:val="00954347"/>
    <w:rsid w:val="00956F7F"/>
    <w:rsid w:val="0095760C"/>
    <w:rsid w:val="0096030E"/>
    <w:rsid w:val="009636BD"/>
    <w:rsid w:val="0096404F"/>
    <w:rsid w:val="009668D9"/>
    <w:rsid w:val="00966940"/>
    <w:rsid w:val="009672CA"/>
    <w:rsid w:val="00972390"/>
    <w:rsid w:val="009757A9"/>
    <w:rsid w:val="00975C99"/>
    <w:rsid w:val="0097790F"/>
    <w:rsid w:val="00982076"/>
    <w:rsid w:val="00986616"/>
    <w:rsid w:val="00986A1E"/>
    <w:rsid w:val="0098726D"/>
    <w:rsid w:val="00987368"/>
    <w:rsid w:val="009928DD"/>
    <w:rsid w:val="00994A5A"/>
    <w:rsid w:val="0099577A"/>
    <w:rsid w:val="0099585E"/>
    <w:rsid w:val="00995DA7"/>
    <w:rsid w:val="00997077"/>
    <w:rsid w:val="0099764C"/>
    <w:rsid w:val="009A0F7B"/>
    <w:rsid w:val="009A4EDA"/>
    <w:rsid w:val="009A506D"/>
    <w:rsid w:val="009A6197"/>
    <w:rsid w:val="009A62C1"/>
    <w:rsid w:val="009B1269"/>
    <w:rsid w:val="009B3DB9"/>
    <w:rsid w:val="009B4E0F"/>
    <w:rsid w:val="009B6788"/>
    <w:rsid w:val="009C0BB7"/>
    <w:rsid w:val="009C1580"/>
    <w:rsid w:val="009C2EF4"/>
    <w:rsid w:val="009C3459"/>
    <w:rsid w:val="009C3768"/>
    <w:rsid w:val="009C4AB5"/>
    <w:rsid w:val="009C4D8A"/>
    <w:rsid w:val="009C7377"/>
    <w:rsid w:val="009C7DD3"/>
    <w:rsid w:val="009D2118"/>
    <w:rsid w:val="009D328C"/>
    <w:rsid w:val="009D4C05"/>
    <w:rsid w:val="009D6E26"/>
    <w:rsid w:val="009D7C41"/>
    <w:rsid w:val="009E3A54"/>
    <w:rsid w:val="009E54BD"/>
    <w:rsid w:val="009E5606"/>
    <w:rsid w:val="009E64DF"/>
    <w:rsid w:val="009E667C"/>
    <w:rsid w:val="009E7503"/>
    <w:rsid w:val="009F0E33"/>
    <w:rsid w:val="009F13C5"/>
    <w:rsid w:val="009F2B62"/>
    <w:rsid w:val="009F65D1"/>
    <w:rsid w:val="00A01538"/>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534E"/>
    <w:rsid w:val="00A4795F"/>
    <w:rsid w:val="00A52A31"/>
    <w:rsid w:val="00A53569"/>
    <w:rsid w:val="00A54D5F"/>
    <w:rsid w:val="00A55D1F"/>
    <w:rsid w:val="00A55D23"/>
    <w:rsid w:val="00A56501"/>
    <w:rsid w:val="00A57133"/>
    <w:rsid w:val="00A63719"/>
    <w:rsid w:val="00A63D09"/>
    <w:rsid w:val="00A63EF4"/>
    <w:rsid w:val="00A67D38"/>
    <w:rsid w:val="00A730C1"/>
    <w:rsid w:val="00A74D97"/>
    <w:rsid w:val="00A75C39"/>
    <w:rsid w:val="00A770A1"/>
    <w:rsid w:val="00A81ED3"/>
    <w:rsid w:val="00A827F2"/>
    <w:rsid w:val="00A832D2"/>
    <w:rsid w:val="00A8383A"/>
    <w:rsid w:val="00A84A53"/>
    <w:rsid w:val="00A84D49"/>
    <w:rsid w:val="00A92389"/>
    <w:rsid w:val="00A95578"/>
    <w:rsid w:val="00A97C01"/>
    <w:rsid w:val="00AA0B83"/>
    <w:rsid w:val="00AA26A7"/>
    <w:rsid w:val="00AA36D1"/>
    <w:rsid w:val="00AA4219"/>
    <w:rsid w:val="00AB0261"/>
    <w:rsid w:val="00AB250B"/>
    <w:rsid w:val="00AB3507"/>
    <w:rsid w:val="00AB49DB"/>
    <w:rsid w:val="00AB554B"/>
    <w:rsid w:val="00AB5683"/>
    <w:rsid w:val="00AC21C4"/>
    <w:rsid w:val="00AC566D"/>
    <w:rsid w:val="00AC60D8"/>
    <w:rsid w:val="00AC69F4"/>
    <w:rsid w:val="00AD2C0D"/>
    <w:rsid w:val="00AD4393"/>
    <w:rsid w:val="00AD4A4D"/>
    <w:rsid w:val="00AD70FD"/>
    <w:rsid w:val="00AD7776"/>
    <w:rsid w:val="00AD7DC3"/>
    <w:rsid w:val="00AE1143"/>
    <w:rsid w:val="00AE13C9"/>
    <w:rsid w:val="00AE45FA"/>
    <w:rsid w:val="00AE6C84"/>
    <w:rsid w:val="00AE7CD6"/>
    <w:rsid w:val="00AF0211"/>
    <w:rsid w:val="00AF14A0"/>
    <w:rsid w:val="00AF2A86"/>
    <w:rsid w:val="00AF4737"/>
    <w:rsid w:val="00AF5584"/>
    <w:rsid w:val="00B01690"/>
    <w:rsid w:val="00B05536"/>
    <w:rsid w:val="00B05D98"/>
    <w:rsid w:val="00B07A30"/>
    <w:rsid w:val="00B105F3"/>
    <w:rsid w:val="00B114E8"/>
    <w:rsid w:val="00B138EC"/>
    <w:rsid w:val="00B13F7D"/>
    <w:rsid w:val="00B1598C"/>
    <w:rsid w:val="00B16D64"/>
    <w:rsid w:val="00B17782"/>
    <w:rsid w:val="00B21466"/>
    <w:rsid w:val="00B221C5"/>
    <w:rsid w:val="00B277CD"/>
    <w:rsid w:val="00B30BE2"/>
    <w:rsid w:val="00B30F5B"/>
    <w:rsid w:val="00B31BAB"/>
    <w:rsid w:val="00B32905"/>
    <w:rsid w:val="00B3325A"/>
    <w:rsid w:val="00B334EE"/>
    <w:rsid w:val="00B34FFF"/>
    <w:rsid w:val="00B37503"/>
    <w:rsid w:val="00B4364F"/>
    <w:rsid w:val="00B43CD7"/>
    <w:rsid w:val="00B4619B"/>
    <w:rsid w:val="00B465D4"/>
    <w:rsid w:val="00B46623"/>
    <w:rsid w:val="00B620B9"/>
    <w:rsid w:val="00B62509"/>
    <w:rsid w:val="00B664FF"/>
    <w:rsid w:val="00B66BF8"/>
    <w:rsid w:val="00B66EB5"/>
    <w:rsid w:val="00B66FAC"/>
    <w:rsid w:val="00B7021F"/>
    <w:rsid w:val="00B70372"/>
    <w:rsid w:val="00B717C7"/>
    <w:rsid w:val="00B7438A"/>
    <w:rsid w:val="00B7450A"/>
    <w:rsid w:val="00B75411"/>
    <w:rsid w:val="00B770AA"/>
    <w:rsid w:val="00B7737C"/>
    <w:rsid w:val="00B77781"/>
    <w:rsid w:val="00B82D07"/>
    <w:rsid w:val="00B85CDC"/>
    <w:rsid w:val="00B86695"/>
    <w:rsid w:val="00B86CDC"/>
    <w:rsid w:val="00B90233"/>
    <w:rsid w:val="00B90371"/>
    <w:rsid w:val="00B961F4"/>
    <w:rsid w:val="00B97103"/>
    <w:rsid w:val="00B973F1"/>
    <w:rsid w:val="00B97703"/>
    <w:rsid w:val="00BA0B62"/>
    <w:rsid w:val="00BA2299"/>
    <w:rsid w:val="00BA5244"/>
    <w:rsid w:val="00BA6C25"/>
    <w:rsid w:val="00BA7612"/>
    <w:rsid w:val="00BB2671"/>
    <w:rsid w:val="00BB4B16"/>
    <w:rsid w:val="00BB6A23"/>
    <w:rsid w:val="00BB6BDE"/>
    <w:rsid w:val="00BB793D"/>
    <w:rsid w:val="00BB797B"/>
    <w:rsid w:val="00BC14D6"/>
    <w:rsid w:val="00BC172B"/>
    <w:rsid w:val="00BC17CE"/>
    <w:rsid w:val="00BC3561"/>
    <w:rsid w:val="00BC389A"/>
    <w:rsid w:val="00BC3D0F"/>
    <w:rsid w:val="00BC74EE"/>
    <w:rsid w:val="00BC78EE"/>
    <w:rsid w:val="00BC795A"/>
    <w:rsid w:val="00BD0C4F"/>
    <w:rsid w:val="00BD4F51"/>
    <w:rsid w:val="00BD5F5C"/>
    <w:rsid w:val="00BE0354"/>
    <w:rsid w:val="00BE0C55"/>
    <w:rsid w:val="00BE0F57"/>
    <w:rsid w:val="00BE1B0F"/>
    <w:rsid w:val="00BE205F"/>
    <w:rsid w:val="00BE519D"/>
    <w:rsid w:val="00BE5AF1"/>
    <w:rsid w:val="00BF2943"/>
    <w:rsid w:val="00BF3D85"/>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14F4"/>
    <w:rsid w:val="00C5599A"/>
    <w:rsid w:val="00C6044B"/>
    <w:rsid w:val="00C631D9"/>
    <w:rsid w:val="00C6351D"/>
    <w:rsid w:val="00C64655"/>
    <w:rsid w:val="00C67EEA"/>
    <w:rsid w:val="00C73671"/>
    <w:rsid w:val="00C74509"/>
    <w:rsid w:val="00C74AC3"/>
    <w:rsid w:val="00C7506D"/>
    <w:rsid w:val="00C75EDD"/>
    <w:rsid w:val="00C77A3A"/>
    <w:rsid w:val="00C8209F"/>
    <w:rsid w:val="00C822C4"/>
    <w:rsid w:val="00C82985"/>
    <w:rsid w:val="00C8482E"/>
    <w:rsid w:val="00C86C2E"/>
    <w:rsid w:val="00C914A2"/>
    <w:rsid w:val="00C92760"/>
    <w:rsid w:val="00C932CF"/>
    <w:rsid w:val="00C93DB0"/>
    <w:rsid w:val="00C97018"/>
    <w:rsid w:val="00C97B87"/>
    <w:rsid w:val="00CA5414"/>
    <w:rsid w:val="00CB078B"/>
    <w:rsid w:val="00CB1F7D"/>
    <w:rsid w:val="00CB6AC8"/>
    <w:rsid w:val="00CC30EC"/>
    <w:rsid w:val="00CC45F4"/>
    <w:rsid w:val="00CC6B55"/>
    <w:rsid w:val="00CC7E2B"/>
    <w:rsid w:val="00CD0260"/>
    <w:rsid w:val="00CD0358"/>
    <w:rsid w:val="00CD2001"/>
    <w:rsid w:val="00CD2144"/>
    <w:rsid w:val="00CD2C3A"/>
    <w:rsid w:val="00CD41D4"/>
    <w:rsid w:val="00CD7ECD"/>
    <w:rsid w:val="00CE008C"/>
    <w:rsid w:val="00CE03D1"/>
    <w:rsid w:val="00CE1150"/>
    <w:rsid w:val="00CE15FB"/>
    <w:rsid w:val="00CE1C05"/>
    <w:rsid w:val="00CE2EBE"/>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313F6"/>
    <w:rsid w:val="00D32D20"/>
    <w:rsid w:val="00D335DB"/>
    <w:rsid w:val="00D34FBB"/>
    <w:rsid w:val="00D358CA"/>
    <w:rsid w:val="00D363F0"/>
    <w:rsid w:val="00D36688"/>
    <w:rsid w:val="00D41708"/>
    <w:rsid w:val="00D45A4A"/>
    <w:rsid w:val="00D539F5"/>
    <w:rsid w:val="00D56A8D"/>
    <w:rsid w:val="00D56CD0"/>
    <w:rsid w:val="00D63E18"/>
    <w:rsid w:val="00D66B44"/>
    <w:rsid w:val="00D71285"/>
    <w:rsid w:val="00D72F2B"/>
    <w:rsid w:val="00D74E37"/>
    <w:rsid w:val="00D802B9"/>
    <w:rsid w:val="00D83F77"/>
    <w:rsid w:val="00D8466F"/>
    <w:rsid w:val="00D85CA8"/>
    <w:rsid w:val="00D85CEF"/>
    <w:rsid w:val="00D8643E"/>
    <w:rsid w:val="00D87CD4"/>
    <w:rsid w:val="00D9096F"/>
    <w:rsid w:val="00D92A4E"/>
    <w:rsid w:val="00D937E4"/>
    <w:rsid w:val="00D957C4"/>
    <w:rsid w:val="00D9631B"/>
    <w:rsid w:val="00D96F68"/>
    <w:rsid w:val="00D97B58"/>
    <w:rsid w:val="00D97E23"/>
    <w:rsid w:val="00DA0E89"/>
    <w:rsid w:val="00DA2AF7"/>
    <w:rsid w:val="00DA36A2"/>
    <w:rsid w:val="00DA75E5"/>
    <w:rsid w:val="00DB0815"/>
    <w:rsid w:val="00DB34D5"/>
    <w:rsid w:val="00DB46A0"/>
    <w:rsid w:val="00DB793D"/>
    <w:rsid w:val="00DC048C"/>
    <w:rsid w:val="00DC1283"/>
    <w:rsid w:val="00DC21CC"/>
    <w:rsid w:val="00DC2B06"/>
    <w:rsid w:val="00DC3B82"/>
    <w:rsid w:val="00DC5F4E"/>
    <w:rsid w:val="00DC61B7"/>
    <w:rsid w:val="00DD0B6D"/>
    <w:rsid w:val="00DD0EBB"/>
    <w:rsid w:val="00DD1B2E"/>
    <w:rsid w:val="00DD2380"/>
    <w:rsid w:val="00DD6516"/>
    <w:rsid w:val="00DE1E95"/>
    <w:rsid w:val="00DE4DDD"/>
    <w:rsid w:val="00DE6BB0"/>
    <w:rsid w:val="00DF297C"/>
    <w:rsid w:val="00E018A3"/>
    <w:rsid w:val="00E03354"/>
    <w:rsid w:val="00E033BD"/>
    <w:rsid w:val="00E044AB"/>
    <w:rsid w:val="00E057B7"/>
    <w:rsid w:val="00E06327"/>
    <w:rsid w:val="00E10DDA"/>
    <w:rsid w:val="00E14EBC"/>
    <w:rsid w:val="00E156CF"/>
    <w:rsid w:val="00E21396"/>
    <w:rsid w:val="00E2249A"/>
    <w:rsid w:val="00E236F5"/>
    <w:rsid w:val="00E31D6F"/>
    <w:rsid w:val="00E374BF"/>
    <w:rsid w:val="00E37F64"/>
    <w:rsid w:val="00E41A0E"/>
    <w:rsid w:val="00E43AD9"/>
    <w:rsid w:val="00E4506A"/>
    <w:rsid w:val="00E52A58"/>
    <w:rsid w:val="00E5317A"/>
    <w:rsid w:val="00E545F5"/>
    <w:rsid w:val="00E56678"/>
    <w:rsid w:val="00E61064"/>
    <w:rsid w:val="00E63FCC"/>
    <w:rsid w:val="00E65FF0"/>
    <w:rsid w:val="00E673A2"/>
    <w:rsid w:val="00E705EF"/>
    <w:rsid w:val="00E70607"/>
    <w:rsid w:val="00E70734"/>
    <w:rsid w:val="00E73D1C"/>
    <w:rsid w:val="00E74CA6"/>
    <w:rsid w:val="00E75DF9"/>
    <w:rsid w:val="00E75F5E"/>
    <w:rsid w:val="00E80D4B"/>
    <w:rsid w:val="00E8670A"/>
    <w:rsid w:val="00E87F61"/>
    <w:rsid w:val="00E90C26"/>
    <w:rsid w:val="00E91409"/>
    <w:rsid w:val="00E93B04"/>
    <w:rsid w:val="00E96316"/>
    <w:rsid w:val="00E9660E"/>
    <w:rsid w:val="00EA100B"/>
    <w:rsid w:val="00EA35C9"/>
    <w:rsid w:val="00EA546E"/>
    <w:rsid w:val="00EB12B5"/>
    <w:rsid w:val="00EB2CC9"/>
    <w:rsid w:val="00EB368D"/>
    <w:rsid w:val="00EB560F"/>
    <w:rsid w:val="00EB5AE5"/>
    <w:rsid w:val="00EB6E29"/>
    <w:rsid w:val="00EB7C04"/>
    <w:rsid w:val="00EC04CE"/>
    <w:rsid w:val="00EC68F7"/>
    <w:rsid w:val="00EC7DCB"/>
    <w:rsid w:val="00EC7F43"/>
    <w:rsid w:val="00ED2DE4"/>
    <w:rsid w:val="00ED4C9A"/>
    <w:rsid w:val="00ED5020"/>
    <w:rsid w:val="00ED6A8E"/>
    <w:rsid w:val="00EE0B70"/>
    <w:rsid w:val="00EE1B1B"/>
    <w:rsid w:val="00EE1E05"/>
    <w:rsid w:val="00EE2AE3"/>
    <w:rsid w:val="00EE5AB4"/>
    <w:rsid w:val="00EE602B"/>
    <w:rsid w:val="00EE6D3D"/>
    <w:rsid w:val="00EF0E3B"/>
    <w:rsid w:val="00EF20E6"/>
    <w:rsid w:val="00EF24CD"/>
    <w:rsid w:val="00EF2EF0"/>
    <w:rsid w:val="00EF3C80"/>
    <w:rsid w:val="00EF4831"/>
    <w:rsid w:val="00EF51F1"/>
    <w:rsid w:val="00F01D9E"/>
    <w:rsid w:val="00F02CF5"/>
    <w:rsid w:val="00F05830"/>
    <w:rsid w:val="00F058DF"/>
    <w:rsid w:val="00F0724C"/>
    <w:rsid w:val="00F13619"/>
    <w:rsid w:val="00F15078"/>
    <w:rsid w:val="00F16B65"/>
    <w:rsid w:val="00F20E2F"/>
    <w:rsid w:val="00F22B9A"/>
    <w:rsid w:val="00F2447A"/>
    <w:rsid w:val="00F247F5"/>
    <w:rsid w:val="00F25AF6"/>
    <w:rsid w:val="00F263AA"/>
    <w:rsid w:val="00F26B1A"/>
    <w:rsid w:val="00F27ABA"/>
    <w:rsid w:val="00F30D33"/>
    <w:rsid w:val="00F377F2"/>
    <w:rsid w:val="00F40B8A"/>
    <w:rsid w:val="00F40ED2"/>
    <w:rsid w:val="00F41D10"/>
    <w:rsid w:val="00F42DBE"/>
    <w:rsid w:val="00F44815"/>
    <w:rsid w:val="00F451FA"/>
    <w:rsid w:val="00F46671"/>
    <w:rsid w:val="00F4696A"/>
    <w:rsid w:val="00F47D6D"/>
    <w:rsid w:val="00F55AB8"/>
    <w:rsid w:val="00F55B65"/>
    <w:rsid w:val="00F56DD2"/>
    <w:rsid w:val="00F56E2E"/>
    <w:rsid w:val="00F57E60"/>
    <w:rsid w:val="00F613A2"/>
    <w:rsid w:val="00F62128"/>
    <w:rsid w:val="00F62D83"/>
    <w:rsid w:val="00F63379"/>
    <w:rsid w:val="00F71322"/>
    <w:rsid w:val="00F72A6B"/>
    <w:rsid w:val="00F74B0A"/>
    <w:rsid w:val="00F80648"/>
    <w:rsid w:val="00F80802"/>
    <w:rsid w:val="00F813FD"/>
    <w:rsid w:val="00F848CE"/>
    <w:rsid w:val="00F86A12"/>
    <w:rsid w:val="00F873FF"/>
    <w:rsid w:val="00F948A9"/>
    <w:rsid w:val="00F956F7"/>
    <w:rsid w:val="00F95AF4"/>
    <w:rsid w:val="00F95BEC"/>
    <w:rsid w:val="00FA111F"/>
    <w:rsid w:val="00FA11AD"/>
    <w:rsid w:val="00FA1B86"/>
    <w:rsid w:val="00FA5610"/>
    <w:rsid w:val="00FA5CC4"/>
    <w:rsid w:val="00FB0EB0"/>
    <w:rsid w:val="00FB28F2"/>
    <w:rsid w:val="00FB5154"/>
    <w:rsid w:val="00FC0E76"/>
    <w:rsid w:val="00FC221C"/>
    <w:rsid w:val="00FC292D"/>
    <w:rsid w:val="00FC453C"/>
    <w:rsid w:val="00FC57A4"/>
    <w:rsid w:val="00FD0DFA"/>
    <w:rsid w:val="00FD1C3A"/>
    <w:rsid w:val="00FD1DF0"/>
    <w:rsid w:val="00FD20F6"/>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7C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87C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87CD4"/>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D87CD4"/>
    <w:pPr>
      <w:spacing w:before="120"/>
      <w:outlineLvl w:val="2"/>
    </w:pPr>
    <w:rPr>
      <w:sz w:val="28"/>
    </w:rPr>
  </w:style>
  <w:style w:type="paragraph" w:styleId="Heading4">
    <w:name w:val="heading 4"/>
    <w:aliases w:val="h4"/>
    <w:basedOn w:val="Heading3"/>
    <w:next w:val="Normal"/>
    <w:qFormat/>
    <w:rsid w:val="00D87CD4"/>
    <w:pPr>
      <w:ind w:left="1418" w:hanging="1418"/>
      <w:outlineLvl w:val="3"/>
    </w:pPr>
    <w:rPr>
      <w:sz w:val="24"/>
    </w:rPr>
  </w:style>
  <w:style w:type="paragraph" w:styleId="Heading5">
    <w:name w:val="heading 5"/>
    <w:aliases w:val="h5"/>
    <w:basedOn w:val="Heading4"/>
    <w:next w:val="Normal"/>
    <w:qFormat/>
    <w:rsid w:val="00D87CD4"/>
    <w:pPr>
      <w:ind w:left="1701" w:hanging="1701"/>
      <w:outlineLvl w:val="4"/>
    </w:pPr>
    <w:rPr>
      <w:sz w:val="22"/>
    </w:rPr>
  </w:style>
  <w:style w:type="paragraph" w:styleId="Heading6">
    <w:name w:val="heading 6"/>
    <w:aliases w:val="h6"/>
    <w:basedOn w:val="H6"/>
    <w:next w:val="Normal"/>
    <w:qFormat/>
    <w:rsid w:val="00D87CD4"/>
    <w:pPr>
      <w:outlineLvl w:val="5"/>
    </w:pPr>
  </w:style>
  <w:style w:type="paragraph" w:styleId="Heading7">
    <w:name w:val="heading 7"/>
    <w:basedOn w:val="H6"/>
    <w:next w:val="Normal"/>
    <w:qFormat/>
    <w:rsid w:val="00D87CD4"/>
    <w:pPr>
      <w:outlineLvl w:val="6"/>
    </w:pPr>
  </w:style>
  <w:style w:type="paragraph" w:styleId="Heading8">
    <w:name w:val="heading 8"/>
    <w:basedOn w:val="Heading1"/>
    <w:next w:val="Normal"/>
    <w:qFormat/>
    <w:rsid w:val="00D87CD4"/>
    <w:pPr>
      <w:ind w:left="0" w:firstLine="0"/>
      <w:outlineLvl w:val="7"/>
    </w:pPr>
  </w:style>
  <w:style w:type="paragraph" w:styleId="Heading9">
    <w:name w:val="heading 9"/>
    <w:basedOn w:val="Heading8"/>
    <w:next w:val="Normal"/>
    <w:qFormat/>
    <w:rsid w:val="00D87C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D87C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87CD4"/>
    <w:pPr>
      <w:jc w:val="center"/>
    </w:pPr>
    <w:rPr>
      <w:i/>
    </w:rPr>
  </w:style>
  <w:style w:type="paragraph" w:styleId="CommentText">
    <w:name w:val="annotation text"/>
    <w:basedOn w:val="Normal"/>
    <w:link w:val="CommentTextChar"/>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D87CD4"/>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D87CD4"/>
    <w:pPr>
      <w:spacing w:before="180"/>
      <w:ind w:left="2693" w:hanging="2693"/>
    </w:pPr>
    <w:rPr>
      <w:b/>
    </w:rPr>
  </w:style>
  <w:style w:type="paragraph" w:styleId="TOC1">
    <w:name w:val="toc 1"/>
    <w:semiHidden/>
    <w:rsid w:val="00D87C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87C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87CD4"/>
    <w:pPr>
      <w:ind w:left="1701" w:hanging="1701"/>
    </w:pPr>
  </w:style>
  <w:style w:type="paragraph" w:styleId="TOC4">
    <w:name w:val="toc 4"/>
    <w:basedOn w:val="TOC3"/>
    <w:semiHidden/>
    <w:rsid w:val="00D87CD4"/>
    <w:pPr>
      <w:ind w:left="1418" w:hanging="1418"/>
    </w:pPr>
  </w:style>
  <w:style w:type="paragraph" w:styleId="TOC3">
    <w:name w:val="toc 3"/>
    <w:basedOn w:val="TOC2"/>
    <w:semiHidden/>
    <w:rsid w:val="00D87CD4"/>
    <w:pPr>
      <w:ind w:left="1134" w:hanging="1134"/>
    </w:pPr>
  </w:style>
  <w:style w:type="paragraph" w:styleId="TOC2">
    <w:name w:val="toc 2"/>
    <w:basedOn w:val="TOC1"/>
    <w:semiHidden/>
    <w:rsid w:val="00D87CD4"/>
    <w:pPr>
      <w:keepNext w:val="0"/>
      <w:spacing w:before="0"/>
      <w:ind w:left="851" w:hanging="851"/>
    </w:pPr>
    <w:rPr>
      <w:sz w:val="20"/>
    </w:rPr>
  </w:style>
  <w:style w:type="paragraph" w:styleId="Index2">
    <w:name w:val="index 2"/>
    <w:basedOn w:val="Index1"/>
    <w:semiHidden/>
    <w:rsid w:val="00D87CD4"/>
    <w:pPr>
      <w:ind w:left="284"/>
    </w:pPr>
  </w:style>
  <w:style w:type="paragraph" w:styleId="Index1">
    <w:name w:val="index 1"/>
    <w:basedOn w:val="Normal"/>
    <w:semiHidden/>
    <w:rsid w:val="00D87CD4"/>
    <w:pPr>
      <w:keepLines/>
      <w:spacing w:after="0"/>
    </w:pPr>
  </w:style>
  <w:style w:type="paragraph" w:customStyle="1" w:styleId="ZH">
    <w:name w:val="ZH"/>
    <w:rsid w:val="00D87C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87CD4"/>
    <w:pPr>
      <w:outlineLvl w:val="9"/>
    </w:pPr>
  </w:style>
  <w:style w:type="paragraph" w:styleId="ListNumber2">
    <w:name w:val="List Number 2"/>
    <w:basedOn w:val="ListNumber"/>
    <w:semiHidden/>
    <w:rsid w:val="00D87CD4"/>
    <w:pPr>
      <w:ind w:left="851"/>
    </w:pPr>
  </w:style>
  <w:style w:type="character" w:styleId="FootnoteReference">
    <w:name w:val="footnote reference"/>
    <w:basedOn w:val="DefaultParagraphFont"/>
    <w:semiHidden/>
    <w:rsid w:val="00D87CD4"/>
    <w:rPr>
      <w:b/>
      <w:position w:val="6"/>
      <w:sz w:val="16"/>
    </w:rPr>
  </w:style>
  <w:style w:type="paragraph" w:styleId="FootnoteText">
    <w:name w:val="footnote text"/>
    <w:basedOn w:val="Normal"/>
    <w:link w:val="FootnoteTextChar"/>
    <w:semiHidden/>
    <w:rsid w:val="00D87CD4"/>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D87CD4"/>
    <w:rPr>
      <w:b/>
    </w:rPr>
  </w:style>
  <w:style w:type="paragraph" w:customStyle="1" w:styleId="TAC">
    <w:name w:val="TAC"/>
    <w:basedOn w:val="TAL"/>
    <w:link w:val="TACChar"/>
    <w:rsid w:val="00D87CD4"/>
    <w:pPr>
      <w:jc w:val="center"/>
    </w:pPr>
  </w:style>
  <w:style w:type="paragraph" w:customStyle="1" w:styleId="TF">
    <w:name w:val="TF"/>
    <w:aliases w:val="left"/>
    <w:basedOn w:val="TH"/>
    <w:link w:val="TFZchn"/>
    <w:rsid w:val="00D87CD4"/>
    <w:pPr>
      <w:keepNext w:val="0"/>
      <w:spacing w:before="0" w:after="240"/>
    </w:pPr>
  </w:style>
  <w:style w:type="paragraph" w:customStyle="1" w:styleId="NO">
    <w:name w:val="NO"/>
    <w:basedOn w:val="Normal"/>
    <w:link w:val="NOZchn"/>
    <w:rsid w:val="00D87CD4"/>
    <w:pPr>
      <w:keepLines/>
      <w:ind w:left="1135" w:hanging="851"/>
    </w:pPr>
  </w:style>
  <w:style w:type="paragraph" w:styleId="TOC9">
    <w:name w:val="toc 9"/>
    <w:basedOn w:val="TOC8"/>
    <w:semiHidden/>
    <w:rsid w:val="00D87CD4"/>
    <w:pPr>
      <w:ind w:left="1418" w:hanging="1418"/>
    </w:pPr>
  </w:style>
  <w:style w:type="paragraph" w:customStyle="1" w:styleId="EX">
    <w:name w:val="EX"/>
    <w:basedOn w:val="Normal"/>
    <w:rsid w:val="00D87CD4"/>
    <w:pPr>
      <w:keepLines/>
      <w:ind w:left="1702" w:hanging="1418"/>
    </w:pPr>
  </w:style>
  <w:style w:type="paragraph" w:customStyle="1" w:styleId="FP">
    <w:name w:val="FP"/>
    <w:basedOn w:val="Normal"/>
    <w:rsid w:val="00D87CD4"/>
    <w:pPr>
      <w:spacing w:after="0"/>
    </w:pPr>
  </w:style>
  <w:style w:type="paragraph" w:customStyle="1" w:styleId="LD">
    <w:name w:val="LD"/>
    <w:rsid w:val="00D87C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87CD4"/>
    <w:pPr>
      <w:spacing w:after="0"/>
    </w:pPr>
  </w:style>
  <w:style w:type="paragraph" w:customStyle="1" w:styleId="EW">
    <w:name w:val="EW"/>
    <w:basedOn w:val="EX"/>
    <w:rsid w:val="00D87CD4"/>
    <w:pPr>
      <w:spacing w:after="0"/>
    </w:pPr>
  </w:style>
  <w:style w:type="paragraph" w:styleId="TOC6">
    <w:name w:val="toc 6"/>
    <w:basedOn w:val="TOC5"/>
    <w:next w:val="Normal"/>
    <w:semiHidden/>
    <w:rsid w:val="00D87CD4"/>
    <w:pPr>
      <w:ind w:left="1985" w:hanging="1985"/>
    </w:pPr>
  </w:style>
  <w:style w:type="paragraph" w:styleId="TOC7">
    <w:name w:val="toc 7"/>
    <w:basedOn w:val="TOC6"/>
    <w:next w:val="Normal"/>
    <w:semiHidden/>
    <w:rsid w:val="00D87CD4"/>
    <w:pPr>
      <w:ind w:left="2268" w:hanging="2268"/>
    </w:pPr>
  </w:style>
  <w:style w:type="paragraph" w:styleId="ListBullet2">
    <w:name w:val="List Bullet 2"/>
    <w:basedOn w:val="ListBullet"/>
    <w:semiHidden/>
    <w:rsid w:val="00D87CD4"/>
    <w:pPr>
      <w:ind w:left="851"/>
    </w:pPr>
  </w:style>
  <w:style w:type="paragraph" w:styleId="ListBullet3">
    <w:name w:val="List Bullet 3"/>
    <w:basedOn w:val="ListBullet2"/>
    <w:semiHidden/>
    <w:rsid w:val="00D87CD4"/>
    <w:pPr>
      <w:ind w:left="1135"/>
    </w:pPr>
  </w:style>
  <w:style w:type="paragraph" w:styleId="ListNumber">
    <w:name w:val="List Number"/>
    <w:basedOn w:val="List"/>
    <w:semiHidden/>
    <w:rsid w:val="00D87CD4"/>
  </w:style>
  <w:style w:type="paragraph" w:customStyle="1" w:styleId="EQ">
    <w:name w:val="EQ"/>
    <w:basedOn w:val="Normal"/>
    <w:next w:val="Normal"/>
    <w:rsid w:val="00D87CD4"/>
    <w:pPr>
      <w:keepLines/>
      <w:tabs>
        <w:tab w:val="center" w:pos="4536"/>
        <w:tab w:val="right" w:pos="9072"/>
      </w:tabs>
    </w:pPr>
    <w:rPr>
      <w:noProof/>
    </w:rPr>
  </w:style>
  <w:style w:type="paragraph" w:customStyle="1" w:styleId="TH">
    <w:name w:val="TH"/>
    <w:basedOn w:val="Normal"/>
    <w:link w:val="THChar"/>
    <w:rsid w:val="00D87CD4"/>
    <w:pPr>
      <w:keepNext/>
      <w:keepLines/>
      <w:spacing w:before="60"/>
      <w:jc w:val="center"/>
    </w:pPr>
    <w:rPr>
      <w:rFonts w:ascii="Arial" w:hAnsi="Arial"/>
      <w:b/>
    </w:rPr>
  </w:style>
  <w:style w:type="paragraph" w:customStyle="1" w:styleId="NF">
    <w:name w:val="NF"/>
    <w:basedOn w:val="NO"/>
    <w:rsid w:val="00D87CD4"/>
    <w:pPr>
      <w:keepNext/>
      <w:spacing w:after="0"/>
    </w:pPr>
    <w:rPr>
      <w:rFonts w:ascii="Arial" w:hAnsi="Arial"/>
      <w:sz w:val="18"/>
    </w:rPr>
  </w:style>
  <w:style w:type="paragraph" w:customStyle="1" w:styleId="PL">
    <w:name w:val="PL"/>
    <w:link w:val="PLChar"/>
    <w:rsid w:val="00D87C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CD4"/>
    <w:pPr>
      <w:jc w:val="right"/>
    </w:pPr>
  </w:style>
  <w:style w:type="paragraph" w:customStyle="1" w:styleId="H6">
    <w:name w:val="H6"/>
    <w:basedOn w:val="Heading5"/>
    <w:next w:val="Normal"/>
    <w:rsid w:val="00D87CD4"/>
    <w:pPr>
      <w:ind w:left="1985" w:hanging="1985"/>
      <w:outlineLvl w:val="9"/>
    </w:pPr>
    <w:rPr>
      <w:sz w:val="20"/>
    </w:rPr>
  </w:style>
  <w:style w:type="paragraph" w:customStyle="1" w:styleId="TAN">
    <w:name w:val="TAN"/>
    <w:basedOn w:val="TAL"/>
    <w:rsid w:val="00D87CD4"/>
    <w:pPr>
      <w:ind w:left="851" w:hanging="851"/>
    </w:pPr>
  </w:style>
  <w:style w:type="paragraph" w:customStyle="1" w:styleId="TAL">
    <w:name w:val="TAL"/>
    <w:basedOn w:val="Normal"/>
    <w:link w:val="TALChar"/>
    <w:rsid w:val="00D87CD4"/>
    <w:pPr>
      <w:keepNext/>
      <w:keepLines/>
      <w:spacing w:after="0"/>
    </w:pPr>
    <w:rPr>
      <w:rFonts w:ascii="Arial" w:hAnsi="Arial"/>
      <w:sz w:val="18"/>
    </w:rPr>
  </w:style>
  <w:style w:type="paragraph" w:customStyle="1" w:styleId="ZA">
    <w:name w:val="ZA"/>
    <w:rsid w:val="00D87C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C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87C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87C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87CD4"/>
    <w:pPr>
      <w:framePr w:wrap="notBeside" w:y="16161"/>
    </w:pPr>
  </w:style>
  <w:style w:type="character" w:customStyle="1" w:styleId="ZGSM">
    <w:name w:val="ZGSM"/>
    <w:rsid w:val="00D87CD4"/>
  </w:style>
  <w:style w:type="paragraph" w:styleId="List2">
    <w:name w:val="List 2"/>
    <w:basedOn w:val="List"/>
    <w:semiHidden/>
    <w:rsid w:val="00D87CD4"/>
    <w:pPr>
      <w:ind w:left="851"/>
    </w:pPr>
  </w:style>
  <w:style w:type="paragraph" w:customStyle="1" w:styleId="ZG">
    <w:name w:val="ZG"/>
    <w:rsid w:val="00D87C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87CD4"/>
    <w:pPr>
      <w:ind w:left="1135"/>
    </w:pPr>
  </w:style>
  <w:style w:type="paragraph" w:styleId="List4">
    <w:name w:val="List 4"/>
    <w:basedOn w:val="List3"/>
    <w:semiHidden/>
    <w:rsid w:val="00D87CD4"/>
    <w:pPr>
      <w:ind w:left="1418"/>
    </w:pPr>
  </w:style>
  <w:style w:type="paragraph" w:styleId="List5">
    <w:name w:val="List 5"/>
    <w:basedOn w:val="List4"/>
    <w:semiHidden/>
    <w:rsid w:val="00D87CD4"/>
    <w:pPr>
      <w:ind w:left="1702"/>
    </w:pPr>
  </w:style>
  <w:style w:type="paragraph" w:customStyle="1" w:styleId="EditorsNote">
    <w:name w:val="Editor's Note"/>
    <w:aliases w:val="EN"/>
    <w:basedOn w:val="NO"/>
    <w:link w:val="EditorsNoteChar"/>
    <w:rsid w:val="00D87CD4"/>
    <w:rPr>
      <w:color w:val="FF0000"/>
    </w:rPr>
  </w:style>
  <w:style w:type="paragraph" w:styleId="List">
    <w:name w:val="List"/>
    <w:basedOn w:val="Normal"/>
    <w:semiHidden/>
    <w:rsid w:val="00D87CD4"/>
    <w:pPr>
      <w:ind w:left="568" w:hanging="284"/>
    </w:pPr>
  </w:style>
  <w:style w:type="paragraph" w:styleId="ListBullet">
    <w:name w:val="List Bullet"/>
    <w:basedOn w:val="List"/>
    <w:semiHidden/>
    <w:rsid w:val="00D87CD4"/>
  </w:style>
  <w:style w:type="paragraph" w:styleId="ListBullet4">
    <w:name w:val="List Bullet 4"/>
    <w:basedOn w:val="ListBullet3"/>
    <w:semiHidden/>
    <w:rsid w:val="00D87CD4"/>
    <w:pPr>
      <w:ind w:left="1418"/>
    </w:pPr>
  </w:style>
  <w:style w:type="paragraph" w:styleId="ListBullet5">
    <w:name w:val="List Bullet 5"/>
    <w:basedOn w:val="ListBullet4"/>
    <w:semiHidden/>
    <w:rsid w:val="00D87CD4"/>
    <w:pPr>
      <w:ind w:left="1702"/>
    </w:pPr>
  </w:style>
  <w:style w:type="paragraph" w:customStyle="1" w:styleId="B2">
    <w:name w:val="B2"/>
    <w:basedOn w:val="List2"/>
    <w:rsid w:val="00D87CD4"/>
  </w:style>
  <w:style w:type="paragraph" w:customStyle="1" w:styleId="B3">
    <w:name w:val="B3"/>
    <w:basedOn w:val="List3"/>
    <w:rsid w:val="00D87CD4"/>
  </w:style>
  <w:style w:type="paragraph" w:customStyle="1" w:styleId="B4">
    <w:name w:val="B4"/>
    <w:basedOn w:val="List4"/>
    <w:rsid w:val="00D87CD4"/>
  </w:style>
  <w:style w:type="paragraph" w:customStyle="1" w:styleId="B5">
    <w:name w:val="B5"/>
    <w:basedOn w:val="List5"/>
    <w:rsid w:val="00D87CD4"/>
  </w:style>
  <w:style w:type="paragraph" w:customStyle="1" w:styleId="ZTD">
    <w:name w:val="ZTD"/>
    <w:basedOn w:val="ZB"/>
    <w:rsid w:val="00D87CD4"/>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1457</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9163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2018-05-22T10:28:00Z</cp:lastPrinted>
  <dcterms:created xsi:type="dcterms:W3CDTF">2019-03-29T19:35:00Z</dcterms:created>
  <dcterms:modified xsi:type="dcterms:W3CDTF">2019-03-29T19:36:00Z</dcterms:modified>
</cp:coreProperties>
</file>