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6A88E" w14:textId="622B18F0" w:rsidR="00BD2B2F" w:rsidRDefault="00BD2B2F" w:rsidP="00BD2B2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3GPP TSG-RAN WG3 #103</w:t>
      </w:r>
      <w:r>
        <w:rPr>
          <w:b/>
          <w:noProof/>
          <w:sz w:val="28"/>
        </w:rPr>
        <w:tab/>
        <w:t>R3-1900</w:t>
      </w:r>
      <w:r>
        <w:rPr>
          <w:b/>
          <w:noProof/>
          <w:sz w:val="28"/>
        </w:rPr>
        <w:t>10</w:t>
      </w:r>
      <w:bookmarkStart w:id="0" w:name="_GoBack"/>
      <w:bookmarkEnd w:id="0"/>
    </w:p>
    <w:p w14:paraId="62AD0EF9" w14:textId="77777777" w:rsidR="00BD2B2F" w:rsidRDefault="00BD2B2F" w:rsidP="00BD2B2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Athens, Greece, 25 February</w:t>
      </w:r>
      <w:r>
        <w:rPr>
          <w:b/>
          <w:noProof/>
          <w:sz w:val="28"/>
        </w:rPr>
        <w:t xml:space="preserve"> </w:t>
      </w:r>
      <w:r w:rsidRPr="0091238C">
        <w:rPr>
          <w:b/>
          <w:noProof/>
          <w:sz w:val="28"/>
        </w:rPr>
        <w:t>-</w:t>
      </w:r>
      <w:r>
        <w:rPr>
          <w:b/>
          <w:noProof/>
          <w:sz w:val="28"/>
        </w:rPr>
        <w:t xml:space="preserve"> 0</w:t>
      </w:r>
      <w:r w:rsidRPr="0091238C">
        <w:rPr>
          <w:b/>
          <w:noProof/>
          <w:sz w:val="28"/>
        </w:rPr>
        <w:t>1 March 2019</w:t>
      </w:r>
    </w:p>
    <w:p w14:paraId="242459EC" w14:textId="77777777" w:rsidR="00BD2B2F" w:rsidRDefault="00BD2B2F" w:rsidP="00BD2B2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219A890E" w14:textId="77777777" w:rsidR="00BD2B2F" w:rsidRDefault="00BD2B2F" w:rsidP="00BD2B2F"/>
    <w:p w14:paraId="17405177" w14:textId="1F12DEBC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</w:t>
      </w:r>
      <w:r w:rsidR="007E0B99" w:rsidRPr="007E0B99">
        <w:rPr>
          <w:rFonts w:ascii="Arial" w:hAnsi="Arial" w:cs="Arial"/>
          <w:b/>
          <w:bCs/>
          <w:sz w:val="22"/>
        </w:rPr>
        <w:t>Ad-Hoc Meeting 1901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B43F5" w:rsidRPr="00CB43F5">
        <w:rPr>
          <w:rFonts w:ascii="Arial" w:hAnsi="Arial" w:cs="Arial"/>
          <w:b/>
          <w:bCs/>
          <w:sz w:val="22"/>
        </w:rPr>
        <w:t>R1-19014</w:t>
      </w:r>
      <w:r w:rsidR="0039449A">
        <w:rPr>
          <w:rFonts w:ascii="Arial" w:hAnsi="Arial" w:cs="Arial"/>
          <w:b/>
          <w:bCs/>
          <w:sz w:val="22"/>
        </w:rPr>
        <w:t>70</w:t>
      </w:r>
    </w:p>
    <w:p w14:paraId="2AE9C4D9" w14:textId="7F55E3CB" w:rsidR="0063729D" w:rsidRDefault="00A32955" w:rsidP="0063729D">
      <w:pPr>
        <w:rPr>
          <w:rFonts w:ascii="Arial" w:hAnsi="Arial" w:cs="Arial"/>
          <w:b/>
          <w:bCs/>
          <w:sz w:val="22"/>
        </w:rPr>
      </w:pPr>
      <w:r w:rsidRPr="00A32955">
        <w:rPr>
          <w:rFonts w:ascii="Arial" w:hAnsi="Arial" w:cs="Arial"/>
          <w:b/>
          <w:bCs/>
          <w:sz w:val="22"/>
        </w:rPr>
        <w:t>Taipei, Taiwan, January 21-25, 2019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17A9D74A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11ED8">
        <w:rPr>
          <w:rFonts w:ascii="Arial" w:hAnsi="Arial" w:cs="Arial"/>
        </w:rPr>
        <w:t>Reply</w:t>
      </w:r>
      <w:r w:rsidRPr="0063729D">
        <w:rPr>
          <w:rFonts w:ascii="Arial" w:hAnsi="Arial" w:cs="Arial"/>
        </w:rPr>
        <w:t xml:space="preserve"> </w:t>
      </w:r>
      <w:r w:rsidR="00FD3DCB" w:rsidRPr="00FD3DCB">
        <w:rPr>
          <w:rFonts w:ascii="Arial" w:hAnsi="Arial" w:cs="Arial"/>
        </w:rPr>
        <w:t xml:space="preserve">LS on </w:t>
      </w:r>
      <w:r w:rsidR="000952EF" w:rsidRPr="000952EF">
        <w:rPr>
          <w:rFonts w:ascii="Arial" w:hAnsi="Arial" w:cs="Arial"/>
        </w:rPr>
        <w:t>TSN requirements evaluation</w:t>
      </w:r>
    </w:p>
    <w:p w14:paraId="3828556D" w14:textId="7C6F5F79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0952EF" w:rsidRPr="000952EF">
        <w:rPr>
          <w:rFonts w:ascii="Arial" w:hAnsi="Arial" w:cs="Arial"/>
          <w:bCs/>
        </w:rPr>
        <w:t>R1-1812110 (R2-1816043)</w:t>
      </w:r>
      <w:r w:rsidR="00311ED8">
        <w:rPr>
          <w:rFonts w:ascii="Arial" w:hAnsi="Arial" w:cs="Arial"/>
          <w:bCs/>
        </w:rPr>
        <w:t xml:space="preserve"> </w:t>
      </w:r>
      <w:r w:rsidR="00FD3DCB">
        <w:rPr>
          <w:rFonts w:ascii="Arial" w:hAnsi="Arial" w:cs="Arial"/>
          <w:bCs/>
        </w:rPr>
        <w:t xml:space="preserve">LS on </w:t>
      </w:r>
      <w:r w:rsidR="000952EF" w:rsidRPr="000952EF">
        <w:rPr>
          <w:rFonts w:ascii="Arial" w:hAnsi="Arial" w:cs="Arial"/>
          <w:bCs/>
        </w:rPr>
        <w:t>TSN requirements evaluation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630FD923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32FC206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9449A">
        <w:rPr>
          <w:rFonts w:ascii="Arial" w:hAnsi="Arial" w:cs="Arial"/>
          <w:bCs/>
        </w:rPr>
        <w:t>RAN1</w:t>
      </w:r>
    </w:p>
    <w:p w14:paraId="6364ADEB" w14:textId="6BF62BD6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2870F42D" w14:textId="71EE279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96F80">
        <w:rPr>
          <w:rFonts w:ascii="Arial" w:hAnsi="Arial" w:cs="Arial"/>
          <w:bCs/>
          <w:lang w:val="sv-SE"/>
        </w:rPr>
        <w:t>RAN</w:t>
      </w:r>
      <w:r w:rsidR="00F06FDF">
        <w:rPr>
          <w:rFonts w:ascii="Arial" w:hAnsi="Arial" w:cs="Arial"/>
          <w:bCs/>
          <w:lang w:val="sv-SE"/>
        </w:rPr>
        <w:t>3</w:t>
      </w:r>
      <w:r w:rsidR="0087011D">
        <w:rPr>
          <w:rFonts w:ascii="Arial" w:hAnsi="Arial" w:cs="Arial"/>
          <w:bCs/>
          <w:lang w:val="sv-SE"/>
        </w:rPr>
        <w:t xml:space="preserve">, </w:t>
      </w:r>
      <w:r w:rsidR="00000F52" w:rsidRPr="00000F52">
        <w:rPr>
          <w:rFonts w:ascii="Arial" w:hAnsi="Arial" w:cs="Arial"/>
          <w:bCs/>
          <w:lang w:val="sv-SE"/>
        </w:rPr>
        <w:t>SA1, SA2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51639D1D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 Hugl</w:t>
      </w:r>
    </w:p>
    <w:p w14:paraId="760F22DB" w14:textId="5030FC72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klaus.hugl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AB877A" w14:textId="6D307CA1" w:rsidR="004469A1" w:rsidRDefault="00896F80" w:rsidP="0017014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thank </w:t>
      </w:r>
      <w:r w:rsidR="00844E82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 xml:space="preserve"> on the</w:t>
      </w:r>
      <w:r w:rsidR="0063729D">
        <w:rPr>
          <w:rFonts w:ascii="Arial" w:hAnsi="Arial" w:cs="Arial"/>
          <w:lang w:val="en-US"/>
        </w:rPr>
        <w:t xml:space="preserve"> LS </w:t>
      </w:r>
      <w:r w:rsidR="00844E82" w:rsidRPr="000952EF">
        <w:rPr>
          <w:rFonts w:ascii="Arial" w:hAnsi="Arial" w:cs="Arial"/>
          <w:bCs/>
        </w:rPr>
        <w:t>TSN requirements evaluation</w:t>
      </w:r>
      <w:r w:rsidR="0063729D">
        <w:rPr>
          <w:rFonts w:ascii="Arial" w:hAnsi="Arial" w:cs="Arial"/>
          <w:lang w:val="en-US"/>
        </w:rPr>
        <w:t xml:space="preserve">. RAN1 </w:t>
      </w:r>
      <w:r w:rsidR="00AA2A82">
        <w:rPr>
          <w:rFonts w:ascii="Arial" w:hAnsi="Arial" w:cs="Arial"/>
          <w:lang w:val="en-US"/>
        </w:rPr>
        <w:t xml:space="preserve">has </w:t>
      </w:r>
      <w:r w:rsidR="0063729D">
        <w:rPr>
          <w:rFonts w:ascii="Arial" w:hAnsi="Arial" w:cs="Arial"/>
          <w:lang w:val="en-US"/>
        </w:rPr>
        <w:t xml:space="preserve">discussed the </w:t>
      </w:r>
      <w:r w:rsidR="004469A1">
        <w:rPr>
          <w:rFonts w:ascii="Arial" w:hAnsi="Arial" w:cs="Arial"/>
          <w:lang w:val="en-US"/>
        </w:rPr>
        <w:t xml:space="preserve">following </w:t>
      </w:r>
      <w:r w:rsidR="00844E82">
        <w:rPr>
          <w:rFonts w:ascii="Arial" w:hAnsi="Arial" w:cs="Arial"/>
          <w:lang w:val="en-US"/>
        </w:rPr>
        <w:t>request from RAN2</w:t>
      </w:r>
      <w:r w:rsidR="004469A1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97"/>
      </w:tblGrid>
      <w:tr w:rsidR="004469A1" w14:paraId="7D1E164F" w14:textId="77777777" w:rsidTr="00ED4F43">
        <w:tc>
          <w:tcPr>
            <w:tcW w:w="9297" w:type="dxa"/>
          </w:tcPr>
          <w:p w14:paraId="08CCC507" w14:textId="77777777" w:rsidR="00844E82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  <w:i/>
              </w:rPr>
            </w:pPr>
            <w:r w:rsidRPr="00844E82">
              <w:rPr>
                <w:rFonts w:ascii="Arial" w:hAnsi="Arial" w:cs="Arial"/>
                <w:i/>
              </w:rPr>
              <w:t>provide feedback on whether 0.5 ms latency target can be achieved using current NR specification and/or enhancements considered as part of L1 URLLC enhancements SI</w:t>
            </w:r>
            <w:r w:rsidRPr="00844E82">
              <w:rPr>
                <w:rFonts w:ascii="Arial" w:hAnsi="Arial" w:cs="Arial"/>
                <w:i/>
                <w:lang w:val="en-US"/>
              </w:rPr>
              <w:t>.</w:t>
            </w:r>
          </w:p>
          <w:p w14:paraId="098637FA" w14:textId="64CD1CF7" w:rsidR="004469A1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</w:rPr>
            </w:pPr>
            <w:r w:rsidRPr="00844E82">
              <w:rPr>
                <w:rFonts w:ascii="Arial" w:hAnsi="Arial" w:cs="Arial"/>
                <w:i/>
                <w:lang w:val="en-US"/>
              </w:rPr>
              <w:t>provide feedback on what the achievable time synchronization accuracy over Uu interface, considering the synchronicity requirements of TSN networks as mentioned in TR 22.804</w:t>
            </w:r>
          </w:p>
        </w:tc>
      </w:tr>
    </w:tbl>
    <w:p w14:paraId="251A4C2D" w14:textId="77777777" w:rsidR="004741A4" w:rsidRDefault="004741A4" w:rsidP="00170145">
      <w:pPr>
        <w:pStyle w:val="Header"/>
        <w:spacing w:after="120"/>
        <w:rPr>
          <w:rFonts w:ascii="Arial" w:hAnsi="Arial" w:cs="Arial"/>
          <w:lang w:val="en-US"/>
        </w:rPr>
      </w:pPr>
    </w:p>
    <w:p w14:paraId="500AABB7" w14:textId="77777777" w:rsidR="00844197" w:rsidRDefault="0058571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performed some latency and reliability analysis for the </w:t>
      </w:r>
      <w:r w:rsidR="00DE2599">
        <w:rPr>
          <w:rFonts w:ascii="Arial" w:hAnsi="Arial" w:cs="Arial"/>
        </w:rPr>
        <w:t>use case I provided in the LS</w:t>
      </w:r>
      <w:r w:rsidR="00DD5352">
        <w:rPr>
          <w:rFonts w:ascii="Arial" w:hAnsi="Arial" w:cs="Arial"/>
        </w:rPr>
        <w:t xml:space="preserve">. </w:t>
      </w:r>
    </w:p>
    <w:p w14:paraId="671589D7" w14:textId="38B15CE8" w:rsidR="00344463" w:rsidRPr="00844197" w:rsidRDefault="00966DF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0.5 ms latency target </w:t>
      </w:r>
      <w:r w:rsidR="00344463">
        <w:rPr>
          <w:rFonts w:ascii="Arial" w:hAnsi="Arial" w:cs="Arial"/>
        </w:rPr>
        <w:t xml:space="preserve">analysis lead to the following RAN1 </w:t>
      </w:r>
      <w:r w:rsidR="00344463" w:rsidRPr="00844197">
        <w:rPr>
          <w:rFonts w:ascii="Arial" w:hAnsi="Arial" w:cs="Arial"/>
        </w:rPr>
        <w:t>conclusion</w:t>
      </w:r>
      <w:r w:rsidR="00844197">
        <w:rPr>
          <w:rFonts w:ascii="Arial" w:hAnsi="Arial" w:cs="Arial"/>
        </w:rPr>
        <w:t>s</w:t>
      </w:r>
      <w:r w:rsidR="00344463" w:rsidRPr="00844197">
        <w:rPr>
          <w:rFonts w:ascii="Arial" w:hAnsi="Arial" w:cs="Arial"/>
        </w:rPr>
        <w:t>:</w:t>
      </w:r>
    </w:p>
    <w:p w14:paraId="1E6F2F50" w14:textId="77777777" w:rsidR="00344463" w:rsidRPr="00844197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 xml:space="preserve">For 15 kHz SCS, the </w:t>
      </w:r>
      <w:r w:rsidRPr="00844197">
        <w:rPr>
          <w:rFonts w:ascii="Arial" w:hAnsi="Arial" w:cs="Arial"/>
          <w:bCs/>
          <w:lang w:eastAsia="zh-CN"/>
        </w:rPr>
        <w:t xml:space="preserve">0.5ms one-way latency target cannot be achieved </w:t>
      </w:r>
      <w:r w:rsidRPr="00844197">
        <w:rPr>
          <w:rFonts w:ascii="Arial" w:hAnsi="Arial" w:cs="Arial"/>
          <w:lang w:eastAsia="zh-CN"/>
        </w:rPr>
        <w:t>with Rel-15 NR</w:t>
      </w:r>
      <w:r w:rsidRPr="00844197">
        <w:rPr>
          <w:rFonts w:ascii="Arial" w:hAnsi="Arial" w:cs="Arial"/>
          <w:bCs/>
          <w:lang w:eastAsia="zh-CN"/>
        </w:rPr>
        <w:t>.</w:t>
      </w:r>
    </w:p>
    <w:p w14:paraId="51BD227D" w14:textId="77777777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>For FDD, the 0.5ms one-way latency target can be achieved for both DL and UL for 30kHz</w:t>
      </w:r>
      <w:r w:rsidRPr="00344463">
        <w:rPr>
          <w:rFonts w:ascii="Arial" w:hAnsi="Arial" w:cs="Arial"/>
          <w:lang w:eastAsia="zh-CN"/>
        </w:rPr>
        <w:t xml:space="preserve"> (and higher) SCS with Rel-15 NR for single shot transmission.</w:t>
      </w:r>
    </w:p>
    <w:p w14:paraId="5F51E9C4" w14:textId="13AC3D6C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>For TDD:</w:t>
      </w:r>
    </w:p>
    <w:p w14:paraId="3AC47553" w14:textId="783E1269" w:rsidR="00344463" w:rsidRDefault="00344463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 xml:space="preserve">For 30kHz SCS, </w:t>
      </w:r>
      <w:r w:rsidR="001D3A60">
        <w:rPr>
          <w:rFonts w:ascii="Arial" w:hAnsi="Arial" w:cs="Arial"/>
          <w:lang w:eastAsia="zh-CN"/>
        </w:rPr>
        <w:t xml:space="preserve">some analysis shows </w:t>
      </w:r>
      <w:r w:rsidRPr="00344463">
        <w:rPr>
          <w:rFonts w:ascii="Arial" w:hAnsi="Arial" w:cs="Arial"/>
          <w:lang w:eastAsia="zh-CN"/>
        </w:rPr>
        <w:t xml:space="preserve">the 0.5ms one-way latency target can be achieved with the respectively assumed UL/DL configuration, whereas </w:t>
      </w:r>
      <w:r w:rsidR="001D3A60">
        <w:rPr>
          <w:rFonts w:ascii="Arial" w:hAnsi="Arial" w:cs="Arial"/>
          <w:lang w:eastAsia="zh-CN"/>
        </w:rPr>
        <w:t xml:space="preserve">other analysis </w:t>
      </w:r>
      <w:r w:rsidRPr="00344463">
        <w:rPr>
          <w:rFonts w:ascii="Arial" w:hAnsi="Arial" w:cs="Arial"/>
          <w:lang w:eastAsia="zh-CN"/>
        </w:rPr>
        <w:t xml:space="preserve">indicates that it cannot be achieved with Rel-15 NR for the </w:t>
      </w:r>
      <w:r w:rsidR="001D3A60">
        <w:rPr>
          <w:rFonts w:ascii="Arial" w:hAnsi="Arial" w:cs="Arial"/>
          <w:lang w:eastAsia="zh-CN"/>
        </w:rPr>
        <w:t xml:space="preserve">respectively </w:t>
      </w:r>
      <w:r w:rsidRPr="00344463">
        <w:rPr>
          <w:rFonts w:ascii="Arial" w:hAnsi="Arial" w:cs="Arial"/>
          <w:lang w:eastAsia="zh-CN"/>
        </w:rPr>
        <w:t xml:space="preserve">assumed UL/DL configuration. </w:t>
      </w:r>
    </w:p>
    <w:p w14:paraId="00553C9C" w14:textId="1C72E578" w:rsidR="001D3A60" w:rsidRDefault="001D3A60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 xml:space="preserve">For 60kHz (and higher) SCS, the 0.5ms one-way latency target can be achieved with the respectively assumed UL/DL configuration for both DL and UL with Rel-15 NR for single-shot transmission. </w:t>
      </w:r>
    </w:p>
    <w:p w14:paraId="7ED9ED8E" w14:textId="77777777" w:rsidR="00B176C8" w:rsidRPr="00671F83" w:rsidRDefault="00B176C8" w:rsidP="00B176C8">
      <w:pPr>
        <w:ind w:left="1434"/>
        <w:rPr>
          <w:rFonts w:ascii="Arial" w:hAnsi="Arial" w:cs="Arial"/>
          <w:lang w:eastAsia="zh-CN"/>
        </w:rPr>
      </w:pPr>
    </w:p>
    <w:p w14:paraId="483BF4BC" w14:textId="24FFF51D" w:rsidR="00A41E33" w:rsidRDefault="00506B93" w:rsidP="003E0AEE">
      <w:pPr>
        <w:pStyle w:val="Header"/>
        <w:spacing w:after="120"/>
        <w:rPr>
          <w:rFonts w:ascii="Arial" w:hAnsi="Arial" w:cs="Arial"/>
        </w:rPr>
      </w:pPr>
      <w:bookmarkStart w:id="1" w:name="_Hlk536158423"/>
      <w:r>
        <w:rPr>
          <w:rFonts w:ascii="Arial" w:hAnsi="Arial" w:cs="Arial"/>
        </w:rPr>
        <w:t xml:space="preserve">On </w:t>
      </w:r>
      <w:r w:rsidR="00A41E33">
        <w:rPr>
          <w:rFonts w:ascii="Arial" w:hAnsi="Arial" w:cs="Arial"/>
        </w:rPr>
        <w:t xml:space="preserve">reliability analysis </w:t>
      </w:r>
      <w:r>
        <w:rPr>
          <w:rFonts w:ascii="Arial" w:hAnsi="Arial" w:cs="Arial"/>
        </w:rPr>
        <w:t xml:space="preserve">using single UE </w:t>
      </w:r>
      <w:r w:rsidR="00A41E33">
        <w:rPr>
          <w:rFonts w:ascii="Arial" w:hAnsi="Arial" w:cs="Arial"/>
        </w:rPr>
        <w:t>link level evaluations</w:t>
      </w:r>
      <w:r>
        <w:rPr>
          <w:rFonts w:ascii="Arial" w:hAnsi="Arial" w:cs="Arial"/>
        </w:rPr>
        <w:t xml:space="preserve">, RAN1 makes the following </w:t>
      </w:r>
      <w:r w:rsidR="00A41E33">
        <w:rPr>
          <w:rFonts w:ascii="Arial" w:hAnsi="Arial" w:cs="Arial"/>
        </w:rPr>
        <w:t xml:space="preserve">conclusions: </w:t>
      </w:r>
    </w:p>
    <w:p w14:paraId="1C3019A2" w14:textId="7664AF7C" w:rsidR="003E0AEE" w:rsidRDefault="004B476E" w:rsidP="005B0F90">
      <w:pPr>
        <w:pStyle w:val="Header"/>
        <w:numPr>
          <w:ilvl w:val="0"/>
          <w:numId w:val="17"/>
        </w:numPr>
        <w:spacing w:after="120"/>
        <w:rPr>
          <w:rFonts w:ascii="Arial" w:hAnsi="Arial" w:cs="Arial"/>
        </w:rPr>
      </w:pPr>
      <w:r w:rsidRPr="00CB43F5">
        <w:rPr>
          <w:rFonts w:ascii="Arial" w:hAnsi="Arial" w:cs="Arial"/>
        </w:rPr>
        <w:t>For the cases where the one-way latency target can be achieved, it was observed that t</w:t>
      </w:r>
      <w:r w:rsidR="003E0AEE" w:rsidRPr="00CB43F5">
        <w:rPr>
          <w:rFonts w:ascii="Arial" w:hAnsi="Arial" w:cs="Arial"/>
        </w:rPr>
        <w:t xml:space="preserve">he reliability target of 1e-4 to 1e-6 can be achieved with Rel-15 NR for </w:t>
      </w:r>
      <w:r w:rsidR="00506B93">
        <w:rPr>
          <w:rFonts w:ascii="Arial" w:hAnsi="Arial" w:cs="Arial"/>
        </w:rPr>
        <w:t>the 5%</w:t>
      </w:r>
      <w:r w:rsidR="005B0F90">
        <w:rPr>
          <w:rFonts w:ascii="Arial" w:hAnsi="Arial" w:cs="Arial"/>
        </w:rPr>
        <w:t>-</w:t>
      </w:r>
      <w:r w:rsidR="00506B93">
        <w:rPr>
          <w:rFonts w:ascii="Arial" w:hAnsi="Arial" w:cs="Arial"/>
        </w:rPr>
        <w:t xml:space="preserve">ile </w:t>
      </w:r>
      <w:r w:rsidR="005B0F90">
        <w:rPr>
          <w:rFonts w:ascii="Arial" w:hAnsi="Arial" w:cs="Arial"/>
        </w:rPr>
        <w:t xml:space="preserve">SINR </w:t>
      </w:r>
      <w:r w:rsidR="00506B93">
        <w:rPr>
          <w:rFonts w:ascii="Arial" w:hAnsi="Arial" w:cs="Arial"/>
        </w:rPr>
        <w:t xml:space="preserve">geometry </w:t>
      </w:r>
      <w:r w:rsidR="005B0F90">
        <w:rPr>
          <w:rFonts w:ascii="Arial" w:hAnsi="Arial" w:cs="Arial"/>
        </w:rPr>
        <w:t xml:space="preserve">(e.g. cell-edge UE) </w:t>
      </w:r>
      <w:r w:rsidR="00506B93">
        <w:rPr>
          <w:rFonts w:ascii="Arial" w:hAnsi="Arial" w:cs="Arial"/>
        </w:rPr>
        <w:t xml:space="preserve">in </w:t>
      </w:r>
      <w:r w:rsidR="003E0AEE" w:rsidRPr="00CB43F5">
        <w:rPr>
          <w:rFonts w:ascii="Arial" w:hAnsi="Arial" w:cs="Arial"/>
        </w:rPr>
        <w:t xml:space="preserve">use case I </w:t>
      </w:r>
      <w:r w:rsidR="001F595D" w:rsidRPr="00CB43F5">
        <w:rPr>
          <w:rFonts w:ascii="Arial" w:hAnsi="Arial" w:cs="Arial"/>
        </w:rPr>
        <w:t>based on the agreed methodology and</w:t>
      </w:r>
      <w:r w:rsidR="001F595D">
        <w:rPr>
          <w:rFonts w:ascii="Arial" w:hAnsi="Arial" w:cs="Arial"/>
        </w:rPr>
        <w:t xml:space="preserve"> assumptions </w:t>
      </w:r>
      <w:r w:rsidR="00727EEA">
        <w:rPr>
          <w:rFonts w:ascii="Arial" w:hAnsi="Arial" w:cs="Arial"/>
        </w:rPr>
        <w:t xml:space="preserve">from RAN1#95 </w:t>
      </w:r>
      <w:r w:rsidR="003E0AEE">
        <w:rPr>
          <w:rFonts w:ascii="Arial" w:hAnsi="Arial" w:cs="Arial"/>
        </w:rPr>
        <w:t>(</w:t>
      </w:r>
      <w:r w:rsidR="003E0AEE" w:rsidRPr="004B476E">
        <w:rPr>
          <w:rFonts w:ascii="Arial" w:hAnsi="Arial" w:cs="Arial"/>
        </w:rPr>
        <w:t>without PDCP duplication). It is</w:t>
      </w:r>
      <w:r w:rsidR="003E0AEE" w:rsidRPr="00344463">
        <w:rPr>
          <w:rFonts w:ascii="Arial" w:hAnsi="Arial" w:cs="Arial"/>
        </w:rPr>
        <w:t xml:space="preserve"> RAN1 conclusion that PDCP duplication is not always available/applicable.</w:t>
      </w:r>
    </w:p>
    <w:bookmarkEnd w:id="1"/>
    <w:p w14:paraId="1F40097E" w14:textId="05E8D134" w:rsidR="00245244" w:rsidRDefault="00344463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</w:t>
      </w:r>
      <w:r w:rsidRPr="00727EEA">
        <w:rPr>
          <w:rFonts w:ascii="Arial" w:hAnsi="Arial" w:cs="Arial"/>
        </w:rPr>
        <w:t xml:space="preserve">performed analysis on the achievable time synchronization accuracy over Uu interface. </w:t>
      </w:r>
      <w:r w:rsidR="00727EEA">
        <w:rPr>
          <w:rFonts w:ascii="Arial" w:hAnsi="Arial" w:cs="Arial"/>
        </w:rPr>
        <w:t>A t</w:t>
      </w:r>
      <w:r w:rsidRPr="00727EEA">
        <w:rPr>
          <w:rFonts w:ascii="Arial" w:hAnsi="Arial" w:cs="Arial"/>
        </w:rPr>
        <w:t xml:space="preserve">iming synchronization </w:t>
      </w:r>
      <w:r w:rsidR="005E0A31" w:rsidRPr="00727EEA">
        <w:rPr>
          <w:rFonts w:ascii="Arial" w:hAnsi="Arial" w:cs="Arial"/>
        </w:rPr>
        <w:t xml:space="preserve">error between a gNB and a UE no worse than </w:t>
      </w:r>
      <w:r w:rsidRPr="00727EEA">
        <w:rPr>
          <w:rFonts w:ascii="Arial" w:hAnsi="Arial" w:cs="Arial"/>
        </w:rPr>
        <w:t xml:space="preserve">540ns </w:t>
      </w:r>
      <w:r w:rsidR="00727EEA" w:rsidRPr="00727EEA">
        <w:rPr>
          <w:rFonts w:ascii="Arial" w:hAnsi="Arial" w:cs="Arial"/>
        </w:rPr>
        <w:t xml:space="preserve">is achievable </w:t>
      </w:r>
      <w:r w:rsidRPr="00727EEA">
        <w:rPr>
          <w:rFonts w:ascii="Arial" w:hAnsi="Arial" w:cs="Arial"/>
        </w:rPr>
        <w:t>based on the RAN1 agreed evaluation assumptions for Rel-15 NR with 15kHz SCS. It is RAN1</w:t>
      </w:r>
      <w:r w:rsidR="00475E96" w:rsidRPr="00727EEA">
        <w:rPr>
          <w:rFonts w:ascii="Arial" w:hAnsi="Arial" w:cs="Arial"/>
        </w:rPr>
        <w:t>´</w:t>
      </w:r>
      <w:r w:rsidRPr="00727EEA">
        <w:rPr>
          <w:rFonts w:ascii="Arial" w:hAnsi="Arial" w:cs="Arial"/>
        </w:rPr>
        <w:t xml:space="preserve">s </w:t>
      </w:r>
      <w:r w:rsidR="00475E96" w:rsidRPr="00727EEA">
        <w:rPr>
          <w:rFonts w:ascii="Arial" w:hAnsi="Arial" w:cs="Arial"/>
        </w:rPr>
        <w:t>conclusion</w:t>
      </w:r>
      <w:r w:rsidRPr="00727EEA">
        <w:rPr>
          <w:rFonts w:ascii="Arial" w:hAnsi="Arial" w:cs="Arial"/>
        </w:rPr>
        <w:t xml:space="preserve">, that the synchronization accuracy is improved when using higher SCS. </w:t>
      </w:r>
      <w:r w:rsidR="00245244" w:rsidRPr="00727EEA">
        <w:rPr>
          <w:rFonts w:ascii="Arial" w:hAnsi="Arial" w:cs="Arial"/>
        </w:rPr>
        <w:t xml:space="preserve">For small service areas with dense small cell deployments a </w:t>
      </w:r>
      <w:r w:rsidR="00245244" w:rsidRPr="00727EEA">
        <w:rPr>
          <w:rFonts w:ascii="Arial" w:hAnsi="Arial" w:cs="Arial"/>
        </w:rPr>
        <w:lastRenderedPageBreak/>
        <w:t xml:space="preserve">propagation delay compensation by the UE </w:t>
      </w:r>
      <w:r w:rsidR="00024DEB" w:rsidRPr="00727EEA">
        <w:rPr>
          <w:rFonts w:ascii="Arial" w:hAnsi="Arial" w:cs="Arial"/>
        </w:rPr>
        <w:t xml:space="preserve">would </w:t>
      </w:r>
      <w:r w:rsidR="00245244" w:rsidRPr="00727EEA">
        <w:rPr>
          <w:rFonts w:ascii="Arial" w:hAnsi="Arial" w:cs="Arial"/>
        </w:rPr>
        <w:t xml:space="preserve">not </w:t>
      </w:r>
      <w:r w:rsidR="00024DEB" w:rsidRPr="00727EEA">
        <w:rPr>
          <w:rFonts w:ascii="Arial" w:hAnsi="Arial" w:cs="Arial"/>
        </w:rPr>
        <w:t xml:space="preserve">be </w:t>
      </w:r>
      <w:r w:rsidR="00245244" w:rsidRPr="00727EEA">
        <w:rPr>
          <w:rFonts w:ascii="Arial" w:hAnsi="Arial" w:cs="Arial"/>
        </w:rPr>
        <w:t xml:space="preserve">required. The propagation delay compensation needs to be applied by the TSN UEs for larger service areas with more sparse cell deployments (e.g. for inter-site distances &gt;200m the </w:t>
      </w:r>
      <w:r w:rsidR="005910B7" w:rsidRPr="00727EEA">
        <w:rPr>
          <w:rFonts w:ascii="Arial" w:hAnsi="Arial" w:cs="Arial"/>
        </w:rPr>
        <w:t xml:space="preserve">gNB-to-UE timing </w:t>
      </w:r>
      <w:r w:rsidR="00245244" w:rsidRPr="00727EEA">
        <w:rPr>
          <w:rFonts w:ascii="Arial" w:hAnsi="Arial" w:cs="Arial"/>
        </w:rPr>
        <w:t xml:space="preserve">synchronization accuracy without </w:t>
      </w:r>
      <w:r w:rsidR="005910B7" w:rsidRPr="00727EEA">
        <w:rPr>
          <w:rFonts w:ascii="Arial" w:hAnsi="Arial" w:cs="Arial"/>
        </w:rPr>
        <w:t xml:space="preserve">propagation delay </w:t>
      </w:r>
      <w:r w:rsidR="00245244" w:rsidRPr="00727EEA">
        <w:rPr>
          <w:rFonts w:ascii="Arial" w:hAnsi="Arial" w:cs="Arial"/>
        </w:rPr>
        <w:t xml:space="preserve">compensation </w:t>
      </w:r>
      <w:r w:rsidR="002F7B65" w:rsidRPr="00727EEA">
        <w:rPr>
          <w:rFonts w:ascii="Arial" w:hAnsi="Arial" w:cs="Arial"/>
        </w:rPr>
        <w:t xml:space="preserve">may </w:t>
      </w:r>
      <w:r w:rsidR="00245244" w:rsidRPr="00727EEA">
        <w:rPr>
          <w:rFonts w:ascii="Arial" w:hAnsi="Arial" w:cs="Arial"/>
        </w:rPr>
        <w:t>be worse than 1us).</w:t>
      </w:r>
    </w:p>
    <w:p w14:paraId="3B2BEDAB" w14:textId="0A26354A" w:rsidR="00D14E4F" w:rsidRPr="00475E96" w:rsidRDefault="001038CE" w:rsidP="00475E96">
      <w:pPr>
        <w:pStyle w:val="Header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Note </w:t>
      </w:r>
      <w:r w:rsidR="00FA04FB" w:rsidRPr="00FA04FB">
        <w:rPr>
          <w:rFonts w:ascii="Arial" w:hAnsi="Arial" w:cs="Arial"/>
        </w:rPr>
        <w:t>that the</w:t>
      </w:r>
      <w:r w:rsidR="00844197">
        <w:rPr>
          <w:rFonts w:ascii="Arial" w:hAnsi="Arial" w:cs="Arial"/>
        </w:rPr>
        <w:t xml:space="preserve"> RAN1 analysis </w:t>
      </w:r>
      <w:r w:rsidR="00FA04FB" w:rsidRPr="00FA04FB">
        <w:rPr>
          <w:rFonts w:ascii="Arial" w:hAnsi="Arial" w:cs="Arial"/>
        </w:rPr>
        <w:t>do</w:t>
      </w:r>
      <w:r w:rsidR="00844197">
        <w:rPr>
          <w:rFonts w:ascii="Arial" w:hAnsi="Arial" w:cs="Arial"/>
        </w:rPr>
        <w:t>es</w:t>
      </w:r>
      <w:r w:rsidR="00FA04FB" w:rsidRPr="00FA04FB">
        <w:rPr>
          <w:rFonts w:ascii="Arial" w:hAnsi="Arial" w:cs="Arial"/>
        </w:rPr>
        <w:t xml:space="preserve"> not contain the effects of the granularity &amp; accuracy of the absolute timing indication information by the gNB</w:t>
      </w:r>
      <w:r w:rsidR="00CC043C">
        <w:rPr>
          <w:rFonts w:ascii="Arial" w:hAnsi="Arial" w:cs="Arial"/>
        </w:rPr>
        <w:t>,</w:t>
      </w:r>
      <w:r w:rsidR="00FA04FB" w:rsidRPr="00FA04FB">
        <w:rPr>
          <w:rFonts w:ascii="Arial" w:hAnsi="Arial" w:cs="Arial"/>
        </w:rPr>
        <w:t xml:space="preserve"> which are outside of the RAN1 study scope.</w:t>
      </w:r>
      <w:bookmarkStart w:id="2" w:name="_Hlk536097374"/>
    </w:p>
    <w:bookmarkEnd w:id="2"/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983AC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61BB3C70" w14:textId="43A1DA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6D0AD1">
        <w:rPr>
          <w:rFonts w:ascii="Arial" w:hAnsi="Arial" w:cs="Arial"/>
        </w:rPr>
        <w:t>take the above into consideration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5CF74A77" w14:textId="5CB29D5E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F023AB">
        <w:rPr>
          <w:rFonts w:ascii="Arial" w:hAnsi="Arial" w:cs="Arial"/>
          <w:bCs/>
        </w:rPr>
        <w:t xml:space="preserve"> WG1#96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25 Feb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1 Mar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Athens, Greece</w:t>
      </w:r>
    </w:p>
    <w:p w14:paraId="4B4C0E44" w14:textId="58A274B6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B43F5">
        <w:rPr>
          <w:rFonts w:ascii="Arial" w:hAnsi="Arial" w:cs="Arial"/>
          <w:bCs/>
        </w:rPr>
        <w:t>Xi</w:t>
      </w:r>
      <w:r w:rsidR="00630733">
        <w:rPr>
          <w:rFonts w:ascii="Arial" w:hAnsi="Arial" w:cs="Arial"/>
          <w:bCs/>
        </w:rPr>
        <w:t>´</w:t>
      </w:r>
      <w:r w:rsidR="00CB43F5">
        <w:rPr>
          <w:rFonts w:ascii="Arial" w:hAnsi="Arial" w:cs="Arial"/>
          <w:bCs/>
        </w:rPr>
        <w:t xml:space="preserve">an, </w:t>
      </w:r>
      <w:r>
        <w:rPr>
          <w:rFonts w:ascii="Arial" w:hAnsi="Arial" w:cs="Arial"/>
          <w:bCs/>
        </w:rPr>
        <w:t xml:space="preserve">China </w:t>
      </w:r>
    </w:p>
    <w:sectPr w:rsidR="007E0B9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837DD" w14:textId="77777777" w:rsidR="00E57841" w:rsidRDefault="00E57841">
      <w:r>
        <w:separator/>
      </w:r>
    </w:p>
  </w:endnote>
  <w:endnote w:type="continuationSeparator" w:id="0">
    <w:p w14:paraId="2662CF7E" w14:textId="77777777" w:rsidR="00E57841" w:rsidRDefault="00E57841">
      <w:r>
        <w:continuationSeparator/>
      </w:r>
    </w:p>
  </w:endnote>
  <w:endnote w:type="continuationNotice" w:id="1">
    <w:p w14:paraId="32115781" w14:textId="77777777" w:rsidR="00E57841" w:rsidRDefault="00E578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124D8" w14:textId="77777777" w:rsidR="00E57841" w:rsidRDefault="00E57841">
      <w:r>
        <w:separator/>
      </w:r>
    </w:p>
  </w:footnote>
  <w:footnote w:type="continuationSeparator" w:id="0">
    <w:p w14:paraId="71DAF583" w14:textId="77777777" w:rsidR="00E57841" w:rsidRDefault="00E57841">
      <w:r>
        <w:continuationSeparator/>
      </w:r>
    </w:p>
  </w:footnote>
  <w:footnote w:type="continuationNotice" w:id="1">
    <w:p w14:paraId="23A323E9" w14:textId="77777777" w:rsidR="00E57841" w:rsidRDefault="00E578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5"/>
  </w:num>
  <w:num w:numId="9">
    <w:abstractNumId w:val="10"/>
  </w:num>
  <w:num w:numId="10">
    <w:abstractNumId w:val="9"/>
  </w:num>
  <w:num w:numId="11">
    <w:abstractNumId w:val="6"/>
  </w:num>
  <w:num w:numId="12">
    <w:abstractNumId w:val="7"/>
  </w:num>
  <w:num w:numId="13">
    <w:abstractNumId w:val="2"/>
  </w:num>
  <w:num w:numId="14">
    <w:abstractNumId w:val="3"/>
  </w:num>
  <w:num w:numId="15">
    <w:abstractNumId w:val="16"/>
  </w:num>
  <w:num w:numId="16">
    <w:abstractNumId w:val="13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20708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41A4"/>
    <w:rsid w:val="00475E96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44DAC"/>
    <w:rsid w:val="0056374A"/>
    <w:rsid w:val="00573194"/>
    <w:rsid w:val="00574A5F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631F8"/>
    <w:rsid w:val="007822EF"/>
    <w:rsid w:val="00785B57"/>
    <w:rsid w:val="00787EAC"/>
    <w:rsid w:val="007A1A21"/>
    <w:rsid w:val="007A671D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C3CF2"/>
    <w:rsid w:val="00BD2B2F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31A7E"/>
    <w:rsid w:val="00C34329"/>
    <w:rsid w:val="00C36750"/>
    <w:rsid w:val="00C51C0C"/>
    <w:rsid w:val="00C52AEB"/>
    <w:rsid w:val="00C543D1"/>
    <w:rsid w:val="00C628D7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5415D"/>
    <w:rsid w:val="00E57841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72DB"/>
    <w:rsid w:val="00F41FBC"/>
    <w:rsid w:val="00F442E0"/>
    <w:rsid w:val="00F44F0C"/>
    <w:rsid w:val="00F54C66"/>
    <w:rsid w:val="00F85576"/>
    <w:rsid w:val="00F932F6"/>
    <w:rsid w:val="00F9779A"/>
    <w:rsid w:val="00FA04FB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44E82"/>
    <w:pPr>
      <w:ind w:left="720"/>
      <w:contextualSpacing/>
    </w:pPr>
  </w:style>
  <w:style w:type="paragraph" w:customStyle="1" w:styleId="CRCoverPage">
    <w:name w:val="CR Cover Page"/>
    <w:link w:val="CRCoverPageZchn"/>
    <w:rsid w:val="00BD2B2F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BD2B2F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Props1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Issam</cp:lastModifiedBy>
  <cp:revision>5</cp:revision>
  <cp:lastPrinted>2002-04-23T00:10:00Z</cp:lastPrinted>
  <dcterms:created xsi:type="dcterms:W3CDTF">2019-01-25T07:20:00Z</dcterms:created>
  <dcterms:modified xsi:type="dcterms:W3CDTF">2019-02-15T21:50:00Z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