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F9" w:rsidRPr="00995718" w:rsidRDefault="0012237E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3</w:t>
      </w:r>
      <w:r w:rsidR="005913C0" w:rsidRPr="005913C0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#10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</w:t>
      </w:r>
      <w:r w:rsidR="007365B0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bis</w:t>
      </w:r>
      <w:r w:rsidR="000366F9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</w:t>
      </w:r>
      <w:r w:rsidR="000366F9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995718" w:rsidRPr="00995718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R3-185400</w:t>
      </w:r>
      <w:r w:rsidR="00995718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(Revision of </w:t>
      </w:r>
      <w:r w:rsidR="00C01D37" w:rsidRPr="00C01D37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R3-184587</w:t>
      </w:r>
      <w:r w:rsidR="00995718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)</w:t>
      </w:r>
    </w:p>
    <w:p w:rsidR="009E3446" w:rsidRPr="002F4A4E" w:rsidRDefault="007365B0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7365B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Chengdu, China, 8th - 12th October 2018</w:t>
      </w:r>
      <w:bookmarkStart w:id="2" w:name="_GoBack"/>
      <w:bookmarkEnd w:id="2"/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414B2D" w:rsidRPr="00414B2D">
        <w:rPr>
          <w:rFonts w:ascii="Calibri" w:eastAsiaTheme="minorEastAsia" w:hAnsi="Calibri" w:cs="Calibri"/>
          <w:sz w:val="24"/>
          <w:szCs w:val="24"/>
          <w:lang w:val="en-US" w:eastAsia="ja-JP"/>
        </w:rPr>
        <w:t>, Kyocera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12237E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C</w:t>
      </w:r>
      <w:r w:rsidR="0012237E" w:rsidRPr="0012237E">
        <w:rPr>
          <w:rFonts w:ascii="Calibri" w:hAnsi="Calibri" w:cs="Calibri"/>
          <w:sz w:val="24"/>
          <w:szCs w:val="24"/>
          <w:lang w:val="en-US"/>
        </w:rPr>
        <w:t>onsideration on “CP alternatives for architecture 1a” with NSA operation</w:t>
      </w:r>
    </w:p>
    <w:p w:rsidR="00A434AF" w:rsidRPr="007A0AE3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0955A2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12237E" w:rsidRPr="0012237E">
        <w:rPr>
          <w:rFonts w:ascii="Calibri" w:hAnsi="Calibri" w:cs="Calibri"/>
          <w:sz w:val="24"/>
          <w:szCs w:val="24"/>
          <w:lang w:val="en-US"/>
        </w:rPr>
        <w:t xml:space="preserve">24.1.1.3. IAB and NSA Operation </w:t>
      </w:r>
    </w:p>
    <w:p w:rsidR="00A434AF" w:rsidRPr="000366F9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495736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>
        <w:rPr>
          <w:rFonts w:ascii="Calibri" w:hAnsi="Calibri" w:cs="Calibri"/>
          <w:sz w:val="24"/>
          <w:szCs w:val="24"/>
          <w:lang w:val="en-US"/>
        </w:rPr>
        <w:t>Release:</w:t>
      </w:r>
      <w:r>
        <w:rPr>
          <w:rFonts w:ascii="Calibri" w:hAnsi="Calibri" w:cs="Calibri"/>
          <w:sz w:val="24"/>
          <w:szCs w:val="24"/>
          <w:lang w:val="en-US"/>
        </w:rPr>
        <w:tab/>
        <w:t>Rel-1</w:t>
      </w:r>
      <w:r w:rsidR="0070797E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5</w:t>
      </w:r>
    </w:p>
    <w:bookmarkEnd w:id="0"/>
    <w:bookmarkEnd w:id="1"/>
    <w:p w:rsidR="006A1A84" w:rsidRPr="00201FC5" w:rsidRDefault="00B4399F" w:rsidP="0081348B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A81987" w:rsidRPr="00564BB1" w:rsidRDefault="001F01EA" w:rsidP="00564BB1">
      <w:pPr>
        <w:spacing w:after="240" w:line="260" w:lineRule="exact"/>
        <w:jc w:val="both"/>
        <w:rPr>
          <w:rFonts w:ascii="Calibri" w:hAnsi="Calibri" w:cs="Calibri"/>
          <w:b/>
          <w:sz w:val="24"/>
          <w:szCs w:val="24"/>
          <w:lang w:val="en-GB" w:eastAsia="ja-JP"/>
        </w:rPr>
      </w:pPr>
      <w:r w:rsidRPr="001F01EA">
        <w:rPr>
          <w:rFonts w:ascii="Calibri" w:hAnsi="Calibri" w:cs="Calibri"/>
          <w:sz w:val="24"/>
          <w:szCs w:val="24"/>
          <w:lang w:eastAsia="ja-JP"/>
        </w:rPr>
        <w:t>In this contribution, we discuss the consideration on “CP alternatives for architecture 1a” with NSA operation.</w:t>
      </w:r>
    </w:p>
    <w:p w:rsidR="00B65666" w:rsidRDefault="00E63FD6" w:rsidP="0081348B">
      <w:pPr>
        <w:pStyle w:val="1"/>
        <w:spacing w:after="120"/>
        <w:ind w:left="431" w:hanging="431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9B1608" w:rsidRPr="009B1608" w:rsidRDefault="009B1608" w:rsidP="009B1608">
      <w:pPr>
        <w:spacing w:after="120" w:line="240" w:lineRule="auto"/>
        <w:rPr>
          <w:rFonts w:ascii="Calibri" w:hAnsi="Calibri" w:cs="Calibri"/>
          <w:sz w:val="24"/>
          <w:szCs w:val="24"/>
          <w:lang w:eastAsia="ja-JP"/>
        </w:rPr>
      </w:pPr>
      <w:bookmarkStart w:id="3" w:name="Proposal3"/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In all CP </w:t>
      </w:r>
      <w:r w:rsidRPr="009B1608">
        <w:rPr>
          <w:rFonts w:ascii="Calibri" w:hAnsi="Calibri" w:cs="Calibri"/>
          <w:sz w:val="24"/>
          <w:szCs w:val="24"/>
          <w:lang w:eastAsia="ja-JP"/>
        </w:rPr>
        <w:t>alternatives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>, t</w:t>
      </w:r>
      <w:r w:rsidRPr="009B1608">
        <w:rPr>
          <w:rFonts w:ascii="Calibri" w:hAnsi="Calibri" w:cs="Calibri"/>
          <w:sz w:val="24"/>
          <w:szCs w:val="24"/>
          <w:lang w:eastAsia="ja-JP"/>
        </w:rPr>
        <w:t xml:space="preserve">he IAB node 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possibly </w:t>
      </w:r>
      <w:r w:rsidRPr="009B1608">
        <w:rPr>
          <w:rFonts w:ascii="Calibri" w:hAnsi="Calibri" w:cs="Calibri"/>
          <w:sz w:val="24"/>
          <w:szCs w:val="24"/>
          <w:lang w:eastAsia="ja-JP"/>
        </w:rPr>
        <w:t xml:space="preserve">uses SRB to carry F1-AP to the IAB donor. When the IAB node operates in SA with NGC (described as “Option a” and “Option b” in Section 6.1.2), the SRB uses NR air interface. 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>On the other hand,</w:t>
      </w:r>
      <w:r w:rsidRPr="009B1608">
        <w:rPr>
          <w:rFonts w:ascii="Calibri" w:hAnsi="Calibri" w:cs="Calibri"/>
          <w:sz w:val="24"/>
          <w:szCs w:val="24"/>
          <w:lang w:eastAsia="ja-JP"/>
        </w:rPr>
        <w:t xml:space="preserve"> in the case the IAB node operates in NSA with EPC (described as “Option c” in Section 6.1.2), the SRB can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9B1608">
        <w:rPr>
          <w:rFonts w:ascii="Calibri" w:hAnsi="Calibri" w:cs="Calibri"/>
          <w:sz w:val="24"/>
          <w:szCs w:val="24"/>
          <w:lang w:eastAsia="ja-JP"/>
        </w:rPr>
        <w:t>use LTE air interface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 also</w:t>
      </w:r>
      <w:r w:rsidRPr="009B1608">
        <w:rPr>
          <w:rFonts w:ascii="Calibri" w:hAnsi="Calibri" w:cs="Calibri"/>
          <w:sz w:val="24"/>
          <w:szCs w:val="24"/>
          <w:lang w:eastAsia="ja-JP"/>
        </w:rPr>
        <w:t xml:space="preserve">. 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>So for NSA operation, there are two options for SRB as below.</w:t>
      </w:r>
    </w:p>
    <w:p w:rsidR="009B1608" w:rsidRDefault="009B1608" w:rsidP="009B1608">
      <w:pPr>
        <w:numPr>
          <w:ilvl w:val="0"/>
          <w:numId w:val="39"/>
        </w:numPr>
        <w:spacing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Option1: SRB on NR air interface. This option is to keep </w:t>
      </w:r>
      <w:r w:rsidRPr="009B1608">
        <w:rPr>
          <w:rFonts w:ascii="Calibri" w:hAnsi="Calibri" w:cs="Calibri"/>
          <w:sz w:val="24"/>
          <w:szCs w:val="24"/>
          <w:lang w:eastAsia="ja-JP"/>
        </w:rPr>
        <w:t>the eNB agnostic to IAB.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9B1608">
        <w:rPr>
          <w:rFonts w:ascii="Calibri" w:hAnsi="Calibri" w:cs="Calibri"/>
          <w:sz w:val="24"/>
          <w:szCs w:val="24"/>
          <w:lang w:eastAsia="ja-JP"/>
        </w:rPr>
        <w:t>This would allow using the same IAB framework for SA and NSA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, the </w:t>
      </w:r>
      <w:r w:rsidRPr="009B1608">
        <w:rPr>
          <w:rFonts w:ascii="Calibri" w:hAnsi="Calibri" w:cs="Calibri"/>
          <w:sz w:val="24"/>
          <w:szCs w:val="24"/>
          <w:lang w:eastAsia="ja-JP"/>
        </w:rPr>
        <w:t>eNB does not have to be updated if the IAB-node-MT changes attachment point.</w:t>
      </w:r>
    </w:p>
    <w:p w:rsidR="00451778" w:rsidRPr="009B1608" w:rsidRDefault="009B1608" w:rsidP="009B1608">
      <w:pPr>
        <w:numPr>
          <w:ilvl w:val="0"/>
          <w:numId w:val="39"/>
        </w:numPr>
        <w:spacing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Option2: SRB on LTE air interface. This option </w:t>
      </w:r>
      <w:r w:rsidRPr="009B1608">
        <w:rPr>
          <w:rFonts w:ascii="Calibri" w:hAnsi="Calibri" w:cs="Calibri"/>
          <w:sz w:val="24"/>
          <w:szCs w:val="24"/>
          <w:lang w:eastAsia="ja-JP"/>
        </w:rPr>
        <w:t>is more robust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, in case where operators can use sub 6 spectrum for LTE in addition to </w:t>
      </w:r>
      <w:proofErr w:type="spellStart"/>
      <w:r w:rsidRPr="009B1608">
        <w:rPr>
          <w:rFonts w:ascii="Calibri" w:hAnsi="Calibri" w:cs="Calibri" w:hint="eastAsia"/>
          <w:sz w:val="24"/>
          <w:szCs w:val="24"/>
          <w:lang w:eastAsia="ja-JP"/>
        </w:rPr>
        <w:t>mmwave</w:t>
      </w:r>
      <w:proofErr w:type="spellEnd"/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 for NR. This option</w:t>
      </w:r>
      <w:r w:rsidRPr="009B1608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requires some update to the eNB, i.e. new </w:t>
      </w:r>
      <w:r w:rsidRPr="009B1608">
        <w:rPr>
          <w:rFonts w:ascii="Calibri" w:hAnsi="Calibri" w:cs="Calibri"/>
          <w:sz w:val="24"/>
          <w:szCs w:val="24"/>
          <w:lang w:eastAsia="ja-JP"/>
        </w:rPr>
        <w:t>LTE RRC message container to carry F1-AP over LTE air interface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>, and F</w:t>
      </w:r>
      <w:r w:rsidRPr="009B1608">
        <w:rPr>
          <w:rFonts w:ascii="Calibri" w:hAnsi="Calibri" w:cs="Calibri"/>
          <w:sz w:val="24"/>
          <w:szCs w:val="24"/>
          <w:lang w:eastAsia="ja-JP"/>
        </w:rPr>
        <w:t>1-AP forwarding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 mechanism </w:t>
      </w:r>
      <w:r w:rsidRPr="009B1608">
        <w:rPr>
          <w:rFonts w:ascii="Calibri" w:hAnsi="Calibri" w:cs="Calibri"/>
          <w:sz w:val="24"/>
          <w:szCs w:val="24"/>
          <w:lang w:eastAsia="ja-JP"/>
        </w:rPr>
        <w:t xml:space="preserve">between 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the </w:t>
      </w:r>
      <w:r w:rsidRPr="009B1608">
        <w:rPr>
          <w:rFonts w:ascii="Calibri" w:hAnsi="Calibri" w:cs="Calibri"/>
          <w:sz w:val="24"/>
          <w:szCs w:val="24"/>
          <w:lang w:eastAsia="ja-JP"/>
        </w:rPr>
        <w:t>eNB and donor IAB on wired link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. RAN3 specified RRC transfer procedure in Rel.15 to </w:t>
      </w:r>
      <w:r w:rsidRPr="009B1608">
        <w:rPr>
          <w:rFonts w:ascii="Calibri" w:hAnsi="Calibri" w:cs="Calibri"/>
          <w:sz w:val="24"/>
          <w:szCs w:val="24"/>
          <w:lang w:eastAsia="ja-JP"/>
        </w:rPr>
        <w:t xml:space="preserve">enable transfer of the NR RRC message container with the NR measurements from the </w:t>
      </w:r>
      <w:proofErr w:type="spellStart"/>
      <w:r w:rsidRPr="009B1608">
        <w:rPr>
          <w:rFonts w:ascii="Calibri" w:hAnsi="Calibri" w:cs="Calibri"/>
          <w:sz w:val="24"/>
          <w:szCs w:val="24"/>
          <w:lang w:eastAsia="ja-JP"/>
        </w:rPr>
        <w:t>MeNB</w:t>
      </w:r>
      <w:proofErr w:type="spellEnd"/>
      <w:r w:rsidRPr="009B1608">
        <w:rPr>
          <w:rFonts w:ascii="Calibri" w:hAnsi="Calibri" w:cs="Calibri"/>
          <w:sz w:val="24"/>
          <w:szCs w:val="24"/>
          <w:lang w:eastAsia="ja-JP"/>
        </w:rPr>
        <w:t xml:space="preserve"> to the </w:t>
      </w:r>
      <w:proofErr w:type="spellStart"/>
      <w:r w:rsidRPr="009B1608">
        <w:rPr>
          <w:rFonts w:ascii="Calibri" w:hAnsi="Calibri" w:cs="Calibri"/>
          <w:sz w:val="24"/>
          <w:szCs w:val="24"/>
          <w:lang w:eastAsia="ja-JP"/>
        </w:rPr>
        <w:t>en</w:t>
      </w:r>
      <w:proofErr w:type="spellEnd"/>
      <w:r w:rsidRPr="009B1608">
        <w:rPr>
          <w:rFonts w:ascii="Calibri" w:hAnsi="Calibri" w:cs="Calibri"/>
          <w:sz w:val="24"/>
          <w:szCs w:val="24"/>
          <w:lang w:eastAsia="ja-JP"/>
        </w:rPr>
        <w:t>-gNB, when received from the UE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>. This mechanism can be reused for F</w:t>
      </w:r>
      <w:r w:rsidRPr="009B1608">
        <w:rPr>
          <w:rFonts w:ascii="Calibri" w:hAnsi="Calibri" w:cs="Calibri"/>
          <w:sz w:val="24"/>
          <w:szCs w:val="24"/>
          <w:lang w:eastAsia="ja-JP"/>
        </w:rPr>
        <w:t>1-AP forwarding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99150E" w:rsidRDefault="00C01D37" w:rsidP="00854E81">
      <w:pPr>
        <w:spacing w:after="200" w:line="276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C01D37">
        <w:rPr>
          <w:noProof/>
          <w:lang w:eastAsia="ja-JP"/>
        </w:rPr>
        <w:lastRenderedPageBreak/>
        <w:drawing>
          <wp:inline distT="0" distB="0" distL="0" distR="0" wp14:anchorId="58D01B97" wp14:editId="42BF5815">
            <wp:extent cx="5971680" cy="2752920"/>
            <wp:effectExtent l="0" t="0" r="0" b="0"/>
            <wp:docPr id="39" name="図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680" cy="275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50E" w:rsidRPr="0099150E" w:rsidRDefault="00A74A4B" w:rsidP="00A74A4B">
      <w:pPr>
        <w:spacing w:after="200" w:line="276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B35A86">
        <w:rPr>
          <w:sz w:val="24"/>
          <w:szCs w:val="24"/>
          <w:u w:val="single"/>
          <w:lang w:eastAsia="ja-JP"/>
        </w:rPr>
        <w:t>Figure</w:t>
      </w:r>
      <w:r>
        <w:rPr>
          <w:rFonts w:hint="eastAsia"/>
          <w:sz w:val="24"/>
          <w:szCs w:val="24"/>
          <w:u w:val="single"/>
          <w:lang w:eastAsia="ja-JP"/>
        </w:rPr>
        <w:t xml:space="preserve"> 1</w:t>
      </w:r>
      <w:r w:rsidRPr="00B35A86">
        <w:rPr>
          <w:sz w:val="24"/>
          <w:szCs w:val="24"/>
          <w:u w:val="single"/>
          <w:lang w:eastAsia="ja-JP"/>
        </w:rPr>
        <w:t>:</w:t>
      </w:r>
      <w:r w:rsidRPr="00B35A86">
        <w:rPr>
          <w:rFonts w:hint="eastAsia"/>
          <w:sz w:val="24"/>
          <w:szCs w:val="24"/>
          <w:u w:val="single"/>
          <w:lang w:eastAsia="ja-JP"/>
        </w:rPr>
        <w:t xml:space="preserve"> </w:t>
      </w:r>
      <w:r w:rsidR="006A5CCC">
        <w:rPr>
          <w:rFonts w:hint="eastAsia"/>
          <w:sz w:val="24"/>
          <w:szCs w:val="24"/>
          <w:u w:val="single"/>
          <w:lang w:eastAsia="ja-JP"/>
        </w:rPr>
        <w:t xml:space="preserve">Two options for </w:t>
      </w:r>
      <w:r w:rsidR="006A5CCC">
        <w:rPr>
          <w:sz w:val="24"/>
          <w:szCs w:val="24"/>
          <w:u w:val="single"/>
          <w:lang w:eastAsia="ja-JP"/>
        </w:rPr>
        <w:t>SRB</w:t>
      </w:r>
    </w:p>
    <w:bookmarkEnd w:id="3"/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015962" w:rsidRDefault="00015962" w:rsidP="00015962">
      <w:pPr>
        <w:spacing w:after="240" w:line="260" w:lineRule="exac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Proposal 1</w:t>
      </w:r>
      <w:r w:rsidRPr="0076577E">
        <w:rPr>
          <w:rFonts w:ascii="Calibri" w:hAnsi="Calibri" w:cs="Calibri"/>
          <w:sz w:val="24"/>
          <w:szCs w:val="24"/>
          <w:lang w:eastAsia="ja-JP"/>
        </w:rPr>
        <w:t xml:space="preserve">: </w:t>
      </w:r>
      <w:r w:rsidR="008C3BA2" w:rsidRPr="008C3BA2">
        <w:rPr>
          <w:rFonts w:ascii="Calibri" w:hAnsi="Calibri" w:cs="Calibri"/>
          <w:sz w:val="24"/>
          <w:szCs w:val="24"/>
          <w:lang w:eastAsia="ja-JP"/>
        </w:rPr>
        <w:t xml:space="preserve">For the IAB node operates in NSA, </w:t>
      </w:r>
      <w:r w:rsidR="0015447C">
        <w:rPr>
          <w:rFonts w:ascii="Calibri" w:hAnsi="Calibri" w:cs="Calibri" w:hint="eastAsia"/>
          <w:sz w:val="24"/>
          <w:szCs w:val="24"/>
          <w:lang w:eastAsia="ja-JP"/>
        </w:rPr>
        <w:t>RAN3 adopt two options for SRB, one is SRB on NR air interface and the other is LTE air interface</w:t>
      </w:r>
      <w:r w:rsidR="008C3BA2" w:rsidRPr="008C3BA2">
        <w:rPr>
          <w:rFonts w:ascii="Calibri" w:hAnsi="Calibri" w:cs="Calibri"/>
          <w:sz w:val="24"/>
          <w:szCs w:val="24"/>
          <w:lang w:eastAsia="ja-JP"/>
        </w:rPr>
        <w:t>.</w:t>
      </w:r>
    </w:p>
    <w:p w:rsidR="00EB142C" w:rsidRDefault="00015962" w:rsidP="00015962">
      <w:pPr>
        <w:spacing w:after="240" w:line="260" w:lineRule="exac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Proposal 2</w:t>
      </w:r>
      <w:r w:rsidRPr="0076577E">
        <w:rPr>
          <w:rFonts w:ascii="Calibri" w:hAnsi="Calibri" w:cs="Calibri"/>
          <w:sz w:val="24"/>
          <w:szCs w:val="24"/>
          <w:lang w:eastAsia="ja-JP"/>
        </w:rPr>
        <w:t xml:space="preserve">: </w:t>
      </w:r>
      <w:r w:rsidR="008C3BA2" w:rsidRPr="008C3BA2">
        <w:rPr>
          <w:rFonts w:ascii="Calibri" w:hAnsi="Calibri" w:cs="Calibri"/>
          <w:sz w:val="24"/>
          <w:szCs w:val="24"/>
          <w:lang w:eastAsia="ja-JP"/>
        </w:rPr>
        <w:t>Include the text proposal for the above discussion into TR 38.874.</w:t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A720AE">
        <w:rPr>
          <w:rFonts w:ascii="Calibri" w:hAnsi="Calibri" w:cs="Calibri"/>
          <w:sz w:val="24"/>
          <w:szCs w:val="24"/>
          <w:lang w:eastAsia="ja-JP"/>
        </w:rPr>
        <w:instrText xml:space="preserve"> REF Proposal1 \h </w:instrText>
      </w:r>
      <w:r w:rsidR="00A720AE">
        <w:rPr>
          <w:rFonts w:ascii="Calibri" w:hAnsi="Calibri" w:cs="Calibri"/>
          <w:sz w:val="24"/>
          <w:szCs w:val="24"/>
          <w:lang w:eastAsia="ja-JP"/>
        </w:rPr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A720AE">
        <w:rPr>
          <w:rFonts w:ascii="Calibri" w:hAnsi="Calibri" w:cs="Calibri"/>
          <w:sz w:val="24"/>
          <w:szCs w:val="24"/>
          <w:lang w:eastAsia="ja-JP"/>
        </w:rPr>
        <w:instrText xml:space="preserve"> REF Proposal1 \h </w:instrText>
      </w:r>
      <w:r w:rsidR="00A720AE">
        <w:rPr>
          <w:rFonts w:ascii="Calibri" w:hAnsi="Calibri" w:cs="Calibri"/>
          <w:sz w:val="24"/>
          <w:szCs w:val="24"/>
          <w:lang w:eastAsia="ja-JP"/>
        </w:rPr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A720AE">
        <w:rPr>
          <w:rFonts w:ascii="Calibri" w:hAnsi="Calibri" w:cs="Calibri"/>
          <w:sz w:val="24"/>
          <w:szCs w:val="24"/>
          <w:lang w:eastAsia="ja-JP"/>
        </w:rPr>
        <w:instrText xml:space="preserve"> REF Proposal1 \h </w:instrText>
      </w:r>
      <w:r w:rsidR="00A720AE">
        <w:rPr>
          <w:rFonts w:ascii="Calibri" w:hAnsi="Calibri" w:cs="Calibri"/>
          <w:sz w:val="24"/>
          <w:szCs w:val="24"/>
          <w:lang w:eastAsia="ja-JP"/>
        </w:rPr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end"/>
      </w:r>
    </w:p>
    <w:p w:rsidR="00CA1083" w:rsidRDefault="008722B8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Text Proposal</w:t>
      </w:r>
    </w:p>
    <w:p w:rsidR="000E3B9A" w:rsidRDefault="0038471D" w:rsidP="000E3B9A">
      <w:pPr>
        <w:tabs>
          <w:tab w:val="left" w:pos="3005"/>
        </w:tabs>
        <w:spacing w:after="120" w:line="240" w:lineRule="auto"/>
        <w:rPr>
          <w:rFonts w:ascii="Calibri" w:hAnsi="Calibri" w:cs="Calibri"/>
          <w:b/>
          <w:sz w:val="20"/>
          <w:lang w:eastAsia="ja-JP"/>
        </w:rPr>
      </w:pPr>
      <w:r w:rsidRPr="0038471D">
        <w:rPr>
          <w:rFonts w:ascii="Calibri" w:hAnsi="Calibri" w:cs="Calibri"/>
          <w:b/>
          <w:sz w:val="20"/>
          <w:lang w:eastAsia="ja-JP"/>
        </w:rPr>
        <w:t>&lt;&lt;TP start&gt;&gt;</w:t>
      </w:r>
    </w:p>
    <w:p w:rsidR="0038471D" w:rsidRDefault="0038471D" w:rsidP="000E3B9A">
      <w:pPr>
        <w:tabs>
          <w:tab w:val="left" w:pos="3005"/>
        </w:tabs>
        <w:spacing w:after="120" w:line="240" w:lineRule="auto"/>
        <w:rPr>
          <w:rFonts w:ascii="Calibri" w:hAnsi="Calibri" w:cs="Calibri"/>
          <w:b/>
          <w:sz w:val="20"/>
          <w:lang w:eastAsia="ja-JP"/>
        </w:rPr>
      </w:pPr>
    </w:p>
    <w:p w:rsidR="000E3B9A" w:rsidRPr="000E3B9A" w:rsidRDefault="000E3B9A" w:rsidP="000E3B9A">
      <w:pPr>
        <w:keepNext/>
        <w:keepLines/>
        <w:spacing w:before="120" w:after="180" w:line="240" w:lineRule="auto"/>
        <w:outlineLvl w:val="2"/>
        <w:rPr>
          <w:rFonts w:ascii="Arial" w:eastAsia="游明朝" w:hAnsi="Arial" w:cs="Times New Roman"/>
          <w:sz w:val="28"/>
          <w:szCs w:val="20"/>
          <w:lang w:val="en-GB"/>
        </w:rPr>
      </w:pPr>
      <w:bookmarkStart w:id="4" w:name="_Toc520296478"/>
      <w:r w:rsidRPr="000E3B9A">
        <w:rPr>
          <w:rFonts w:ascii="Arial" w:eastAsia="游明朝" w:hAnsi="Arial" w:cs="Times New Roman"/>
          <w:sz w:val="28"/>
          <w:szCs w:val="20"/>
          <w:lang w:val="en-GB"/>
        </w:rPr>
        <w:t>8.3.4</w:t>
      </w:r>
      <w:r w:rsidRPr="000E3B9A">
        <w:rPr>
          <w:rFonts w:ascii="Arial" w:eastAsia="游明朝" w:hAnsi="Arial" w:cs="Times New Roman"/>
          <w:sz w:val="28"/>
          <w:szCs w:val="20"/>
          <w:lang w:val="en-GB"/>
        </w:rPr>
        <w:tab/>
        <w:t>CP alternatives for architecture 1a</w:t>
      </w:r>
      <w:bookmarkEnd w:id="4"/>
    </w:p>
    <w:p w:rsidR="000E3B9A" w:rsidRPr="000E3B9A" w:rsidRDefault="000E3B9A" w:rsidP="000E3B9A">
      <w:pPr>
        <w:spacing w:after="180" w:line="240" w:lineRule="auto"/>
        <w:rPr>
          <w:rFonts w:ascii="Times New Roman" w:eastAsia="游明朝" w:hAnsi="Times New Roman" w:cs="Times New Roman"/>
          <w:sz w:val="20"/>
          <w:szCs w:val="20"/>
          <w:lang w:val="en-GB" w:eastAsia="x-none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 w:eastAsia="x-none"/>
        </w:rPr>
        <w:t>In architecture 1a, the UE’s and the MT’s UP and RRC traffic can be protected via PDCP over the wireless backhaul. A mechanism has to be defined to also protect F1-AP traffic over the wireless backhaul.</w:t>
      </w:r>
    </w:p>
    <w:p w:rsidR="000E3B9A" w:rsidRPr="000E3B9A" w:rsidRDefault="000E3B9A" w:rsidP="000E3B9A">
      <w:pPr>
        <w:spacing w:after="180" w:line="240" w:lineRule="auto"/>
        <w:rPr>
          <w:rFonts w:ascii="Times New Roman" w:eastAsia="游明朝" w:hAnsi="Times New Roman" w:cs="Times New Roman"/>
          <w:sz w:val="20"/>
          <w:szCs w:val="20"/>
          <w:lang w:val="en-GB" w:eastAsia="x-none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 w:eastAsia="x-none"/>
        </w:rPr>
        <w:t>The following four alternatives can be considered. Other alternatives are not precluded.</w:t>
      </w:r>
    </w:p>
    <w:p w:rsidR="000E3B9A" w:rsidRDefault="000E3B9A" w:rsidP="000E3B9A">
      <w:pPr>
        <w:tabs>
          <w:tab w:val="left" w:pos="3005"/>
        </w:tabs>
        <w:spacing w:after="120" w:line="240" w:lineRule="auto"/>
        <w:rPr>
          <w:rFonts w:ascii="Calibri" w:hAnsi="Calibri" w:cs="Calibri"/>
          <w:b/>
          <w:sz w:val="20"/>
          <w:lang w:val="en-GB" w:eastAsia="ja-JP"/>
        </w:rPr>
      </w:pPr>
    </w:p>
    <w:p w:rsidR="0038471D" w:rsidRDefault="0038471D" w:rsidP="0038471D">
      <w:pPr>
        <w:tabs>
          <w:tab w:val="left" w:pos="3005"/>
        </w:tabs>
        <w:spacing w:after="120" w:line="240" w:lineRule="auto"/>
        <w:rPr>
          <w:rFonts w:ascii="Calibri" w:hAnsi="Calibri" w:cs="Calibri"/>
          <w:b/>
          <w:sz w:val="20"/>
          <w:lang w:eastAsia="ja-JP"/>
        </w:rPr>
      </w:pPr>
      <w:r w:rsidRPr="0038471D">
        <w:rPr>
          <w:rFonts w:ascii="Calibri" w:hAnsi="Calibri" w:cs="Calibri"/>
          <w:b/>
          <w:sz w:val="20"/>
          <w:lang w:eastAsia="ja-JP"/>
        </w:rPr>
        <w:t>&lt;&lt;</w:t>
      </w:r>
      <w:r>
        <w:rPr>
          <w:rFonts w:ascii="Calibri" w:hAnsi="Calibri" w:cs="Calibri" w:hint="eastAsia"/>
          <w:b/>
          <w:sz w:val="20"/>
          <w:lang w:eastAsia="ja-JP"/>
        </w:rPr>
        <w:t>*snip*</w:t>
      </w:r>
      <w:r w:rsidRPr="0038471D">
        <w:rPr>
          <w:rFonts w:ascii="Calibri" w:hAnsi="Calibri" w:cs="Calibri"/>
          <w:b/>
          <w:sz w:val="20"/>
          <w:lang w:eastAsia="ja-JP"/>
        </w:rPr>
        <w:t>&gt;&gt;</w:t>
      </w:r>
    </w:p>
    <w:p w:rsidR="0038471D" w:rsidRPr="000E3B9A" w:rsidRDefault="0038471D" w:rsidP="000E3B9A">
      <w:pPr>
        <w:tabs>
          <w:tab w:val="left" w:pos="3005"/>
        </w:tabs>
        <w:spacing w:after="120" w:line="240" w:lineRule="auto"/>
        <w:rPr>
          <w:rFonts w:ascii="Calibri" w:hAnsi="Calibri" w:cs="Calibri"/>
          <w:b/>
          <w:sz w:val="20"/>
          <w:lang w:val="en-GB" w:eastAsia="ja-JP"/>
        </w:rPr>
      </w:pPr>
    </w:p>
    <w:p w:rsidR="000E3B9A" w:rsidRPr="000E3B9A" w:rsidRDefault="000E3B9A" w:rsidP="000E3B9A">
      <w:pPr>
        <w:tabs>
          <w:tab w:val="left" w:pos="3005"/>
        </w:tabs>
        <w:spacing w:after="120" w:line="240" w:lineRule="auto"/>
        <w:rPr>
          <w:rFonts w:ascii="Calibri" w:eastAsia="DengXian" w:hAnsi="Calibri" w:cs="Calibri"/>
          <w:b/>
          <w:sz w:val="20"/>
          <w:lang w:eastAsia="zh-CN"/>
        </w:rPr>
      </w:pPr>
      <w:r w:rsidRPr="000E3B9A">
        <w:rPr>
          <w:rFonts w:ascii="Calibri" w:eastAsia="DengXian" w:hAnsi="Calibri" w:cs="Calibri" w:hint="eastAsia"/>
          <w:b/>
          <w:sz w:val="20"/>
          <w:lang w:eastAsia="zh-CN"/>
        </w:rPr>
        <w:t>Summary:</w:t>
      </w:r>
    </w:p>
    <w:p w:rsidR="000E3B9A" w:rsidRPr="000E3B9A" w:rsidRDefault="000E3B9A" w:rsidP="000E3B9A">
      <w:pPr>
        <w:spacing w:after="120" w:line="240" w:lineRule="auto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For Encapsulation (for relaying RRC messages):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Without F1-AP Encapsulation: The IAB node doesn’t use F1-AP to carry UE’s RRC/MT’s RRC. The IAB node maps UE’s RRC/MT’s RRC directly on RLC-channels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Using F1-AP Encapsulation: The IAB node use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>s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F1-AP to carry UE’s RRC/MT’s RRC. The IAB node encapsulates UE’s RRC/MT’s RRC with F1-AP RRC message containers 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lastRenderedPageBreak/>
        <w:t>Using F1-AP Encapsulation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 with SCTP/IP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: The IAB node use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>s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F1-AP to carry UE’s RRC/MT’s RRC. In addition, the IAB node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 uses SCTP/IP for adaptation layer.</w:t>
      </w:r>
    </w:p>
    <w:p w:rsidR="000E3B9A" w:rsidRPr="000E3B9A" w:rsidRDefault="000E3B9A" w:rsidP="000E3B9A">
      <w:pPr>
        <w:spacing w:after="0" w:line="240" w:lineRule="auto"/>
        <w:ind w:left="720"/>
        <w:contextualSpacing/>
        <w:rPr>
          <w:rFonts w:ascii="Calibri" w:eastAsia="DengXian" w:hAnsi="Calibri" w:cs="Calibri"/>
          <w:lang w:eastAsia="zh-CN"/>
        </w:rPr>
      </w:pPr>
    </w:p>
    <w:p w:rsidR="000E3B9A" w:rsidRPr="000E3B9A" w:rsidRDefault="000E3B9A" w:rsidP="000E3B9A">
      <w:pPr>
        <w:spacing w:after="180" w:line="240" w:lineRule="auto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For Using DRB or SRB for transmission of CP </w:t>
      </w:r>
      <w:proofErr w:type="spellStart"/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signaling</w:t>
      </w:r>
      <w:proofErr w:type="spellEnd"/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(F1-AP mapping on PDCP entity):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Encapsulated in RRC of the collocated MT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: The IAB node 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encapsulates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 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DU’s F1-AP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. F1-AP is 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protected by the PDCP of the underlying SRB.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Carried via SRB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: 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The IAB node uses another SRB to carry DU’s F1-AP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 without encapsulation in RRC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Carried 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>over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native F1-C: 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The IAB node uses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 native F1-C format 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to carry DU’s F1-AP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Carried over DRB: The IAB node uses a DRB to carry DU’s F1-AP.</w:t>
      </w:r>
    </w:p>
    <w:p w:rsidR="000E3B9A" w:rsidRPr="000E3B9A" w:rsidRDefault="000E3B9A" w:rsidP="000E3B9A">
      <w:pPr>
        <w:spacing w:after="0" w:line="240" w:lineRule="auto"/>
        <w:ind w:left="720"/>
        <w:contextualSpacing/>
        <w:rPr>
          <w:rFonts w:ascii="Calibri" w:eastAsia="ＭＳ 明朝" w:hAnsi="Calibri" w:cs="Calibri"/>
          <w:lang w:eastAsia="zh-CN"/>
        </w:rPr>
      </w:pPr>
    </w:p>
    <w:p w:rsidR="000E3B9A" w:rsidRPr="000E3B9A" w:rsidRDefault="000E3B9A" w:rsidP="000E3B9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</w:pPr>
      <w:r w:rsidRPr="000E3B9A"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  <w:t>For Security of F1-AP: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Via PDCP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: 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F1-AP is protected by the PDCP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Via DTLS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>: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F1-AP is protected by the DTLS</w:t>
      </w:r>
    </w:p>
    <w:p w:rsidR="000E3B9A" w:rsidRPr="000E3B9A" w:rsidRDefault="000E3B9A" w:rsidP="000E3B9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</w:pPr>
    </w:p>
    <w:p w:rsidR="000E3B9A" w:rsidRPr="000E3B9A" w:rsidRDefault="000E3B9A" w:rsidP="000E3B9A">
      <w:pPr>
        <w:spacing w:before="120" w:after="120" w:line="240" w:lineRule="auto"/>
        <w:rPr>
          <w:rFonts w:ascii="Times New Roman" w:eastAsia="游明朝" w:hAnsi="Times New Roman" w:cs="Times New Roman"/>
          <w:b/>
          <w:sz w:val="20"/>
          <w:szCs w:val="20"/>
          <w:lang w:val="en-GB"/>
        </w:rPr>
      </w:pPr>
      <w:r w:rsidRPr="000E3B9A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>The</w:t>
      </w:r>
      <w:r w:rsidRPr="000E3B9A"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  <w:t xml:space="preserve"> comparison analysis of the five CP alternatives are provided in the Table 8.3.4-x. More comparison aspects are not excluded.</w:t>
      </w:r>
      <w:bookmarkStart w:id="5" w:name="_Ref516822488"/>
    </w:p>
    <w:p w:rsidR="000E3B9A" w:rsidRPr="000E3B9A" w:rsidRDefault="000E3B9A" w:rsidP="000E3B9A">
      <w:pPr>
        <w:spacing w:before="120" w:after="120" w:line="240" w:lineRule="auto"/>
        <w:jc w:val="center"/>
        <w:rPr>
          <w:rFonts w:ascii="Times New Roman" w:eastAsia="游明朝" w:hAnsi="Times New Roman" w:cs="Times New Roman"/>
          <w:b/>
          <w:i/>
          <w:sz w:val="20"/>
          <w:szCs w:val="20"/>
          <w:lang w:val="x-none"/>
        </w:rPr>
      </w:pPr>
      <w:proofErr w:type="gramStart"/>
      <w:r w:rsidRPr="000E3B9A">
        <w:rPr>
          <w:rFonts w:ascii="Times New Roman" w:eastAsia="游明朝" w:hAnsi="Times New Roman" w:cs="Times New Roman"/>
          <w:b/>
          <w:sz w:val="20"/>
          <w:szCs w:val="20"/>
          <w:lang w:val="en-GB"/>
        </w:rPr>
        <w:t xml:space="preserve">Table </w:t>
      </w:r>
      <w:bookmarkEnd w:id="5"/>
      <w:r w:rsidRPr="000E3B9A">
        <w:rPr>
          <w:rFonts w:ascii="Times New Roman" w:eastAsia="游明朝" w:hAnsi="Times New Roman" w:cs="Times New Roman"/>
          <w:b/>
          <w:sz w:val="20"/>
          <w:szCs w:val="20"/>
          <w:lang w:val="en-GB"/>
        </w:rPr>
        <w:t>8.3.4-1.</w:t>
      </w:r>
      <w:proofErr w:type="gramEnd"/>
      <w:r w:rsidRPr="000E3B9A">
        <w:rPr>
          <w:rFonts w:ascii="Times New Roman" w:eastAsia="游明朝" w:hAnsi="Times New Roman" w:cs="Times New Roman"/>
          <w:b/>
          <w:sz w:val="20"/>
          <w:szCs w:val="20"/>
          <w:lang w:val="en-GB"/>
        </w:rPr>
        <w:t xml:space="preserve"> Comparison of the five CP alternatives of architecture 1a </w:t>
      </w:r>
    </w:p>
    <w:tbl>
      <w:tblPr>
        <w:tblW w:w="1021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434"/>
        <w:gridCol w:w="950"/>
        <w:gridCol w:w="1568"/>
        <w:gridCol w:w="1091"/>
        <w:gridCol w:w="1057"/>
        <w:gridCol w:w="1516"/>
        <w:gridCol w:w="1038"/>
        <w:gridCol w:w="1561"/>
      </w:tblGrid>
      <w:tr w:rsidR="000E3B9A" w:rsidRPr="000E3B9A" w:rsidTr="00383C3A">
        <w:tc>
          <w:tcPr>
            <w:tcW w:w="2384" w:type="dxa"/>
            <w:gridSpan w:val="2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C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omparison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aspects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  <w:t>Alt 1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  <w:t>Alt 2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  <w:t>Alt 3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  <w:t>Alt 4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E3B9A"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x-none" w:eastAsia="zh-CN"/>
              </w:rPr>
              <w:t xml:space="preserve">Alt </w:t>
            </w:r>
            <w:r w:rsidRPr="000E3B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56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  <w:t>Comparison analysis</w:t>
            </w:r>
          </w:p>
        </w:tc>
      </w:tr>
      <w:tr w:rsidR="000E3B9A" w:rsidRPr="000E3B9A" w:rsidTr="00383C3A">
        <w:tc>
          <w:tcPr>
            <w:tcW w:w="1434" w:type="dxa"/>
            <w:vMerge w:val="restart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en-GB"/>
              </w:rPr>
              <w:t xml:space="preserve">Transport for CP </w:t>
            </w:r>
            <w:proofErr w:type="spellStart"/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en-GB"/>
              </w:rPr>
              <w:t>signaling</w:t>
            </w:r>
            <w:proofErr w:type="spellEnd"/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en-GB"/>
              </w:rPr>
              <w:t xml:space="preserve"> on wireless plane</w:t>
            </w:r>
          </w:p>
        </w:tc>
        <w:tc>
          <w:tcPr>
            <w:tcW w:w="950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UE/IAB-MT’s RRC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SRB in access link, SRB over RLC channel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 in backhaul links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Same as alt 1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Same as alt 1</w:t>
            </w:r>
          </w:p>
        </w:tc>
        <w:tc>
          <w:tcPr>
            <w:tcW w:w="1561" w:type="dxa"/>
            <w:vMerge w:val="restart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SRB is recommen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d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ed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to carry UE/IAB-MT’s RRC signaling in all the alternatives.</w:t>
            </w:r>
          </w:p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[TBD for IAB DU’s F1AP]</w:t>
            </w:r>
          </w:p>
        </w:tc>
      </w:tr>
      <w:tr w:rsidR="000E3B9A" w:rsidRPr="000E3B9A" w:rsidTr="00383C3A">
        <w:tc>
          <w:tcPr>
            <w:tcW w:w="1434" w:type="dxa"/>
            <w:vMerge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IAB-DU’s F1AP 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en-GB"/>
              </w:rPr>
              <w:t>SRB of collocated MT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DRB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zh-CN"/>
              </w:rPr>
              <w:t>[TBD]</w:t>
            </w:r>
          </w:p>
        </w:tc>
        <w:tc>
          <w:tcPr>
            <w:tcW w:w="1561" w:type="dxa"/>
            <w:vMerge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</w:p>
        </w:tc>
      </w:tr>
      <w:tr w:rsidR="000E3B9A" w:rsidRPr="000E3B9A" w:rsidTr="00383C3A">
        <w:trPr>
          <w:trHeight w:val="231"/>
        </w:trPr>
        <w:tc>
          <w:tcPr>
            <w:tcW w:w="1434" w:type="dxa"/>
            <w:vMerge w:val="restart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CG Times (WN)" w:eastAsia="ＭＳ 明朝" w:hAnsi="CG Times (WN)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E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ncapsulation </w:t>
            </w:r>
          </w:p>
        </w:tc>
        <w:tc>
          <w:tcPr>
            <w:tcW w:w="950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UE/IAB-MT’s RRC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Within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PDCP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  <w:t xml:space="preserve">but without encapsulation in F1-AP of serving IAB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node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Within 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  <w:t xml:space="preserve">PDCP and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F1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-AP of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  <w:t>serving IAB node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Same as alt 2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Times New Roman" w:hAnsi="Times New Roman" w:cs="Times New Roman" w:hint="eastAsia"/>
                <w:sz w:val="20"/>
                <w:szCs w:val="20"/>
                <w:lang w:val="x-none" w:eastAsia="zh-CN"/>
              </w:rPr>
              <w:t>Same with alt 1</w:t>
            </w:r>
          </w:p>
        </w:tc>
        <w:tc>
          <w:tcPr>
            <w:tcW w:w="156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[TBD]</w:t>
            </w:r>
          </w:p>
        </w:tc>
      </w:tr>
      <w:tr w:rsidR="000E3B9A" w:rsidRPr="000E3B9A" w:rsidTr="00383C3A">
        <w:trPr>
          <w:trHeight w:val="231"/>
        </w:trPr>
        <w:tc>
          <w:tcPr>
            <w:tcW w:w="1434" w:type="dxa"/>
            <w:vMerge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CG Times (WN)" w:eastAsia="ＭＳ 明朝" w:hAnsi="CG Times (WN)" w:cs="Times New Roman"/>
                <w:sz w:val="20"/>
                <w:szCs w:val="20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IAB-DU’s F1AP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Within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RRC of collocated MT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  <w:t xml:space="preserve">Within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PDCP of collocated MT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2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Within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DTLS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/SCTP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/IP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  <w:t>above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 RLC channel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  <w:t xml:space="preserve">Within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PDCP of collocated MT</w:t>
            </w:r>
          </w:p>
        </w:tc>
        <w:tc>
          <w:tcPr>
            <w:tcW w:w="156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[TBD]</w:t>
            </w:r>
          </w:p>
        </w:tc>
      </w:tr>
      <w:tr w:rsidR="000E3B9A" w:rsidRPr="000E3B9A" w:rsidTr="00383C3A">
        <w:tc>
          <w:tcPr>
            <w:tcW w:w="2384" w:type="dxa"/>
            <w:gridSpan w:val="2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ecurity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of F1AP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Protected by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PDCP 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P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rotected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by DTLS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Protected by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PDCP</w:t>
            </w:r>
          </w:p>
        </w:tc>
        <w:tc>
          <w:tcPr>
            <w:tcW w:w="156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  <w:t>[TBD]</w:t>
            </w:r>
          </w:p>
        </w:tc>
      </w:tr>
      <w:tr w:rsidR="000E3B9A" w:rsidRPr="000E3B9A" w:rsidTr="00383C3A">
        <w:tc>
          <w:tcPr>
            <w:tcW w:w="2384" w:type="dxa"/>
            <w:gridSpan w:val="2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Routing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of control plane PDUs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daptation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layer is responsible for routing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Same as alt 1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56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In all alternatives, the adaptation layer is used for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lastRenderedPageBreak/>
              <w:t>routing.</w:t>
            </w:r>
          </w:p>
        </w:tc>
      </w:tr>
      <w:tr w:rsidR="000E3B9A" w:rsidRPr="000E3B9A" w:rsidTr="00383C3A">
        <w:tc>
          <w:tcPr>
            <w:tcW w:w="2384" w:type="dxa"/>
            <w:gridSpan w:val="2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lastRenderedPageBreak/>
              <w:t>I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mpact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to IAB donor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N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ative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F1-C as baseline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Same as alt 1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Same as alt 1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[TBD]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Native F1-C over E1</w:t>
            </w:r>
          </w:p>
        </w:tc>
        <w:tc>
          <w:tcPr>
            <w:tcW w:w="156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[TBD]</w:t>
            </w:r>
          </w:p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zh-CN"/>
              </w:rPr>
              <w:t>T</w:t>
            </w:r>
            <w:r w:rsidRPr="000E3B9A">
              <w:rPr>
                <w:rFonts w:ascii="Times New Roman" w:eastAsia="Times New Roman" w:hAnsi="Times New Roman" w:cs="Times New Roman" w:hint="eastAsia"/>
                <w:sz w:val="20"/>
                <w:szCs w:val="20"/>
                <w:lang w:val="x-none" w:eastAsia="zh-CN"/>
              </w:rPr>
              <w:t xml:space="preserve">he </w:t>
            </w:r>
            <w:r w:rsidRPr="000E3B9A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zh-CN"/>
              </w:rPr>
              <w:t>detailed impact on native F1-AP needs further study.</w:t>
            </w:r>
          </w:p>
        </w:tc>
      </w:tr>
    </w:tbl>
    <w:p w:rsidR="000E3B9A" w:rsidRDefault="000E3B9A" w:rsidP="000E3B9A">
      <w:pPr>
        <w:spacing w:after="0" w:line="240" w:lineRule="auto"/>
        <w:contextualSpacing/>
        <w:rPr>
          <w:ins w:id="6" w:author="KDDI" w:date="2018-08-02T11:03:00Z"/>
          <w:rFonts w:ascii="Calibri" w:hAnsi="Calibri" w:cs="Calibri"/>
          <w:lang w:eastAsia="ja-JP"/>
        </w:rPr>
      </w:pPr>
    </w:p>
    <w:p w:rsidR="00584963" w:rsidRPr="00646289" w:rsidRDefault="00584963" w:rsidP="00584963">
      <w:pPr>
        <w:tabs>
          <w:tab w:val="left" w:pos="3005"/>
        </w:tabs>
        <w:spacing w:after="120" w:line="240" w:lineRule="auto"/>
        <w:rPr>
          <w:ins w:id="7" w:author="KDDI" w:date="2018-08-02T11:03:00Z"/>
          <w:rFonts w:ascii="Calibri" w:hAnsi="Calibri" w:cs="Calibri"/>
          <w:b/>
          <w:sz w:val="20"/>
          <w:lang w:eastAsia="ja-JP"/>
        </w:rPr>
      </w:pPr>
      <w:ins w:id="8" w:author="KDDI" w:date="2018-08-02T11:03:00Z">
        <w:r>
          <w:rPr>
            <w:rFonts w:ascii="Calibri" w:hAnsi="Calibri" w:cs="Calibri" w:hint="eastAsia"/>
            <w:b/>
            <w:sz w:val="20"/>
            <w:lang w:eastAsia="ja-JP"/>
          </w:rPr>
          <w:t>NSA operation</w:t>
        </w:r>
        <w:r w:rsidRPr="000E3B9A">
          <w:rPr>
            <w:rFonts w:ascii="Calibri" w:eastAsia="DengXian" w:hAnsi="Calibri" w:cs="Calibri" w:hint="eastAsia"/>
            <w:b/>
            <w:sz w:val="20"/>
            <w:lang w:eastAsia="zh-CN"/>
          </w:rPr>
          <w:t>:</w:t>
        </w:r>
      </w:ins>
    </w:p>
    <w:p w:rsidR="004823A8" w:rsidRPr="004823A8" w:rsidRDefault="00C15484" w:rsidP="004823A8">
      <w:pPr>
        <w:spacing w:after="120" w:line="240" w:lineRule="auto"/>
        <w:rPr>
          <w:ins w:id="9" w:author="KDDI" w:date="2018-08-09T14:18:00Z"/>
          <w:rFonts w:ascii="Times New Roman" w:eastAsia="游明朝" w:hAnsi="Times New Roman" w:cs="Times New Roman"/>
          <w:sz w:val="20"/>
          <w:szCs w:val="20"/>
          <w:lang w:eastAsia="ja-JP"/>
        </w:rPr>
      </w:pPr>
      <w:ins w:id="10" w:author="KDDI" w:date="2018-08-09T14:33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In all CP </w:t>
        </w:r>
      </w:ins>
      <w:ins w:id="11" w:author="KDDI" w:date="2018-08-09T14:34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alternatives</w:t>
        </w:r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, t</w:t>
        </w:r>
      </w:ins>
      <w:ins w:id="12" w:author="KDDI" w:date="2018-08-09T14:18:00Z">
        <w:r w:rsidR="004823A8"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he IAB node </w:t>
        </w:r>
      </w:ins>
      <w:ins w:id="13" w:author="KDDI" w:date="2018-08-09T14:34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possibly </w:t>
        </w:r>
      </w:ins>
      <w:ins w:id="14" w:author="KDDI" w:date="2018-08-09T14:18:00Z">
        <w:r w:rsidR="004823A8"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uses SRB to carry F1-AP to the IAB donor. When the IAB node operates in SA with NGC (described as “Option a” and “Option b” in Section 6.1.2), the SR</w:t>
        </w:r>
        <w:r w:rsid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B uses NR air interface. </w:t>
        </w:r>
      </w:ins>
      <w:ins w:id="15" w:author="KDDI" w:date="2018-08-09T14:19:00Z">
        <w:r w:rsid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On the other hand,</w:t>
        </w:r>
      </w:ins>
      <w:ins w:id="16" w:author="KDDI" w:date="2018-08-09T14:18:00Z">
        <w:r w:rsidR="004823A8"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in the case the IAB node operates in NSA with EPC (described as “Option c” in Section 6.1.2), the SRB can</w:t>
        </w:r>
        <w:r w:rsidR="004823A8"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</w:t>
        </w:r>
        <w:r w:rsidR="004823A8"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use LTE air interface</w:t>
        </w:r>
        <w:r w:rsidR="004823A8"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also</w:t>
        </w:r>
        <w:r w:rsidR="004823A8"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. </w:t>
        </w:r>
        <w:r w:rsidR="004823A8"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So </w:t>
        </w:r>
      </w:ins>
      <w:ins w:id="17" w:author="KDDI" w:date="2018-08-09T14:35:00Z">
        <w:r w:rsidR="00826D8B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for NSA operation, </w:t>
        </w:r>
      </w:ins>
      <w:ins w:id="18" w:author="KDDI" w:date="2018-08-09T14:18:00Z">
        <w:r w:rsidR="004823A8"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there are two options for SRB as below.</w:t>
        </w:r>
      </w:ins>
    </w:p>
    <w:p w:rsidR="004823A8" w:rsidRPr="00826D8B" w:rsidRDefault="004823A8" w:rsidP="00584963">
      <w:pPr>
        <w:spacing w:after="120" w:line="240" w:lineRule="auto"/>
        <w:rPr>
          <w:ins w:id="19" w:author="KDDI" w:date="2018-08-09T14:20:00Z"/>
          <w:rFonts w:ascii="Times New Roman" w:eastAsia="游明朝" w:hAnsi="Times New Roman" w:cs="Times New Roman"/>
          <w:sz w:val="20"/>
          <w:szCs w:val="20"/>
          <w:lang w:val="en-GB" w:eastAsia="ja-JP"/>
        </w:rPr>
      </w:pPr>
    </w:p>
    <w:p w:rsidR="004823A8" w:rsidRDefault="004823A8" w:rsidP="00C15484">
      <w:pPr>
        <w:numPr>
          <w:ilvl w:val="0"/>
          <w:numId w:val="39"/>
        </w:numPr>
        <w:spacing w:after="120" w:line="240" w:lineRule="auto"/>
        <w:rPr>
          <w:ins w:id="20" w:author="KDDI" w:date="2018-08-09T14:20:00Z"/>
          <w:rFonts w:ascii="Times New Roman" w:eastAsia="游明朝" w:hAnsi="Times New Roman" w:cs="Times New Roman"/>
          <w:sz w:val="20"/>
          <w:szCs w:val="20"/>
          <w:lang w:eastAsia="ja-JP"/>
        </w:rPr>
      </w:pPr>
      <w:ins w:id="21" w:author="KDDI" w:date="2018-08-09T14:20:00Z"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Option1: SRB on NR air interface. This option is to keep </w:t>
        </w:r>
        <w:r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the eNB agnostic to IAB.</w:t>
        </w:r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</w:t>
        </w:r>
        <w:r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This would allow using the same IAB framework for SA and NSA</w:t>
        </w:r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, the </w:t>
        </w:r>
        <w:r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eNB does not have to be updated if the IAB-node-MT changes attachment point.</w:t>
        </w:r>
      </w:ins>
    </w:p>
    <w:p w:rsidR="004823A8" w:rsidRDefault="004823A8" w:rsidP="00C15484">
      <w:pPr>
        <w:numPr>
          <w:ilvl w:val="0"/>
          <w:numId w:val="39"/>
        </w:numPr>
        <w:spacing w:after="120" w:line="240" w:lineRule="auto"/>
        <w:rPr>
          <w:ins w:id="22" w:author="KDDI" w:date="2018-08-09T14:30:00Z"/>
          <w:rFonts w:ascii="Times New Roman" w:eastAsia="游明朝" w:hAnsi="Times New Roman" w:cs="Times New Roman"/>
          <w:sz w:val="20"/>
          <w:szCs w:val="20"/>
          <w:lang w:eastAsia="ja-JP"/>
        </w:rPr>
      </w:pPr>
      <w:ins w:id="23" w:author="KDDI" w:date="2018-08-09T14:20:00Z"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Option2: SRB on LTE air interface. This option </w:t>
        </w:r>
        <w:r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is more robust</w:t>
        </w:r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, in case where operators can use sub 6 spectrum </w:t>
        </w:r>
      </w:ins>
      <w:ins w:id="24" w:author="KDDI" w:date="2018-08-09T14:21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for </w:t>
        </w:r>
      </w:ins>
      <w:ins w:id="25" w:author="KDDI" w:date="2018-08-09T14:20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LTE in addition to </w:t>
        </w:r>
        <w:proofErr w:type="spellStart"/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mmwave</w:t>
        </w:r>
      </w:ins>
      <w:proofErr w:type="spellEnd"/>
      <w:ins w:id="26" w:author="KDDI" w:date="2018-08-09T14:21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for NR</w:t>
        </w:r>
      </w:ins>
      <w:ins w:id="27" w:author="KDDI" w:date="2018-08-09T14:20:00Z"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.</w:t>
        </w:r>
      </w:ins>
      <w:ins w:id="28" w:author="KDDI" w:date="2018-08-09T14:21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</w:t>
        </w:r>
      </w:ins>
      <w:ins w:id="29" w:author="KDDI" w:date="2018-08-09T14:20:00Z"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This option</w:t>
        </w:r>
        <w:r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</w:t>
        </w:r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requires some update to the eNB, i.e. new </w:t>
        </w:r>
        <w:r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LTE RRC message container to carry F1-AP over LTE air interface</w:t>
        </w:r>
        <w:r w:rsidRPr="00AA10A7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, and F</w:t>
        </w:r>
        <w:r w:rsidRPr="00AA10A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1-AP forwarding</w:t>
        </w:r>
        <w:r w:rsidRPr="00AA10A7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mechanism </w:t>
        </w:r>
        <w:r w:rsidRPr="00AA10A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between </w:t>
        </w:r>
        <w:r w:rsidRPr="00AA10A7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the </w:t>
        </w:r>
        <w:r w:rsidRPr="00AA10A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eNB and donor IAB on wired link</w:t>
        </w:r>
        <w:r w:rsidRPr="00C15484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. RAN3 specified RRC transfer procedure in Rel.15 to </w:t>
        </w:r>
        <w:r w:rsidRPr="00826D8B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enable transfer of the NR RRC message container with the NR measurements from the </w:t>
        </w:r>
        <w:proofErr w:type="spellStart"/>
        <w:r w:rsidRPr="00826D8B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MeNB</w:t>
        </w:r>
        <w:proofErr w:type="spellEnd"/>
        <w:r w:rsidRPr="00826D8B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to the </w:t>
        </w:r>
        <w:proofErr w:type="spellStart"/>
        <w:r w:rsidRPr="00826D8B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en</w:t>
        </w:r>
        <w:proofErr w:type="spellEnd"/>
        <w:r w:rsidRPr="00826D8B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-gNB, when received from the UE</w:t>
        </w:r>
        <w:r w:rsidRPr="006A5CCC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.</w:t>
        </w:r>
        <w:r w:rsidRPr="00C01D37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This mechanism</w:t>
        </w:r>
        <w:r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can be </w:t>
        </w:r>
      </w:ins>
      <w:ins w:id="30" w:author="KDDI" w:date="2018-08-09T14:22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re</w:t>
        </w:r>
      </w:ins>
      <w:ins w:id="31" w:author="KDDI" w:date="2018-08-09T14:20:00Z"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used for F</w:t>
        </w:r>
        <w:r w:rsidRPr="00AA10A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1-AP forwarding</w:t>
        </w:r>
        <w:r w:rsidRPr="00AA10A7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.</w:t>
        </w:r>
      </w:ins>
    </w:p>
    <w:p w:rsidR="00C15484" w:rsidRPr="00C15484" w:rsidRDefault="00C15484" w:rsidP="00C15484">
      <w:pPr>
        <w:spacing w:after="120" w:line="240" w:lineRule="auto"/>
        <w:rPr>
          <w:ins w:id="32" w:author="KDDI" w:date="2018-08-09T14:20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:rsidR="004823A8" w:rsidRDefault="00C01D37" w:rsidP="00C15484">
      <w:pPr>
        <w:spacing w:after="120" w:line="240" w:lineRule="auto"/>
        <w:jc w:val="center"/>
        <w:rPr>
          <w:ins w:id="33" w:author="KDDI" w:date="2018-08-02T11:04:00Z"/>
          <w:rFonts w:ascii="Times New Roman" w:eastAsia="游明朝" w:hAnsi="Times New Roman" w:cs="Times New Roman"/>
          <w:sz w:val="20"/>
          <w:szCs w:val="20"/>
          <w:lang w:val="en-GB" w:eastAsia="ja-JP"/>
        </w:rPr>
      </w:pPr>
      <w:ins w:id="34" w:author="KDDI" w:date="2018-08-09T14:44:00Z">
        <w:r w:rsidRPr="00C01D37">
          <w:rPr>
            <w:rFonts w:hint="eastAsia"/>
            <w:noProof/>
            <w:lang w:eastAsia="ja-JP"/>
          </w:rPr>
          <w:drawing>
            <wp:inline distT="0" distB="0" distL="0" distR="0" wp14:anchorId="7558C601" wp14:editId="69B0FAA3">
              <wp:extent cx="5971540" cy="2753001"/>
              <wp:effectExtent l="0" t="0" r="0" b="0"/>
              <wp:docPr id="40" name="図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71540" cy="275300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066DC9" w:rsidRPr="000E3B9A" w:rsidRDefault="00AC7385" w:rsidP="00626538">
      <w:pPr>
        <w:spacing w:after="120" w:line="240" w:lineRule="auto"/>
        <w:jc w:val="center"/>
        <w:rPr>
          <w:ins w:id="35" w:author="KDDI" w:date="2018-08-02T11:03:00Z"/>
          <w:rFonts w:ascii="Times New Roman" w:eastAsia="游明朝" w:hAnsi="Times New Roman" w:cs="Times New Roman"/>
          <w:sz w:val="20"/>
          <w:szCs w:val="20"/>
          <w:lang w:val="en-GB" w:eastAsia="ja-JP"/>
        </w:rPr>
      </w:pPr>
      <w:ins w:id="36" w:author="KDDI" w:date="2018-08-02T11:27:00Z">
        <w:r w:rsidRPr="00AC7385">
          <w:rPr>
            <w:rFonts w:ascii="Times New Roman" w:eastAsia="游明朝" w:hAnsi="Times New Roman" w:cs="Times New Roman"/>
            <w:b/>
            <w:sz w:val="20"/>
            <w:szCs w:val="20"/>
            <w:lang w:val="en-GB"/>
          </w:rPr>
          <w:t>Figure</w:t>
        </w:r>
        <w:r>
          <w:rPr>
            <w:rFonts w:ascii="Times New Roman" w:eastAsia="游明朝" w:hAnsi="Times New Roman" w:cs="Times New Roman"/>
            <w:b/>
            <w:sz w:val="20"/>
            <w:szCs w:val="20"/>
            <w:lang w:val="en-GB"/>
          </w:rPr>
          <w:t xml:space="preserve"> 8.3.4- </w:t>
        </w:r>
        <w:r>
          <w:rPr>
            <w:rFonts w:ascii="Times New Roman" w:eastAsia="游明朝" w:hAnsi="Times New Roman" w:cs="Times New Roman" w:hint="eastAsia"/>
            <w:b/>
            <w:sz w:val="20"/>
            <w:szCs w:val="20"/>
            <w:lang w:val="en-GB" w:eastAsia="ja-JP"/>
          </w:rPr>
          <w:t>6</w:t>
        </w:r>
        <w:r w:rsidRPr="00AC7385">
          <w:rPr>
            <w:rFonts w:ascii="Times New Roman" w:eastAsia="游明朝" w:hAnsi="Times New Roman" w:cs="Times New Roman"/>
            <w:b/>
            <w:sz w:val="20"/>
            <w:szCs w:val="20"/>
            <w:lang w:val="en-GB"/>
          </w:rPr>
          <w:t>:</w:t>
        </w:r>
        <w:r>
          <w:rPr>
            <w:rFonts w:ascii="Times New Roman" w:eastAsia="游明朝" w:hAnsi="Times New Roman" w:cs="Times New Roman" w:hint="eastAsia"/>
            <w:b/>
            <w:sz w:val="20"/>
            <w:szCs w:val="20"/>
            <w:lang w:val="en-GB" w:eastAsia="ja-JP"/>
          </w:rPr>
          <w:t xml:space="preserve"> </w:t>
        </w:r>
      </w:ins>
      <w:ins w:id="37" w:author="KDDI" w:date="2018-08-09T14:29:00Z">
        <w:r w:rsidR="00C15484">
          <w:rPr>
            <w:rFonts w:ascii="Times New Roman" w:eastAsia="游明朝" w:hAnsi="Times New Roman" w:cs="Times New Roman" w:hint="eastAsia"/>
            <w:b/>
            <w:sz w:val="20"/>
            <w:szCs w:val="20"/>
            <w:lang w:val="en-GB" w:eastAsia="ja-JP"/>
          </w:rPr>
          <w:t>Two options for SRB</w:t>
        </w:r>
      </w:ins>
    </w:p>
    <w:p w:rsidR="00584963" w:rsidRPr="00584963" w:rsidRDefault="00584963" w:rsidP="000E3B9A">
      <w:pPr>
        <w:spacing w:after="0" w:line="240" w:lineRule="auto"/>
        <w:contextualSpacing/>
        <w:rPr>
          <w:rFonts w:ascii="Calibri" w:hAnsi="Calibri" w:cs="Calibri"/>
          <w:lang w:val="en-GB" w:eastAsia="ja-JP"/>
        </w:rPr>
      </w:pPr>
    </w:p>
    <w:p w:rsidR="000E3B9A" w:rsidRPr="000E3B9A" w:rsidRDefault="000E3B9A" w:rsidP="000E3B9A">
      <w:pPr>
        <w:keepNext/>
        <w:keepLines/>
        <w:spacing w:before="120" w:after="180" w:line="240" w:lineRule="auto"/>
        <w:outlineLvl w:val="2"/>
        <w:rPr>
          <w:rFonts w:ascii="Arial" w:eastAsia="游明朝" w:hAnsi="Arial" w:cs="Times New Roman"/>
          <w:sz w:val="28"/>
          <w:szCs w:val="20"/>
          <w:lang w:val="en-GB"/>
        </w:rPr>
      </w:pPr>
      <w:bookmarkStart w:id="38" w:name="_Toc520296479"/>
      <w:r w:rsidRPr="000E3B9A">
        <w:rPr>
          <w:rFonts w:ascii="Arial" w:eastAsia="游明朝" w:hAnsi="Arial" w:cs="Times New Roman"/>
          <w:sz w:val="28"/>
          <w:szCs w:val="20"/>
          <w:lang w:val="en-GB"/>
        </w:rPr>
        <w:t>8.3.5</w:t>
      </w:r>
      <w:r w:rsidRPr="000E3B9A">
        <w:rPr>
          <w:rFonts w:ascii="Arial" w:eastAsia="游明朝" w:hAnsi="Arial" w:cs="Times New Roman"/>
          <w:sz w:val="28"/>
          <w:szCs w:val="20"/>
          <w:lang w:val="en-GB"/>
        </w:rPr>
        <w:tab/>
        <w:t>CP alternatives for architecture 1b</w:t>
      </w:r>
      <w:bookmarkEnd w:id="38"/>
    </w:p>
    <w:p w:rsidR="008722B8" w:rsidRDefault="008722B8" w:rsidP="005341BC">
      <w:pPr>
        <w:spacing w:line="240" w:lineRule="auto"/>
        <w:rPr>
          <w:sz w:val="24"/>
          <w:lang w:eastAsia="ja-JP"/>
        </w:rPr>
      </w:pPr>
    </w:p>
    <w:p w:rsidR="0038471D" w:rsidRDefault="0038471D" w:rsidP="0038471D">
      <w:pPr>
        <w:tabs>
          <w:tab w:val="left" w:pos="3005"/>
        </w:tabs>
        <w:spacing w:after="120" w:line="240" w:lineRule="auto"/>
        <w:rPr>
          <w:rFonts w:ascii="Calibri" w:hAnsi="Calibri" w:cs="Calibri"/>
          <w:b/>
          <w:sz w:val="20"/>
          <w:lang w:eastAsia="ja-JP"/>
        </w:rPr>
      </w:pPr>
      <w:r w:rsidRPr="0038471D">
        <w:rPr>
          <w:rFonts w:ascii="Calibri" w:hAnsi="Calibri" w:cs="Calibri"/>
          <w:b/>
          <w:sz w:val="20"/>
          <w:lang w:eastAsia="ja-JP"/>
        </w:rPr>
        <w:lastRenderedPageBreak/>
        <w:t xml:space="preserve">&lt;&lt;TP </w:t>
      </w:r>
      <w:r>
        <w:rPr>
          <w:rFonts w:ascii="Calibri" w:hAnsi="Calibri" w:cs="Calibri" w:hint="eastAsia"/>
          <w:b/>
          <w:sz w:val="20"/>
          <w:lang w:eastAsia="ja-JP"/>
        </w:rPr>
        <w:t>end</w:t>
      </w:r>
      <w:r w:rsidRPr="0038471D">
        <w:rPr>
          <w:rFonts w:ascii="Calibri" w:hAnsi="Calibri" w:cs="Calibri"/>
          <w:b/>
          <w:sz w:val="20"/>
          <w:lang w:eastAsia="ja-JP"/>
        </w:rPr>
        <w:t>&gt;&gt;</w:t>
      </w:r>
    </w:p>
    <w:p w:rsidR="0038471D" w:rsidRDefault="0038471D" w:rsidP="005341BC">
      <w:pPr>
        <w:spacing w:line="240" w:lineRule="auto"/>
        <w:rPr>
          <w:sz w:val="24"/>
          <w:lang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9C5176" w:rsidRDefault="008722B8" w:rsidP="000F53E9">
      <w:pPr>
        <w:spacing w:after="0" w:line="240" w:lineRule="auto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[1] </w:t>
      </w:r>
      <w:r w:rsidR="005E5184" w:rsidRPr="005E5184">
        <w:rPr>
          <w:sz w:val="24"/>
          <w:lang w:eastAsia="ja-JP"/>
        </w:rPr>
        <w:t>R3-184347</w:t>
      </w:r>
      <w:r w:rsidR="005E5184" w:rsidRPr="005E5184">
        <w:rPr>
          <w:sz w:val="24"/>
          <w:lang w:eastAsia="ja-JP"/>
        </w:rPr>
        <w:tab/>
        <w:t>Control plane protocols for architecture group 1</w:t>
      </w:r>
      <w:r w:rsidR="005E5184" w:rsidRPr="005E5184">
        <w:rPr>
          <w:sz w:val="24"/>
          <w:lang w:eastAsia="ja-JP"/>
        </w:rPr>
        <w:tab/>
      </w:r>
      <w:proofErr w:type="gramStart"/>
      <w:r w:rsidR="005E5184" w:rsidRPr="005E5184">
        <w:rPr>
          <w:sz w:val="24"/>
          <w:lang w:eastAsia="ja-JP"/>
        </w:rPr>
        <w:t>Huawei</w:t>
      </w:r>
      <w:proofErr w:type="gramEnd"/>
      <w:r w:rsidR="000F53E9">
        <w:rPr>
          <w:rFonts w:hint="eastAsia"/>
          <w:sz w:val="24"/>
          <w:lang w:eastAsia="ja-JP"/>
        </w:rPr>
        <w:br/>
      </w:r>
      <w:r w:rsidR="009C5176">
        <w:rPr>
          <w:rFonts w:hint="eastAsia"/>
          <w:sz w:val="24"/>
          <w:lang w:eastAsia="ja-JP"/>
        </w:rPr>
        <w:t xml:space="preserve">[2] </w:t>
      </w:r>
      <w:r w:rsidR="009C5176" w:rsidRPr="009C5176">
        <w:rPr>
          <w:sz w:val="24"/>
          <w:lang w:eastAsia="ja-JP"/>
        </w:rPr>
        <w:t>R3-184255</w:t>
      </w:r>
      <w:r w:rsidR="009C5176" w:rsidRPr="009C5176">
        <w:rPr>
          <w:sz w:val="24"/>
          <w:lang w:eastAsia="ja-JP"/>
        </w:rPr>
        <w:tab/>
        <w:t>Discussion on supporting IAB in NSA</w:t>
      </w:r>
      <w:r w:rsidR="009C5176" w:rsidRPr="009C5176">
        <w:rPr>
          <w:sz w:val="24"/>
          <w:lang w:eastAsia="ja-JP"/>
        </w:rPr>
        <w:tab/>
      </w:r>
      <w:r w:rsidR="00377305">
        <w:rPr>
          <w:rFonts w:hint="eastAsia"/>
          <w:sz w:val="24"/>
          <w:lang w:eastAsia="ja-JP"/>
        </w:rPr>
        <w:tab/>
      </w:r>
      <w:r w:rsidR="00377305">
        <w:rPr>
          <w:rFonts w:hint="eastAsia"/>
          <w:sz w:val="24"/>
          <w:lang w:eastAsia="ja-JP"/>
        </w:rPr>
        <w:tab/>
      </w:r>
      <w:r w:rsidR="009C5176" w:rsidRPr="009C5176">
        <w:rPr>
          <w:sz w:val="24"/>
          <w:lang w:eastAsia="ja-JP"/>
        </w:rPr>
        <w:t>Nokia, Nokia Shanghai Bell</w:t>
      </w:r>
    </w:p>
    <w:p w:rsidR="005E5184" w:rsidRPr="0018599D" w:rsidRDefault="005E5184" w:rsidP="005341BC">
      <w:pPr>
        <w:spacing w:line="240" w:lineRule="auto"/>
        <w:rPr>
          <w:sz w:val="24"/>
          <w:lang w:eastAsia="ja-JP"/>
        </w:rPr>
      </w:pPr>
    </w:p>
    <w:sectPr w:rsidR="005E5184" w:rsidRPr="0018599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E60" w:rsidRDefault="002D5E60" w:rsidP="000519FA">
      <w:pPr>
        <w:spacing w:after="0" w:line="240" w:lineRule="auto"/>
      </w:pPr>
      <w:r>
        <w:separator/>
      </w:r>
    </w:p>
  </w:endnote>
  <w:endnote w:type="continuationSeparator" w:id="0">
    <w:p w:rsidR="002D5E60" w:rsidRDefault="002D5E60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5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E60" w:rsidRDefault="002D5E60" w:rsidP="000519FA">
      <w:pPr>
        <w:spacing w:after="0" w:line="240" w:lineRule="auto"/>
      </w:pPr>
      <w:r>
        <w:separator/>
      </w:r>
    </w:p>
  </w:footnote>
  <w:footnote w:type="continuationSeparator" w:id="0">
    <w:p w:rsidR="002D5E60" w:rsidRDefault="002D5E60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7979"/>
    <w:multiLevelType w:val="hybridMultilevel"/>
    <w:tmpl w:val="CBBA2A68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4E20555"/>
    <w:multiLevelType w:val="hybridMultilevel"/>
    <w:tmpl w:val="5F84D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9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>
    <w:nsid w:val="10C2225C"/>
    <w:multiLevelType w:val="hybridMultilevel"/>
    <w:tmpl w:val="B7F49816"/>
    <w:lvl w:ilvl="0" w:tplc="BED46B1C">
      <w:start w:val="16"/>
      <w:numFmt w:val="bullet"/>
      <w:lvlText w:val="-"/>
      <w:lvlJc w:val="left"/>
      <w:pPr>
        <w:ind w:left="114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3">
    <w:nsid w:val="25333C5D"/>
    <w:multiLevelType w:val="hybridMultilevel"/>
    <w:tmpl w:val="46F809AC"/>
    <w:lvl w:ilvl="0" w:tplc="208E6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280E50C2"/>
    <w:multiLevelType w:val="hybridMultilevel"/>
    <w:tmpl w:val="EBEC5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6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403A249F"/>
    <w:multiLevelType w:val="hybridMultilevel"/>
    <w:tmpl w:val="66D6B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9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21">
    <w:nsid w:val="4A944910"/>
    <w:multiLevelType w:val="hybridMultilevel"/>
    <w:tmpl w:val="74C292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4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6">
    <w:nsid w:val="60421B8A"/>
    <w:multiLevelType w:val="hybridMultilevel"/>
    <w:tmpl w:val="5108FB2E"/>
    <w:lvl w:ilvl="0" w:tplc="BED46B1C">
      <w:start w:val="16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62B57876"/>
    <w:multiLevelType w:val="hybridMultilevel"/>
    <w:tmpl w:val="47A6FF1E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A992B28"/>
    <w:multiLevelType w:val="hybridMultilevel"/>
    <w:tmpl w:val="BE86A5F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9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0">
    <w:nsid w:val="6C316565"/>
    <w:multiLevelType w:val="hybridMultilevel"/>
    <w:tmpl w:val="63BA47CA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48020C0"/>
    <w:multiLevelType w:val="hybridMultilevel"/>
    <w:tmpl w:val="37B2F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9A16B90"/>
    <w:multiLevelType w:val="hybridMultilevel"/>
    <w:tmpl w:val="E43091E8"/>
    <w:lvl w:ilvl="0" w:tplc="BA4A5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36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F953D5E"/>
    <w:multiLevelType w:val="hybridMultilevel"/>
    <w:tmpl w:val="146CF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E67B2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6"/>
  </w:num>
  <w:num w:numId="3">
    <w:abstractNumId w:val="16"/>
  </w:num>
  <w:num w:numId="4">
    <w:abstractNumId w:val="11"/>
  </w:num>
  <w:num w:numId="5">
    <w:abstractNumId w:val="29"/>
  </w:num>
  <w:num w:numId="6">
    <w:abstractNumId w:val="7"/>
  </w:num>
  <w:num w:numId="7">
    <w:abstractNumId w:val="18"/>
  </w:num>
  <w:num w:numId="8">
    <w:abstractNumId w:val="15"/>
  </w:num>
  <w:num w:numId="9">
    <w:abstractNumId w:val="3"/>
  </w:num>
  <w:num w:numId="10">
    <w:abstractNumId w:val="35"/>
  </w:num>
  <w:num w:numId="11">
    <w:abstractNumId w:val="20"/>
  </w:num>
  <w:num w:numId="12">
    <w:abstractNumId w:val="23"/>
  </w:num>
  <w:num w:numId="13">
    <w:abstractNumId w:val="25"/>
  </w:num>
  <w:num w:numId="14">
    <w:abstractNumId w:val="5"/>
  </w:num>
  <w:num w:numId="15">
    <w:abstractNumId w:val="9"/>
  </w:num>
  <w:num w:numId="16">
    <w:abstractNumId w:val="8"/>
  </w:num>
  <w:num w:numId="17">
    <w:abstractNumId w:val="12"/>
  </w:num>
  <w:num w:numId="18">
    <w:abstractNumId w:val="36"/>
  </w:num>
  <w:num w:numId="19">
    <w:abstractNumId w:val="24"/>
  </w:num>
  <w:num w:numId="20">
    <w:abstractNumId w:val="19"/>
  </w:num>
  <w:num w:numId="21">
    <w:abstractNumId w:val="33"/>
  </w:num>
  <w:num w:numId="22">
    <w:abstractNumId w:val="4"/>
  </w:num>
  <w:num w:numId="23">
    <w:abstractNumId w:val="31"/>
  </w:num>
  <w:num w:numId="24">
    <w:abstractNumId w:val="17"/>
  </w:num>
  <w:num w:numId="25">
    <w:abstractNumId w:val="28"/>
  </w:num>
  <w:num w:numId="26">
    <w:abstractNumId w:val="14"/>
  </w:num>
  <w:num w:numId="27">
    <w:abstractNumId w:val="21"/>
  </w:num>
  <w:num w:numId="28">
    <w:abstractNumId w:val="34"/>
  </w:num>
  <w:num w:numId="29">
    <w:abstractNumId w:val="37"/>
  </w:num>
  <w:num w:numId="30">
    <w:abstractNumId w:val="0"/>
  </w:num>
  <w:num w:numId="31">
    <w:abstractNumId w:val="30"/>
  </w:num>
  <w:num w:numId="32">
    <w:abstractNumId w:val="38"/>
  </w:num>
  <w:num w:numId="33">
    <w:abstractNumId w:val="27"/>
  </w:num>
  <w:num w:numId="34">
    <w:abstractNumId w:val="13"/>
  </w:num>
  <w:num w:numId="35">
    <w:abstractNumId w:val="26"/>
  </w:num>
  <w:num w:numId="36">
    <w:abstractNumId w:val="22"/>
  </w:num>
  <w:num w:numId="37">
    <w:abstractNumId w:val="1"/>
  </w:num>
  <w:num w:numId="38">
    <w:abstractNumId w:val="10"/>
  </w:num>
  <w:num w:numId="39">
    <w:abstractNumId w:val="3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7E68"/>
    <w:rsid w:val="00030F14"/>
    <w:rsid w:val="000330CB"/>
    <w:rsid w:val="00034701"/>
    <w:rsid w:val="000366F9"/>
    <w:rsid w:val="0003674B"/>
    <w:rsid w:val="00036E7E"/>
    <w:rsid w:val="00040121"/>
    <w:rsid w:val="00041657"/>
    <w:rsid w:val="00042C03"/>
    <w:rsid w:val="000519FA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5BA9"/>
    <w:rsid w:val="000778D6"/>
    <w:rsid w:val="00080069"/>
    <w:rsid w:val="00080A19"/>
    <w:rsid w:val="000836E2"/>
    <w:rsid w:val="000852A4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CC5"/>
    <w:rsid w:val="000B26CD"/>
    <w:rsid w:val="000B381D"/>
    <w:rsid w:val="000B4ECA"/>
    <w:rsid w:val="000B5D54"/>
    <w:rsid w:val="000B7583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D04AB"/>
    <w:rsid w:val="000D0D93"/>
    <w:rsid w:val="000D403A"/>
    <w:rsid w:val="000E0D7C"/>
    <w:rsid w:val="000E1BE7"/>
    <w:rsid w:val="000E20D5"/>
    <w:rsid w:val="000E349C"/>
    <w:rsid w:val="000E3B9A"/>
    <w:rsid w:val="000E4F92"/>
    <w:rsid w:val="000E5B3D"/>
    <w:rsid w:val="000E6009"/>
    <w:rsid w:val="000E79B1"/>
    <w:rsid w:val="000E7C02"/>
    <w:rsid w:val="000E7F24"/>
    <w:rsid w:val="000F015B"/>
    <w:rsid w:val="000F05B2"/>
    <w:rsid w:val="000F0C87"/>
    <w:rsid w:val="000F1758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C9E"/>
    <w:rsid w:val="0010616A"/>
    <w:rsid w:val="001063BC"/>
    <w:rsid w:val="00110759"/>
    <w:rsid w:val="0011086B"/>
    <w:rsid w:val="00113A95"/>
    <w:rsid w:val="00114966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B91"/>
    <w:rsid w:val="00145BF9"/>
    <w:rsid w:val="00146CD2"/>
    <w:rsid w:val="00147201"/>
    <w:rsid w:val="001475DC"/>
    <w:rsid w:val="00147D27"/>
    <w:rsid w:val="001523AE"/>
    <w:rsid w:val="00152BF2"/>
    <w:rsid w:val="0015447C"/>
    <w:rsid w:val="00154607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5098"/>
    <w:rsid w:val="00166CA6"/>
    <w:rsid w:val="00170442"/>
    <w:rsid w:val="001712ED"/>
    <w:rsid w:val="00171DDF"/>
    <w:rsid w:val="001820FF"/>
    <w:rsid w:val="0018472F"/>
    <w:rsid w:val="0018599D"/>
    <w:rsid w:val="001862BE"/>
    <w:rsid w:val="00187C6F"/>
    <w:rsid w:val="00191A9B"/>
    <w:rsid w:val="001921EC"/>
    <w:rsid w:val="00192935"/>
    <w:rsid w:val="00192EB1"/>
    <w:rsid w:val="00193810"/>
    <w:rsid w:val="0019665C"/>
    <w:rsid w:val="001966F6"/>
    <w:rsid w:val="00197E0B"/>
    <w:rsid w:val="001A0B1E"/>
    <w:rsid w:val="001A1FF8"/>
    <w:rsid w:val="001A4BC4"/>
    <w:rsid w:val="001A5D61"/>
    <w:rsid w:val="001A65FA"/>
    <w:rsid w:val="001A6D9F"/>
    <w:rsid w:val="001B035A"/>
    <w:rsid w:val="001B15D0"/>
    <w:rsid w:val="001B20D7"/>
    <w:rsid w:val="001B30BA"/>
    <w:rsid w:val="001B376A"/>
    <w:rsid w:val="001B474B"/>
    <w:rsid w:val="001B53EC"/>
    <w:rsid w:val="001B7391"/>
    <w:rsid w:val="001C06C3"/>
    <w:rsid w:val="001C66D9"/>
    <w:rsid w:val="001C6E3E"/>
    <w:rsid w:val="001C7E39"/>
    <w:rsid w:val="001D1BAC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7BA"/>
    <w:rsid w:val="001E5AC1"/>
    <w:rsid w:val="001E5FE9"/>
    <w:rsid w:val="001E66B6"/>
    <w:rsid w:val="001F01EA"/>
    <w:rsid w:val="001F0323"/>
    <w:rsid w:val="001F1761"/>
    <w:rsid w:val="001F3242"/>
    <w:rsid w:val="001F3A08"/>
    <w:rsid w:val="001F4578"/>
    <w:rsid w:val="001F46A7"/>
    <w:rsid w:val="001F5181"/>
    <w:rsid w:val="001F5996"/>
    <w:rsid w:val="001F6406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EB5"/>
    <w:rsid w:val="00232F1F"/>
    <w:rsid w:val="0023472E"/>
    <w:rsid w:val="00235507"/>
    <w:rsid w:val="00235B85"/>
    <w:rsid w:val="0023711F"/>
    <w:rsid w:val="002414EE"/>
    <w:rsid w:val="00241571"/>
    <w:rsid w:val="00241980"/>
    <w:rsid w:val="00242B5E"/>
    <w:rsid w:val="0024311D"/>
    <w:rsid w:val="0024363B"/>
    <w:rsid w:val="00246B00"/>
    <w:rsid w:val="00252214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80433"/>
    <w:rsid w:val="00281A49"/>
    <w:rsid w:val="002827B1"/>
    <w:rsid w:val="00283059"/>
    <w:rsid w:val="00283A4F"/>
    <w:rsid w:val="00284128"/>
    <w:rsid w:val="00285976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5488"/>
    <w:rsid w:val="002A60AD"/>
    <w:rsid w:val="002A679B"/>
    <w:rsid w:val="002A77F6"/>
    <w:rsid w:val="002B0B4B"/>
    <w:rsid w:val="002B3F41"/>
    <w:rsid w:val="002B4260"/>
    <w:rsid w:val="002B4623"/>
    <w:rsid w:val="002B4A5B"/>
    <w:rsid w:val="002B5306"/>
    <w:rsid w:val="002B6748"/>
    <w:rsid w:val="002B6E28"/>
    <w:rsid w:val="002C003C"/>
    <w:rsid w:val="002C08CE"/>
    <w:rsid w:val="002C1862"/>
    <w:rsid w:val="002C3A0E"/>
    <w:rsid w:val="002C4D5E"/>
    <w:rsid w:val="002D12D9"/>
    <w:rsid w:val="002D1E55"/>
    <w:rsid w:val="002D24D0"/>
    <w:rsid w:val="002D293F"/>
    <w:rsid w:val="002D3390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F4A4E"/>
    <w:rsid w:val="002F64BF"/>
    <w:rsid w:val="002F7626"/>
    <w:rsid w:val="002F7864"/>
    <w:rsid w:val="00303ED4"/>
    <w:rsid w:val="00304B45"/>
    <w:rsid w:val="0031217B"/>
    <w:rsid w:val="003122B9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22AC"/>
    <w:rsid w:val="003224EC"/>
    <w:rsid w:val="00322B5D"/>
    <w:rsid w:val="00322BFE"/>
    <w:rsid w:val="003247BD"/>
    <w:rsid w:val="00325F8E"/>
    <w:rsid w:val="00331232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286E"/>
    <w:rsid w:val="00343E11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3250"/>
    <w:rsid w:val="003736D6"/>
    <w:rsid w:val="00373EAF"/>
    <w:rsid w:val="00373FE4"/>
    <w:rsid w:val="00375407"/>
    <w:rsid w:val="0037598E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A0535"/>
    <w:rsid w:val="003A1C36"/>
    <w:rsid w:val="003A29CC"/>
    <w:rsid w:val="003A3307"/>
    <w:rsid w:val="003A5355"/>
    <w:rsid w:val="003A5C2D"/>
    <w:rsid w:val="003A5D6E"/>
    <w:rsid w:val="003A70B9"/>
    <w:rsid w:val="003A710E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D1304"/>
    <w:rsid w:val="003D467F"/>
    <w:rsid w:val="003D59C4"/>
    <w:rsid w:val="003D5B1B"/>
    <w:rsid w:val="003D5E0A"/>
    <w:rsid w:val="003D7128"/>
    <w:rsid w:val="003D7AAB"/>
    <w:rsid w:val="003D7F2C"/>
    <w:rsid w:val="003E0576"/>
    <w:rsid w:val="003E28F4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401438"/>
    <w:rsid w:val="00401A4E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2DB6"/>
    <w:rsid w:val="0041341B"/>
    <w:rsid w:val="00413E0F"/>
    <w:rsid w:val="00414762"/>
    <w:rsid w:val="00414B2D"/>
    <w:rsid w:val="0041513F"/>
    <w:rsid w:val="004153C3"/>
    <w:rsid w:val="00416FC7"/>
    <w:rsid w:val="00420E1D"/>
    <w:rsid w:val="00421253"/>
    <w:rsid w:val="00421450"/>
    <w:rsid w:val="004226D5"/>
    <w:rsid w:val="00422878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32F7"/>
    <w:rsid w:val="00445BD7"/>
    <w:rsid w:val="00445CBE"/>
    <w:rsid w:val="00445E44"/>
    <w:rsid w:val="00447952"/>
    <w:rsid w:val="00450F84"/>
    <w:rsid w:val="00451778"/>
    <w:rsid w:val="004537DA"/>
    <w:rsid w:val="00455B0D"/>
    <w:rsid w:val="00456005"/>
    <w:rsid w:val="00456552"/>
    <w:rsid w:val="00456865"/>
    <w:rsid w:val="00460E5F"/>
    <w:rsid w:val="0046108C"/>
    <w:rsid w:val="004610E8"/>
    <w:rsid w:val="00462193"/>
    <w:rsid w:val="00462F39"/>
    <w:rsid w:val="00465901"/>
    <w:rsid w:val="00466327"/>
    <w:rsid w:val="00466336"/>
    <w:rsid w:val="00467347"/>
    <w:rsid w:val="00467709"/>
    <w:rsid w:val="004725B4"/>
    <w:rsid w:val="00473BBA"/>
    <w:rsid w:val="00475F96"/>
    <w:rsid w:val="004775CD"/>
    <w:rsid w:val="00477EA4"/>
    <w:rsid w:val="004801F5"/>
    <w:rsid w:val="00481A78"/>
    <w:rsid w:val="00481A8C"/>
    <w:rsid w:val="004823A8"/>
    <w:rsid w:val="00484AF8"/>
    <w:rsid w:val="00487001"/>
    <w:rsid w:val="00487F53"/>
    <w:rsid w:val="004910C5"/>
    <w:rsid w:val="00491475"/>
    <w:rsid w:val="00491B2F"/>
    <w:rsid w:val="00492CF5"/>
    <w:rsid w:val="00493C1E"/>
    <w:rsid w:val="004949CD"/>
    <w:rsid w:val="00494DC3"/>
    <w:rsid w:val="00495736"/>
    <w:rsid w:val="004958CC"/>
    <w:rsid w:val="004A0FC3"/>
    <w:rsid w:val="004A1366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E00AD"/>
    <w:rsid w:val="004E168F"/>
    <w:rsid w:val="004E3C13"/>
    <w:rsid w:val="004E4977"/>
    <w:rsid w:val="004E4B50"/>
    <w:rsid w:val="004F0260"/>
    <w:rsid w:val="004F0DA1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300CD"/>
    <w:rsid w:val="00530773"/>
    <w:rsid w:val="00530BAC"/>
    <w:rsid w:val="00530DCF"/>
    <w:rsid w:val="00531EE8"/>
    <w:rsid w:val="005326A1"/>
    <w:rsid w:val="005341BC"/>
    <w:rsid w:val="00534645"/>
    <w:rsid w:val="00534C38"/>
    <w:rsid w:val="00535601"/>
    <w:rsid w:val="00535B01"/>
    <w:rsid w:val="00535D29"/>
    <w:rsid w:val="0053790E"/>
    <w:rsid w:val="00537D7C"/>
    <w:rsid w:val="00541568"/>
    <w:rsid w:val="00544162"/>
    <w:rsid w:val="005457D6"/>
    <w:rsid w:val="0054585E"/>
    <w:rsid w:val="00547FD1"/>
    <w:rsid w:val="0055088E"/>
    <w:rsid w:val="00552571"/>
    <w:rsid w:val="00552BA7"/>
    <w:rsid w:val="00552DDF"/>
    <w:rsid w:val="00553287"/>
    <w:rsid w:val="005537AF"/>
    <w:rsid w:val="00556915"/>
    <w:rsid w:val="0055709C"/>
    <w:rsid w:val="0055730C"/>
    <w:rsid w:val="00557C8D"/>
    <w:rsid w:val="00560492"/>
    <w:rsid w:val="0056219A"/>
    <w:rsid w:val="005632BF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3642"/>
    <w:rsid w:val="0059716A"/>
    <w:rsid w:val="005974F8"/>
    <w:rsid w:val="005A2B04"/>
    <w:rsid w:val="005A4E64"/>
    <w:rsid w:val="005A5BD2"/>
    <w:rsid w:val="005A60AC"/>
    <w:rsid w:val="005A60DC"/>
    <w:rsid w:val="005A77EE"/>
    <w:rsid w:val="005B0D3C"/>
    <w:rsid w:val="005B4121"/>
    <w:rsid w:val="005B43A0"/>
    <w:rsid w:val="005B5E6C"/>
    <w:rsid w:val="005B65CA"/>
    <w:rsid w:val="005B7EA3"/>
    <w:rsid w:val="005C0252"/>
    <w:rsid w:val="005C271B"/>
    <w:rsid w:val="005C2C9A"/>
    <w:rsid w:val="005C325A"/>
    <w:rsid w:val="005C4006"/>
    <w:rsid w:val="005C472B"/>
    <w:rsid w:val="005C6CEE"/>
    <w:rsid w:val="005C78C1"/>
    <w:rsid w:val="005D0E2E"/>
    <w:rsid w:val="005D1725"/>
    <w:rsid w:val="005D3854"/>
    <w:rsid w:val="005D3C64"/>
    <w:rsid w:val="005D456F"/>
    <w:rsid w:val="005D5B47"/>
    <w:rsid w:val="005D6C91"/>
    <w:rsid w:val="005E1F5E"/>
    <w:rsid w:val="005E2C70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51CE"/>
    <w:rsid w:val="005F664B"/>
    <w:rsid w:val="005F69B8"/>
    <w:rsid w:val="00601242"/>
    <w:rsid w:val="006025E5"/>
    <w:rsid w:val="00602D65"/>
    <w:rsid w:val="00602E8F"/>
    <w:rsid w:val="006044E9"/>
    <w:rsid w:val="0060520F"/>
    <w:rsid w:val="006067C7"/>
    <w:rsid w:val="0060730C"/>
    <w:rsid w:val="0060799F"/>
    <w:rsid w:val="006119CC"/>
    <w:rsid w:val="00612FC9"/>
    <w:rsid w:val="00613A08"/>
    <w:rsid w:val="00613D83"/>
    <w:rsid w:val="00614777"/>
    <w:rsid w:val="00616E43"/>
    <w:rsid w:val="006171A7"/>
    <w:rsid w:val="0062332A"/>
    <w:rsid w:val="006253FE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746B"/>
    <w:rsid w:val="00640358"/>
    <w:rsid w:val="006406D8"/>
    <w:rsid w:val="0064217B"/>
    <w:rsid w:val="00646289"/>
    <w:rsid w:val="00651485"/>
    <w:rsid w:val="00651701"/>
    <w:rsid w:val="0065210E"/>
    <w:rsid w:val="006525F3"/>
    <w:rsid w:val="0065424F"/>
    <w:rsid w:val="00654FBC"/>
    <w:rsid w:val="00656EBC"/>
    <w:rsid w:val="00660B7E"/>
    <w:rsid w:val="00661A7C"/>
    <w:rsid w:val="00661E65"/>
    <w:rsid w:val="006635C7"/>
    <w:rsid w:val="006636F1"/>
    <w:rsid w:val="00664738"/>
    <w:rsid w:val="00664BA3"/>
    <w:rsid w:val="0066601D"/>
    <w:rsid w:val="006660C3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4890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316C"/>
    <w:rsid w:val="006B4E9A"/>
    <w:rsid w:val="006B7208"/>
    <w:rsid w:val="006C27FD"/>
    <w:rsid w:val="006C35CA"/>
    <w:rsid w:val="006C3EFA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B4A"/>
    <w:rsid w:val="006E6FF0"/>
    <w:rsid w:val="006F169C"/>
    <w:rsid w:val="006F1B31"/>
    <w:rsid w:val="006F7FF5"/>
    <w:rsid w:val="00700139"/>
    <w:rsid w:val="007007C2"/>
    <w:rsid w:val="00703982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6253"/>
    <w:rsid w:val="00746BCC"/>
    <w:rsid w:val="007470D0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3492"/>
    <w:rsid w:val="00764BDD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706"/>
    <w:rsid w:val="007D75FC"/>
    <w:rsid w:val="007D7E09"/>
    <w:rsid w:val="007E1949"/>
    <w:rsid w:val="007E1971"/>
    <w:rsid w:val="007E2891"/>
    <w:rsid w:val="007E2E6D"/>
    <w:rsid w:val="007E3753"/>
    <w:rsid w:val="007E3B53"/>
    <w:rsid w:val="007E46B1"/>
    <w:rsid w:val="007E538E"/>
    <w:rsid w:val="007E703B"/>
    <w:rsid w:val="007F443B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F49"/>
    <w:rsid w:val="00817980"/>
    <w:rsid w:val="008208E0"/>
    <w:rsid w:val="008230F0"/>
    <w:rsid w:val="0082543B"/>
    <w:rsid w:val="00826D8B"/>
    <w:rsid w:val="0083089B"/>
    <w:rsid w:val="00831769"/>
    <w:rsid w:val="00831F89"/>
    <w:rsid w:val="00832583"/>
    <w:rsid w:val="00832B52"/>
    <w:rsid w:val="008344EF"/>
    <w:rsid w:val="0083669E"/>
    <w:rsid w:val="00836A46"/>
    <w:rsid w:val="0084008D"/>
    <w:rsid w:val="008415D9"/>
    <w:rsid w:val="008419A2"/>
    <w:rsid w:val="00843382"/>
    <w:rsid w:val="0084424F"/>
    <w:rsid w:val="00844C69"/>
    <w:rsid w:val="00844EAD"/>
    <w:rsid w:val="0084609F"/>
    <w:rsid w:val="008475D3"/>
    <w:rsid w:val="00851617"/>
    <w:rsid w:val="00851A74"/>
    <w:rsid w:val="00851D50"/>
    <w:rsid w:val="008524C9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B8"/>
    <w:rsid w:val="00872945"/>
    <w:rsid w:val="00873ABB"/>
    <w:rsid w:val="00873C0A"/>
    <w:rsid w:val="00873E2E"/>
    <w:rsid w:val="0087550C"/>
    <w:rsid w:val="00877AF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655"/>
    <w:rsid w:val="008B276E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D0A8B"/>
    <w:rsid w:val="008D2A29"/>
    <w:rsid w:val="008D2DBA"/>
    <w:rsid w:val="008D3A1E"/>
    <w:rsid w:val="008D3E9E"/>
    <w:rsid w:val="008D40EB"/>
    <w:rsid w:val="008D5A0F"/>
    <w:rsid w:val="008D5E94"/>
    <w:rsid w:val="008D703A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7334"/>
    <w:rsid w:val="008F7D0F"/>
    <w:rsid w:val="008F7D83"/>
    <w:rsid w:val="008F7FBF"/>
    <w:rsid w:val="00900868"/>
    <w:rsid w:val="00901E7A"/>
    <w:rsid w:val="009043D3"/>
    <w:rsid w:val="0090469C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5239"/>
    <w:rsid w:val="0094537B"/>
    <w:rsid w:val="00945AF4"/>
    <w:rsid w:val="009463E0"/>
    <w:rsid w:val="00946973"/>
    <w:rsid w:val="009502F0"/>
    <w:rsid w:val="009524F5"/>
    <w:rsid w:val="00954F72"/>
    <w:rsid w:val="00955E54"/>
    <w:rsid w:val="00956142"/>
    <w:rsid w:val="009566F2"/>
    <w:rsid w:val="0096122A"/>
    <w:rsid w:val="00962155"/>
    <w:rsid w:val="00962D67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257F"/>
    <w:rsid w:val="0097353F"/>
    <w:rsid w:val="0097359C"/>
    <w:rsid w:val="0097473C"/>
    <w:rsid w:val="00975808"/>
    <w:rsid w:val="00980CC0"/>
    <w:rsid w:val="0098131C"/>
    <w:rsid w:val="009838B8"/>
    <w:rsid w:val="009850D1"/>
    <w:rsid w:val="0098573A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CF4"/>
    <w:rsid w:val="009B6B19"/>
    <w:rsid w:val="009B7769"/>
    <w:rsid w:val="009B77FC"/>
    <w:rsid w:val="009C0C25"/>
    <w:rsid w:val="009C11B5"/>
    <w:rsid w:val="009C1965"/>
    <w:rsid w:val="009C1E1D"/>
    <w:rsid w:val="009C5176"/>
    <w:rsid w:val="009C7617"/>
    <w:rsid w:val="009C7896"/>
    <w:rsid w:val="009D0A51"/>
    <w:rsid w:val="009D27F4"/>
    <w:rsid w:val="009D33BA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7BBF"/>
    <w:rsid w:val="00A007AC"/>
    <w:rsid w:val="00A00EF0"/>
    <w:rsid w:val="00A03A53"/>
    <w:rsid w:val="00A04682"/>
    <w:rsid w:val="00A0494E"/>
    <w:rsid w:val="00A059C7"/>
    <w:rsid w:val="00A05DF0"/>
    <w:rsid w:val="00A0666C"/>
    <w:rsid w:val="00A11B4A"/>
    <w:rsid w:val="00A12BB6"/>
    <w:rsid w:val="00A15699"/>
    <w:rsid w:val="00A1622F"/>
    <w:rsid w:val="00A1692D"/>
    <w:rsid w:val="00A16970"/>
    <w:rsid w:val="00A16DF0"/>
    <w:rsid w:val="00A17300"/>
    <w:rsid w:val="00A201FA"/>
    <w:rsid w:val="00A21B30"/>
    <w:rsid w:val="00A23F15"/>
    <w:rsid w:val="00A24B52"/>
    <w:rsid w:val="00A25558"/>
    <w:rsid w:val="00A26016"/>
    <w:rsid w:val="00A2688B"/>
    <w:rsid w:val="00A26D8E"/>
    <w:rsid w:val="00A26DF2"/>
    <w:rsid w:val="00A31678"/>
    <w:rsid w:val="00A322EF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25D"/>
    <w:rsid w:val="00A523BC"/>
    <w:rsid w:val="00A54F44"/>
    <w:rsid w:val="00A5735A"/>
    <w:rsid w:val="00A57CE0"/>
    <w:rsid w:val="00A60B1F"/>
    <w:rsid w:val="00A61E44"/>
    <w:rsid w:val="00A64B8A"/>
    <w:rsid w:val="00A657C7"/>
    <w:rsid w:val="00A66D80"/>
    <w:rsid w:val="00A71933"/>
    <w:rsid w:val="00A720AE"/>
    <w:rsid w:val="00A735DF"/>
    <w:rsid w:val="00A735F4"/>
    <w:rsid w:val="00A749D2"/>
    <w:rsid w:val="00A74A4B"/>
    <w:rsid w:val="00A74B7D"/>
    <w:rsid w:val="00A76AA4"/>
    <w:rsid w:val="00A80DE2"/>
    <w:rsid w:val="00A81987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3010"/>
    <w:rsid w:val="00AC215C"/>
    <w:rsid w:val="00AC384B"/>
    <w:rsid w:val="00AC3F5F"/>
    <w:rsid w:val="00AC7385"/>
    <w:rsid w:val="00AC73F8"/>
    <w:rsid w:val="00AC7F1A"/>
    <w:rsid w:val="00AD179E"/>
    <w:rsid w:val="00AD1EB6"/>
    <w:rsid w:val="00AD411B"/>
    <w:rsid w:val="00AD5694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0127"/>
    <w:rsid w:val="00AF289C"/>
    <w:rsid w:val="00AF3787"/>
    <w:rsid w:val="00AF4BCA"/>
    <w:rsid w:val="00B00552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5124"/>
    <w:rsid w:val="00B45ED9"/>
    <w:rsid w:val="00B474B6"/>
    <w:rsid w:val="00B47643"/>
    <w:rsid w:val="00B50510"/>
    <w:rsid w:val="00B51F96"/>
    <w:rsid w:val="00B5221A"/>
    <w:rsid w:val="00B5421B"/>
    <w:rsid w:val="00B5613C"/>
    <w:rsid w:val="00B56CD9"/>
    <w:rsid w:val="00B57194"/>
    <w:rsid w:val="00B600B1"/>
    <w:rsid w:val="00B61BFF"/>
    <w:rsid w:val="00B61C20"/>
    <w:rsid w:val="00B62C50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40D5"/>
    <w:rsid w:val="00B7477F"/>
    <w:rsid w:val="00B75A23"/>
    <w:rsid w:val="00B75DA8"/>
    <w:rsid w:val="00B77286"/>
    <w:rsid w:val="00B8023E"/>
    <w:rsid w:val="00B87EFA"/>
    <w:rsid w:val="00B92A59"/>
    <w:rsid w:val="00B95591"/>
    <w:rsid w:val="00B95E05"/>
    <w:rsid w:val="00BA032A"/>
    <w:rsid w:val="00BA52D2"/>
    <w:rsid w:val="00BB2868"/>
    <w:rsid w:val="00BB488E"/>
    <w:rsid w:val="00BB7706"/>
    <w:rsid w:val="00BC01AE"/>
    <w:rsid w:val="00BC109C"/>
    <w:rsid w:val="00BC11C0"/>
    <w:rsid w:val="00BC30F0"/>
    <w:rsid w:val="00BC4710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312C"/>
    <w:rsid w:val="00BE4CEA"/>
    <w:rsid w:val="00BE6010"/>
    <w:rsid w:val="00BE6BB8"/>
    <w:rsid w:val="00BE7832"/>
    <w:rsid w:val="00BE7AB5"/>
    <w:rsid w:val="00BF167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2840"/>
    <w:rsid w:val="00C32B2F"/>
    <w:rsid w:val="00C34838"/>
    <w:rsid w:val="00C34F99"/>
    <w:rsid w:val="00C37375"/>
    <w:rsid w:val="00C37903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51CD"/>
    <w:rsid w:val="00C55C86"/>
    <w:rsid w:val="00C564D1"/>
    <w:rsid w:val="00C567B0"/>
    <w:rsid w:val="00C603CF"/>
    <w:rsid w:val="00C61A49"/>
    <w:rsid w:val="00C62256"/>
    <w:rsid w:val="00C66D7D"/>
    <w:rsid w:val="00C67283"/>
    <w:rsid w:val="00C70C35"/>
    <w:rsid w:val="00C73856"/>
    <w:rsid w:val="00C742FB"/>
    <w:rsid w:val="00C745F6"/>
    <w:rsid w:val="00C7666B"/>
    <w:rsid w:val="00C76AC1"/>
    <w:rsid w:val="00C800E8"/>
    <w:rsid w:val="00C80B2A"/>
    <w:rsid w:val="00C81B6E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1083"/>
    <w:rsid w:val="00CA17F3"/>
    <w:rsid w:val="00CA3F3E"/>
    <w:rsid w:val="00CA5234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66D9"/>
    <w:rsid w:val="00CC7E7D"/>
    <w:rsid w:val="00CD04DA"/>
    <w:rsid w:val="00CD08BD"/>
    <w:rsid w:val="00CD35E2"/>
    <w:rsid w:val="00CD499B"/>
    <w:rsid w:val="00CD6150"/>
    <w:rsid w:val="00CD7471"/>
    <w:rsid w:val="00CD78CD"/>
    <w:rsid w:val="00CE0752"/>
    <w:rsid w:val="00CE2C3B"/>
    <w:rsid w:val="00CE345A"/>
    <w:rsid w:val="00CE413A"/>
    <w:rsid w:val="00CE55E6"/>
    <w:rsid w:val="00CE7DA9"/>
    <w:rsid w:val="00CF3924"/>
    <w:rsid w:val="00CF3B36"/>
    <w:rsid w:val="00CF3E1A"/>
    <w:rsid w:val="00CF5651"/>
    <w:rsid w:val="00CF6430"/>
    <w:rsid w:val="00D001C9"/>
    <w:rsid w:val="00D00BA5"/>
    <w:rsid w:val="00D0194F"/>
    <w:rsid w:val="00D01AEE"/>
    <w:rsid w:val="00D03B4D"/>
    <w:rsid w:val="00D0429F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CF0"/>
    <w:rsid w:val="00D219DD"/>
    <w:rsid w:val="00D235B3"/>
    <w:rsid w:val="00D24E51"/>
    <w:rsid w:val="00D259C1"/>
    <w:rsid w:val="00D26C74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331E"/>
    <w:rsid w:val="00D537E7"/>
    <w:rsid w:val="00D55456"/>
    <w:rsid w:val="00D57819"/>
    <w:rsid w:val="00D6013A"/>
    <w:rsid w:val="00D60D24"/>
    <w:rsid w:val="00D61650"/>
    <w:rsid w:val="00D618FE"/>
    <w:rsid w:val="00D6205C"/>
    <w:rsid w:val="00D63048"/>
    <w:rsid w:val="00D65850"/>
    <w:rsid w:val="00D70B34"/>
    <w:rsid w:val="00D718CD"/>
    <w:rsid w:val="00D71DDE"/>
    <w:rsid w:val="00D7398B"/>
    <w:rsid w:val="00D73D55"/>
    <w:rsid w:val="00D75AFC"/>
    <w:rsid w:val="00D75F1C"/>
    <w:rsid w:val="00D80254"/>
    <w:rsid w:val="00D805F0"/>
    <w:rsid w:val="00D80936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64F"/>
    <w:rsid w:val="00D949FB"/>
    <w:rsid w:val="00D94AA5"/>
    <w:rsid w:val="00D94E84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9DF"/>
    <w:rsid w:val="00DC7B31"/>
    <w:rsid w:val="00DD0860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2100"/>
    <w:rsid w:val="00DF436E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72C6"/>
    <w:rsid w:val="00E301D7"/>
    <w:rsid w:val="00E3035F"/>
    <w:rsid w:val="00E30E9D"/>
    <w:rsid w:val="00E3265A"/>
    <w:rsid w:val="00E33439"/>
    <w:rsid w:val="00E33D59"/>
    <w:rsid w:val="00E34E66"/>
    <w:rsid w:val="00E36C09"/>
    <w:rsid w:val="00E417AB"/>
    <w:rsid w:val="00E447DE"/>
    <w:rsid w:val="00E44FDE"/>
    <w:rsid w:val="00E45F0D"/>
    <w:rsid w:val="00E467D8"/>
    <w:rsid w:val="00E46A58"/>
    <w:rsid w:val="00E47992"/>
    <w:rsid w:val="00E50E66"/>
    <w:rsid w:val="00E5140A"/>
    <w:rsid w:val="00E523F7"/>
    <w:rsid w:val="00E53C25"/>
    <w:rsid w:val="00E54574"/>
    <w:rsid w:val="00E55260"/>
    <w:rsid w:val="00E5565E"/>
    <w:rsid w:val="00E571E8"/>
    <w:rsid w:val="00E573CB"/>
    <w:rsid w:val="00E575B1"/>
    <w:rsid w:val="00E60CD3"/>
    <w:rsid w:val="00E61151"/>
    <w:rsid w:val="00E63FD6"/>
    <w:rsid w:val="00E64234"/>
    <w:rsid w:val="00E65395"/>
    <w:rsid w:val="00E66C0F"/>
    <w:rsid w:val="00E717DE"/>
    <w:rsid w:val="00E71E27"/>
    <w:rsid w:val="00E726F6"/>
    <w:rsid w:val="00E74570"/>
    <w:rsid w:val="00E75E0A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C35"/>
    <w:rsid w:val="00EA6035"/>
    <w:rsid w:val="00EB062A"/>
    <w:rsid w:val="00EB10BE"/>
    <w:rsid w:val="00EB142C"/>
    <w:rsid w:val="00EB2471"/>
    <w:rsid w:val="00EB250B"/>
    <w:rsid w:val="00EB2EAD"/>
    <w:rsid w:val="00EB2F69"/>
    <w:rsid w:val="00EC0208"/>
    <w:rsid w:val="00EC0444"/>
    <w:rsid w:val="00EC517A"/>
    <w:rsid w:val="00EC53A6"/>
    <w:rsid w:val="00EC5855"/>
    <w:rsid w:val="00EC5BD3"/>
    <w:rsid w:val="00EC67BA"/>
    <w:rsid w:val="00EC73D5"/>
    <w:rsid w:val="00EC7993"/>
    <w:rsid w:val="00EC7F13"/>
    <w:rsid w:val="00ED3D1B"/>
    <w:rsid w:val="00ED44E9"/>
    <w:rsid w:val="00ED6584"/>
    <w:rsid w:val="00ED73FC"/>
    <w:rsid w:val="00ED750F"/>
    <w:rsid w:val="00ED7B70"/>
    <w:rsid w:val="00ED7FEC"/>
    <w:rsid w:val="00EE0E16"/>
    <w:rsid w:val="00EE10F5"/>
    <w:rsid w:val="00EE1A1D"/>
    <w:rsid w:val="00EE1B60"/>
    <w:rsid w:val="00EE263E"/>
    <w:rsid w:val="00EE2D99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206A"/>
    <w:rsid w:val="00F1234C"/>
    <w:rsid w:val="00F12D6A"/>
    <w:rsid w:val="00F153E0"/>
    <w:rsid w:val="00F15CD3"/>
    <w:rsid w:val="00F177EE"/>
    <w:rsid w:val="00F17F7B"/>
    <w:rsid w:val="00F206F7"/>
    <w:rsid w:val="00F21664"/>
    <w:rsid w:val="00F21815"/>
    <w:rsid w:val="00F21C36"/>
    <w:rsid w:val="00F237FF"/>
    <w:rsid w:val="00F2416F"/>
    <w:rsid w:val="00F25E2A"/>
    <w:rsid w:val="00F27638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4BCE"/>
    <w:rsid w:val="00F466F9"/>
    <w:rsid w:val="00F47BD8"/>
    <w:rsid w:val="00F52120"/>
    <w:rsid w:val="00F54910"/>
    <w:rsid w:val="00F56571"/>
    <w:rsid w:val="00F56B3C"/>
    <w:rsid w:val="00F618AD"/>
    <w:rsid w:val="00F622CA"/>
    <w:rsid w:val="00F62D37"/>
    <w:rsid w:val="00F6325F"/>
    <w:rsid w:val="00F637DD"/>
    <w:rsid w:val="00F63FCC"/>
    <w:rsid w:val="00F66BE6"/>
    <w:rsid w:val="00F6796F"/>
    <w:rsid w:val="00F73595"/>
    <w:rsid w:val="00F73EBF"/>
    <w:rsid w:val="00F74D4B"/>
    <w:rsid w:val="00F764FE"/>
    <w:rsid w:val="00F76858"/>
    <w:rsid w:val="00F76BE6"/>
    <w:rsid w:val="00F77EEE"/>
    <w:rsid w:val="00F81C3F"/>
    <w:rsid w:val="00F83782"/>
    <w:rsid w:val="00F84446"/>
    <w:rsid w:val="00F85082"/>
    <w:rsid w:val="00F85CF4"/>
    <w:rsid w:val="00F87188"/>
    <w:rsid w:val="00F9017D"/>
    <w:rsid w:val="00F92CE6"/>
    <w:rsid w:val="00F93FE2"/>
    <w:rsid w:val="00F9552A"/>
    <w:rsid w:val="00F95EFB"/>
    <w:rsid w:val="00F963A8"/>
    <w:rsid w:val="00FA0350"/>
    <w:rsid w:val="00FA27F3"/>
    <w:rsid w:val="00FA3DF2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39B8"/>
    <w:rsid w:val="00FC4A74"/>
    <w:rsid w:val="00FC6570"/>
    <w:rsid w:val="00FC71FA"/>
    <w:rsid w:val="00FD0907"/>
    <w:rsid w:val="00FD1F4F"/>
    <w:rsid w:val="00FD47BA"/>
    <w:rsid w:val="00FD52E3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36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36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0D5D4-811B-4D8B-BFC4-02E7C55BF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5</Pages>
  <Words>969</Words>
  <Characters>5526</Characters>
  <Application>Microsoft Office Word</Application>
  <DocSecurity>0</DocSecurity>
  <Lines>46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208</cp:revision>
  <cp:lastPrinted>2018-04-02T06:42:00Z</cp:lastPrinted>
  <dcterms:created xsi:type="dcterms:W3CDTF">2018-05-09T13:15:00Z</dcterms:created>
  <dcterms:modified xsi:type="dcterms:W3CDTF">2018-09-25T08:19:00Z</dcterms:modified>
</cp:coreProperties>
</file>